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3D2" w:rsidRPr="00B653D2" w:rsidRDefault="00B653D2" w:rsidP="00B653D2">
      <w:pPr>
        <w:spacing w:after="0" w:line="240" w:lineRule="auto"/>
        <w:rPr>
          <w:rFonts w:ascii="Times New Roman" w:hAnsi="Times New Roman"/>
          <w:sz w:val="24"/>
          <w:szCs w:val="24"/>
        </w:rPr>
      </w:pPr>
      <w:r w:rsidRPr="00B653D2">
        <w:rPr>
          <w:rFonts w:ascii="Times New Roman" w:hAnsi="Times New Roman"/>
          <w:sz w:val="24"/>
          <w:szCs w:val="24"/>
        </w:rPr>
        <w:t>Malaysian Journal of Analytical Sciences Vol 19 No 3 (2015): 565 – 573</w:t>
      </w:r>
    </w:p>
    <w:p w:rsidR="00B653D2" w:rsidRPr="00B653D2" w:rsidRDefault="00B653D2" w:rsidP="00B653D2">
      <w:pPr>
        <w:spacing w:after="0" w:line="240" w:lineRule="auto"/>
        <w:rPr>
          <w:rFonts w:ascii="Times New Roman" w:hAnsi="Times New Roman"/>
          <w:sz w:val="24"/>
          <w:szCs w:val="24"/>
        </w:rPr>
      </w:pPr>
    </w:p>
    <w:p w:rsidR="00B653D2" w:rsidRPr="00B653D2" w:rsidRDefault="00B653D2" w:rsidP="00B653D2">
      <w:pPr>
        <w:spacing w:after="0" w:line="240" w:lineRule="auto"/>
        <w:rPr>
          <w:rFonts w:ascii="Times New Roman" w:hAnsi="Times New Roman"/>
          <w:sz w:val="24"/>
          <w:szCs w:val="24"/>
        </w:rPr>
      </w:pPr>
    </w:p>
    <w:p w:rsidR="00B653D2" w:rsidRPr="00B653D2" w:rsidRDefault="00B653D2" w:rsidP="00B653D2">
      <w:pPr>
        <w:spacing w:after="0" w:line="240" w:lineRule="auto"/>
        <w:rPr>
          <w:rFonts w:ascii="Times New Roman" w:hAnsi="Times New Roman"/>
          <w:sz w:val="24"/>
          <w:szCs w:val="24"/>
        </w:rPr>
      </w:pPr>
    </w:p>
    <w:p w:rsidR="00B653D2" w:rsidRPr="00802DCC" w:rsidRDefault="00B653D2" w:rsidP="00B653D2">
      <w:pPr>
        <w:spacing w:after="0" w:line="240" w:lineRule="auto"/>
        <w:jc w:val="center"/>
        <w:rPr>
          <w:rFonts w:ascii="Times New Roman" w:hAnsi="Times New Roman"/>
          <w:noProof/>
          <w:sz w:val="24"/>
          <w:szCs w:val="24"/>
          <w:lang w:bidi="ar-SA"/>
        </w:rPr>
      </w:pPr>
      <w:r w:rsidRPr="009650CB">
        <w:rPr>
          <w:rFonts w:ascii="Times New Roman" w:hAnsi="Times New Roman"/>
          <w:sz w:val="28"/>
        </w:rPr>
        <w:t>EVALUATION OF THE COMPRESSIVE STRENGTH OF CEMENT-SPENT RESINS MATRIX MIXED WITH BIOCHAR</w:t>
      </w:r>
    </w:p>
    <w:p w:rsidR="00B653D2" w:rsidRDefault="00B653D2" w:rsidP="00B653D2">
      <w:pPr>
        <w:spacing w:after="0" w:line="240" w:lineRule="auto"/>
        <w:jc w:val="center"/>
        <w:rPr>
          <w:rFonts w:ascii="Times New Roman" w:hAnsi="Times New Roman"/>
          <w:noProof/>
          <w:sz w:val="24"/>
          <w:szCs w:val="24"/>
          <w:lang w:bidi="ar-SA"/>
        </w:rPr>
      </w:pPr>
    </w:p>
    <w:p w:rsidR="00B653D2" w:rsidRPr="009650CB" w:rsidRDefault="00B653D2" w:rsidP="00B653D2">
      <w:pPr>
        <w:spacing w:after="0" w:line="240" w:lineRule="auto"/>
        <w:jc w:val="center"/>
        <w:outlineLvl w:val="0"/>
        <w:rPr>
          <w:rFonts w:ascii="Times New Roman" w:hAnsi="Times New Roman"/>
          <w:sz w:val="24"/>
          <w:szCs w:val="24"/>
        </w:rPr>
      </w:pPr>
      <w:r w:rsidRPr="009650CB">
        <w:rPr>
          <w:rFonts w:ascii="Times New Roman" w:hAnsi="Times New Roman"/>
          <w:sz w:val="24"/>
          <w:szCs w:val="24"/>
        </w:rPr>
        <w:t>(Penilaian Kekuatan Mampatan Matriks Simen-Resin Terpakai yang dicampur dengan Bioarang)</w:t>
      </w:r>
    </w:p>
    <w:p w:rsidR="00B653D2" w:rsidRPr="00802DCC" w:rsidRDefault="00B653D2" w:rsidP="00B653D2">
      <w:pPr>
        <w:spacing w:after="0" w:line="240" w:lineRule="auto"/>
        <w:jc w:val="center"/>
        <w:rPr>
          <w:rFonts w:ascii="Times New Roman" w:hAnsi="Times New Roman"/>
          <w:noProof/>
          <w:sz w:val="20"/>
          <w:szCs w:val="20"/>
          <w:lang w:bidi="ar-SA"/>
        </w:rPr>
      </w:pPr>
    </w:p>
    <w:p w:rsidR="00B653D2" w:rsidRDefault="00B653D2" w:rsidP="00B653D2">
      <w:pPr>
        <w:spacing w:after="0" w:line="240" w:lineRule="auto"/>
        <w:jc w:val="center"/>
        <w:rPr>
          <w:rFonts w:ascii="Times New Roman" w:hAnsi="Times New Roman"/>
          <w:szCs w:val="20"/>
        </w:rPr>
      </w:pPr>
      <w:r w:rsidRPr="001430CA">
        <w:rPr>
          <w:rFonts w:ascii="Times New Roman" w:hAnsi="Times New Roman"/>
          <w:szCs w:val="20"/>
        </w:rPr>
        <w:t>Zalina Laili</w:t>
      </w:r>
      <w:r w:rsidRPr="001430CA">
        <w:rPr>
          <w:rFonts w:ascii="Times New Roman" w:hAnsi="Times New Roman"/>
          <w:szCs w:val="20"/>
          <w:vertAlign w:val="superscript"/>
        </w:rPr>
        <w:t>1, 2</w:t>
      </w:r>
      <w:r w:rsidRPr="009650CB">
        <w:rPr>
          <w:rFonts w:ascii="Times New Roman" w:hAnsi="Times New Roman"/>
          <w:szCs w:val="20"/>
        </w:rPr>
        <w:t>*</w:t>
      </w:r>
      <w:r w:rsidRPr="001430CA">
        <w:rPr>
          <w:rFonts w:ascii="Times New Roman" w:hAnsi="Times New Roman"/>
          <w:szCs w:val="20"/>
        </w:rPr>
        <w:t>, Muhamad Samudi Yasir</w:t>
      </w:r>
      <w:r w:rsidRPr="001430CA">
        <w:rPr>
          <w:rFonts w:ascii="Times New Roman" w:hAnsi="Times New Roman"/>
          <w:szCs w:val="20"/>
          <w:vertAlign w:val="superscript"/>
        </w:rPr>
        <w:t>1</w:t>
      </w:r>
      <w:r w:rsidRPr="001430CA">
        <w:rPr>
          <w:rFonts w:ascii="Times New Roman" w:hAnsi="Times New Roman"/>
          <w:szCs w:val="20"/>
        </w:rPr>
        <w:t>, Mohd Abdul Wahab</w:t>
      </w:r>
      <w:r w:rsidRPr="001430CA">
        <w:rPr>
          <w:rFonts w:ascii="Times New Roman" w:hAnsi="Times New Roman"/>
          <w:szCs w:val="20"/>
          <w:vertAlign w:val="superscript"/>
        </w:rPr>
        <w:t>2</w:t>
      </w:r>
      <w:r w:rsidRPr="001430CA">
        <w:rPr>
          <w:rFonts w:ascii="Times New Roman" w:hAnsi="Times New Roman"/>
          <w:szCs w:val="20"/>
        </w:rPr>
        <w:t>, Nur Azna Mahmud</w:t>
      </w:r>
      <w:r w:rsidRPr="001430CA">
        <w:rPr>
          <w:rFonts w:ascii="Times New Roman" w:hAnsi="Times New Roman"/>
          <w:szCs w:val="20"/>
          <w:vertAlign w:val="superscript"/>
        </w:rPr>
        <w:t>2</w:t>
      </w:r>
      <w:r w:rsidRPr="001430CA">
        <w:rPr>
          <w:rFonts w:ascii="Times New Roman" w:hAnsi="Times New Roman"/>
          <w:szCs w:val="20"/>
        </w:rPr>
        <w:t xml:space="preserve">, </w:t>
      </w:r>
    </w:p>
    <w:p w:rsidR="00B653D2" w:rsidRPr="00802DCC" w:rsidRDefault="00B653D2" w:rsidP="00B653D2">
      <w:pPr>
        <w:spacing w:after="0" w:line="240" w:lineRule="auto"/>
        <w:jc w:val="center"/>
        <w:rPr>
          <w:rFonts w:ascii="Times New Roman" w:hAnsi="Times New Roman"/>
          <w:noProof/>
          <w:sz w:val="18"/>
          <w:szCs w:val="18"/>
          <w:lang w:bidi="ar-SA"/>
        </w:rPr>
      </w:pPr>
      <w:r w:rsidRPr="001430CA">
        <w:rPr>
          <w:rFonts w:ascii="Times New Roman" w:hAnsi="Times New Roman"/>
          <w:szCs w:val="20"/>
        </w:rPr>
        <w:t>Nurfazlina Zainal Abidin</w:t>
      </w:r>
      <w:r w:rsidRPr="001430CA">
        <w:rPr>
          <w:rFonts w:ascii="Times New Roman" w:hAnsi="Times New Roman"/>
          <w:szCs w:val="20"/>
          <w:vertAlign w:val="superscript"/>
        </w:rPr>
        <w:t>2</w:t>
      </w:r>
    </w:p>
    <w:p w:rsidR="00B653D2" w:rsidRPr="00B653D2" w:rsidRDefault="00B653D2" w:rsidP="00B653D2">
      <w:pPr>
        <w:spacing w:after="0" w:line="240" w:lineRule="auto"/>
        <w:jc w:val="center"/>
        <w:outlineLvl w:val="0"/>
        <w:rPr>
          <w:rFonts w:ascii="Times New Roman" w:hAnsi="Times New Roman"/>
          <w:b/>
          <w:color w:val="548DD4" w:themeColor="text2" w:themeTint="99"/>
          <w:sz w:val="20"/>
          <w:szCs w:val="20"/>
        </w:rPr>
      </w:pPr>
    </w:p>
    <w:p w:rsidR="00B653D2" w:rsidRPr="00B653D2" w:rsidRDefault="00B653D2" w:rsidP="00B653D2">
      <w:pPr>
        <w:spacing w:after="0" w:line="240" w:lineRule="auto"/>
        <w:jc w:val="center"/>
        <w:outlineLvl w:val="0"/>
        <w:rPr>
          <w:rFonts w:ascii="Times New Roman" w:hAnsi="Times New Roman"/>
          <w:i/>
          <w:sz w:val="20"/>
          <w:szCs w:val="20"/>
        </w:rPr>
      </w:pPr>
      <w:r w:rsidRPr="00B653D2">
        <w:rPr>
          <w:rFonts w:ascii="Times New Roman" w:hAnsi="Times New Roman"/>
          <w:i/>
          <w:sz w:val="20"/>
          <w:szCs w:val="20"/>
          <w:vertAlign w:val="superscript"/>
        </w:rPr>
        <w:t>1</w:t>
      </w:r>
      <w:r w:rsidRPr="00B653D2">
        <w:rPr>
          <w:rFonts w:ascii="Times New Roman" w:hAnsi="Times New Roman"/>
          <w:i/>
          <w:sz w:val="20"/>
          <w:szCs w:val="20"/>
        </w:rPr>
        <w:t>Nuclear Science Programme,</w:t>
      </w:r>
    </w:p>
    <w:p w:rsidR="00B653D2" w:rsidRPr="00B653D2" w:rsidRDefault="00B653D2" w:rsidP="00B653D2">
      <w:pPr>
        <w:spacing w:after="0" w:line="240" w:lineRule="auto"/>
        <w:jc w:val="center"/>
        <w:outlineLvl w:val="0"/>
        <w:rPr>
          <w:rFonts w:ascii="Times New Roman" w:hAnsi="Times New Roman"/>
          <w:i/>
          <w:sz w:val="20"/>
          <w:szCs w:val="20"/>
        </w:rPr>
      </w:pPr>
      <w:r w:rsidRPr="00B653D2">
        <w:rPr>
          <w:rFonts w:ascii="Times New Roman" w:hAnsi="Times New Roman"/>
          <w:i/>
          <w:sz w:val="20"/>
          <w:szCs w:val="20"/>
        </w:rPr>
        <w:t>School of Applied Physics, Faculty of Science and Technology</w:t>
      </w:r>
    </w:p>
    <w:p w:rsidR="00B653D2" w:rsidRPr="00B653D2" w:rsidRDefault="00B653D2" w:rsidP="00B653D2">
      <w:pPr>
        <w:spacing w:after="0" w:line="240" w:lineRule="auto"/>
        <w:jc w:val="center"/>
        <w:outlineLvl w:val="0"/>
        <w:rPr>
          <w:rFonts w:ascii="Times New Roman" w:hAnsi="Times New Roman"/>
          <w:i/>
          <w:sz w:val="20"/>
          <w:szCs w:val="20"/>
        </w:rPr>
      </w:pPr>
      <w:r w:rsidRPr="00B653D2">
        <w:rPr>
          <w:rFonts w:ascii="Times New Roman" w:hAnsi="Times New Roman"/>
          <w:i/>
          <w:sz w:val="20"/>
          <w:szCs w:val="20"/>
        </w:rPr>
        <w:t>Universiti Kebangsaan Malaysia, 43600 UKM Bangi, Selangor Darul Ehsan&lt; Malaysia</w:t>
      </w:r>
    </w:p>
    <w:p w:rsidR="00B653D2" w:rsidRPr="00B653D2" w:rsidRDefault="00B653D2" w:rsidP="00B653D2">
      <w:pPr>
        <w:spacing w:after="0" w:line="240" w:lineRule="auto"/>
        <w:jc w:val="center"/>
        <w:outlineLvl w:val="0"/>
        <w:rPr>
          <w:rFonts w:ascii="Times New Roman" w:hAnsi="Times New Roman"/>
          <w:i/>
          <w:sz w:val="20"/>
          <w:szCs w:val="20"/>
        </w:rPr>
      </w:pPr>
      <w:r w:rsidRPr="00B653D2">
        <w:rPr>
          <w:rFonts w:ascii="Times New Roman" w:hAnsi="Times New Roman"/>
          <w:i/>
          <w:sz w:val="20"/>
          <w:szCs w:val="20"/>
          <w:vertAlign w:val="superscript"/>
        </w:rPr>
        <w:t>2</w:t>
      </w:r>
      <w:r w:rsidRPr="00B653D2">
        <w:rPr>
          <w:rFonts w:ascii="Times New Roman" w:hAnsi="Times New Roman"/>
          <w:i/>
          <w:sz w:val="20"/>
          <w:szCs w:val="20"/>
        </w:rPr>
        <w:t>Waste &amp; Environmental Technology Division</w:t>
      </w:r>
    </w:p>
    <w:p w:rsidR="00B653D2" w:rsidRPr="00B653D2" w:rsidRDefault="00B653D2" w:rsidP="00B653D2">
      <w:pPr>
        <w:spacing w:after="0" w:line="240" w:lineRule="auto"/>
        <w:jc w:val="center"/>
        <w:outlineLvl w:val="0"/>
        <w:rPr>
          <w:rFonts w:ascii="Times New Roman" w:hAnsi="Times New Roman"/>
          <w:i/>
          <w:sz w:val="20"/>
          <w:szCs w:val="20"/>
        </w:rPr>
      </w:pPr>
      <w:r w:rsidRPr="00B653D2">
        <w:rPr>
          <w:rFonts w:ascii="Times New Roman" w:hAnsi="Times New Roman"/>
          <w:i/>
          <w:sz w:val="20"/>
          <w:szCs w:val="20"/>
        </w:rPr>
        <w:t>Malaysian Nuclear Agency (Nuclear Malaysia), 43000 Bangi, Kajang, Selangor Darul Ehsan, Malaysia</w:t>
      </w:r>
    </w:p>
    <w:p w:rsidR="00B653D2" w:rsidRPr="00B653D2" w:rsidRDefault="00B653D2" w:rsidP="00B653D2">
      <w:pPr>
        <w:spacing w:after="0" w:line="240" w:lineRule="auto"/>
        <w:jc w:val="center"/>
        <w:rPr>
          <w:rFonts w:ascii="Times New Roman" w:hAnsi="Times New Roman"/>
          <w:noProof/>
          <w:sz w:val="20"/>
          <w:szCs w:val="20"/>
          <w:lang w:bidi="ar-SA"/>
        </w:rPr>
      </w:pPr>
    </w:p>
    <w:p w:rsidR="00B653D2" w:rsidRPr="00B653D2" w:rsidRDefault="00B653D2" w:rsidP="00B653D2">
      <w:pPr>
        <w:spacing w:after="0" w:line="240" w:lineRule="auto"/>
        <w:jc w:val="center"/>
        <w:outlineLvl w:val="0"/>
        <w:rPr>
          <w:rFonts w:ascii="Times New Roman" w:hAnsi="Times New Roman"/>
          <w:i/>
          <w:color w:val="548DD4"/>
          <w:sz w:val="20"/>
          <w:szCs w:val="20"/>
        </w:rPr>
      </w:pPr>
      <w:r w:rsidRPr="00B653D2">
        <w:rPr>
          <w:rFonts w:ascii="Times New Roman" w:hAnsi="Times New Roman"/>
          <w:i/>
          <w:noProof/>
          <w:sz w:val="20"/>
          <w:szCs w:val="20"/>
          <w:lang w:bidi="ar-SA"/>
        </w:rPr>
        <w:t xml:space="preserve">*Corresponding author: </w:t>
      </w:r>
      <w:r w:rsidRPr="00B653D2">
        <w:rPr>
          <w:rFonts w:ascii="Times New Roman" w:hAnsi="Times New Roman"/>
          <w:i/>
          <w:sz w:val="20"/>
          <w:szCs w:val="20"/>
        </w:rPr>
        <w:t>liena@nm.gov.my</w:t>
      </w:r>
      <w:r w:rsidRPr="00B653D2">
        <w:rPr>
          <w:rFonts w:ascii="Times New Roman" w:hAnsi="Times New Roman"/>
          <w:i/>
          <w:color w:val="548DD4"/>
          <w:sz w:val="20"/>
          <w:szCs w:val="20"/>
        </w:rPr>
        <w:t xml:space="preserve"> </w:t>
      </w:r>
    </w:p>
    <w:p w:rsidR="00B653D2" w:rsidRPr="00B653D2" w:rsidRDefault="00B653D2" w:rsidP="00B653D2">
      <w:pPr>
        <w:spacing w:after="0" w:line="240" w:lineRule="auto"/>
        <w:jc w:val="center"/>
        <w:rPr>
          <w:rFonts w:ascii="Times New Roman" w:hAnsi="Times New Roman"/>
          <w:i/>
          <w:noProof/>
          <w:sz w:val="20"/>
          <w:szCs w:val="20"/>
          <w:lang w:bidi="ar-SA"/>
        </w:rPr>
      </w:pPr>
    </w:p>
    <w:p w:rsidR="00B653D2" w:rsidRPr="00B653D2" w:rsidRDefault="00B653D2" w:rsidP="00B653D2">
      <w:pPr>
        <w:spacing w:after="0" w:line="240" w:lineRule="auto"/>
        <w:jc w:val="center"/>
        <w:rPr>
          <w:rFonts w:ascii="Times New Roman" w:hAnsi="Times New Roman"/>
          <w:i/>
          <w:noProof/>
          <w:sz w:val="20"/>
          <w:szCs w:val="20"/>
          <w:lang w:bidi="ar-SA"/>
        </w:rPr>
      </w:pPr>
    </w:p>
    <w:p w:rsidR="00B653D2" w:rsidRPr="00B653D2" w:rsidRDefault="00B653D2" w:rsidP="00B653D2">
      <w:pPr>
        <w:spacing w:after="0" w:line="240" w:lineRule="auto"/>
        <w:jc w:val="center"/>
        <w:rPr>
          <w:rFonts w:ascii="Times New Roman" w:hAnsi="Times New Roman"/>
          <w:noProof/>
          <w:sz w:val="20"/>
          <w:szCs w:val="20"/>
          <w:lang w:bidi="ar-SA"/>
        </w:rPr>
      </w:pPr>
      <w:r w:rsidRPr="00B653D2">
        <w:rPr>
          <w:rFonts w:ascii="Times New Roman" w:hAnsi="Times New Roman"/>
          <w:noProof/>
          <w:sz w:val="20"/>
          <w:szCs w:val="20"/>
          <w:lang w:bidi="ar-SA"/>
        </w:rPr>
        <w:t>Received: 2 April 2015; Accepted: 25 May 2015</w:t>
      </w:r>
    </w:p>
    <w:p w:rsidR="00B653D2" w:rsidRPr="00B653D2" w:rsidRDefault="00B653D2" w:rsidP="00B653D2">
      <w:pPr>
        <w:spacing w:after="0" w:line="240" w:lineRule="auto"/>
        <w:jc w:val="center"/>
        <w:rPr>
          <w:rFonts w:ascii="Times New Roman" w:hAnsi="Times New Roman"/>
          <w:noProof/>
          <w:sz w:val="20"/>
          <w:szCs w:val="20"/>
          <w:lang w:bidi="ar-SA"/>
        </w:rPr>
      </w:pPr>
    </w:p>
    <w:p w:rsidR="00B653D2" w:rsidRPr="00B653D2" w:rsidRDefault="00B653D2" w:rsidP="00B653D2">
      <w:pPr>
        <w:spacing w:after="0" w:line="240" w:lineRule="auto"/>
        <w:jc w:val="center"/>
        <w:rPr>
          <w:rFonts w:ascii="Times New Roman" w:hAnsi="Times New Roman"/>
          <w:noProof/>
          <w:sz w:val="20"/>
          <w:szCs w:val="20"/>
          <w:lang w:bidi="ar-SA"/>
        </w:rPr>
      </w:pPr>
    </w:p>
    <w:p w:rsidR="00B653D2" w:rsidRPr="00B653D2" w:rsidRDefault="00B653D2" w:rsidP="00B653D2">
      <w:pPr>
        <w:spacing w:after="0" w:line="240" w:lineRule="auto"/>
        <w:jc w:val="center"/>
        <w:rPr>
          <w:rFonts w:ascii="Times New Roman" w:hAnsi="Times New Roman"/>
          <w:b/>
          <w:noProof/>
          <w:sz w:val="20"/>
          <w:szCs w:val="20"/>
          <w:lang w:bidi="ar-SA"/>
        </w:rPr>
      </w:pPr>
      <w:r w:rsidRPr="00B653D2">
        <w:rPr>
          <w:rFonts w:ascii="Times New Roman" w:hAnsi="Times New Roman"/>
          <w:b/>
          <w:noProof/>
          <w:sz w:val="20"/>
          <w:szCs w:val="20"/>
          <w:lang w:bidi="ar-SA"/>
        </w:rPr>
        <w:t>Abstract</w:t>
      </w:r>
    </w:p>
    <w:p w:rsidR="00B653D2" w:rsidRPr="00B653D2" w:rsidRDefault="00B653D2" w:rsidP="00B653D2">
      <w:pPr>
        <w:spacing w:after="0" w:line="240" w:lineRule="auto"/>
        <w:jc w:val="both"/>
        <w:outlineLvl w:val="0"/>
        <w:rPr>
          <w:rFonts w:ascii="Times New Roman" w:hAnsi="Times New Roman"/>
          <w:sz w:val="20"/>
          <w:szCs w:val="20"/>
        </w:rPr>
      </w:pPr>
      <w:r w:rsidRPr="00B653D2">
        <w:rPr>
          <w:rFonts w:ascii="Times New Roman" w:hAnsi="Times New Roman"/>
          <w:sz w:val="20"/>
          <w:szCs w:val="20"/>
        </w:rPr>
        <w:t xml:space="preserve">The evaluation of compressive strength of cement-spent resins matrix mixed with biochar was investigated. In this study, biochar with different percentage (5%, 8%, 11% 14% and 18%) was used as alternative admixture material for cement solidification of spent resins. Some properties of the physical and chemical of spent resins and biochar were also investigated. The performance of cemented spent resins with the addition of biochar was evaluated based on their compressive strength and the water resistance test. The compressive strength was evaluated at three different curing periods of 7, 14 and 28 days, while 4 weeks of immersion in distilled water was chosen for water resistance test. The result indicated that the compressive strength at 7, 14 and 28 days of curing periods were above the minimum criterion i.e. &gt; 3.45 MPa of acceptable level for cemented waste form. Statistical analysis showed that there was no significant relationship between the compressive strength of the specimen and the percentage of biochar content. Result from the water resistance test showed that only one specimen that contained of 5% of biochar failed the water resistance test due to the high of spent resins/biochar ratio. The compressive strength of cement solidified spent resins was found increased after the water resistance test indicating further hydration occurred after immersed in water. The results of this study also suggest that the specimen with 8%, 11%, 14% and 18% of biochar content were resistance in water and suitable for the leaching study of radionuclides from cement-biochar-spent resins matrix. </w:t>
      </w:r>
    </w:p>
    <w:p w:rsidR="00B653D2" w:rsidRPr="00B653D2" w:rsidRDefault="00B653D2" w:rsidP="00B653D2">
      <w:pPr>
        <w:spacing w:after="0" w:line="240" w:lineRule="auto"/>
        <w:jc w:val="both"/>
        <w:outlineLvl w:val="0"/>
        <w:rPr>
          <w:rFonts w:ascii="Times New Roman" w:hAnsi="Times New Roman"/>
          <w:sz w:val="20"/>
          <w:szCs w:val="20"/>
        </w:rPr>
      </w:pPr>
    </w:p>
    <w:p w:rsidR="00B653D2" w:rsidRPr="00B653D2" w:rsidRDefault="00B653D2" w:rsidP="00B653D2">
      <w:pPr>
        <w:spacing w:after="0" w:line="240" w:lineRule="auto"/>
        <w:jc w:val="both"/>
        <w:outlineLvl w:val="0"/>
        <w:rPr>
          <w:rFonts w:ascii="Times New Roman" w:hAnsi="Times New Roman"/>
          <w:color w:val="548DD4"/>
          <w:sz w:val="20"/>
          <w:szCs w:val="20"/>
        </w:rPr>
      </w:pPr>
      <w:r w:rsidRPr="00B653D2">
        <w:rPr>
          <w:rFonts w:ascii="Times New Roman" w:hAnsi="Times New Roman"/>
          <w:b/>
          <w:sz w:val="20"/>
          <w:szCs w:val="20"/>
        </w:rPr>
        <w:t>Keywords</w:t>
      </w:r>
      <w:r w:rsidRPr="00B653D2">
        <w:rPr>
          <w:rFonts w:ascii="Times New Roman" w:hAnsi="Times New Roman"/>
          <w:sz w:val="20"/>
          <w:szCs w:val="20"/>
        </w:rPr>
        <w:t>: biochar, cement, compressive strength, solidification, spent resins, water resistance</w:t>
      </w:r>
      <w:r w:rsidRPr="00B653D2">
        <w:rPr>
          <w:rFonts w:ascii="Times New Roman" w:hAnsi="Times New Roman"/>
          <w:b/>
          <w:color w:val="548DD4"/>
          <w:sz w:val="20"/>
          <w:szCs w:val="20"/>
        </w:rPr>
        <w:t xml:space="preserve"> </w:t>
      </w:r>
    </w:p>
    <w:p w:rsidR="00B653D2" w:rsidRPr="00B653D2" w:rsidRDefault="00B653D2" w:rsidP="00B653D2">
      <w:pPr>
        <w:spacing w:after="0" w:line="240" w:lineRule="auto"/>
        <w:jc w:val="center"/>
        <w:rPr>
          <w:rFonts w:ascii="Times New Roman" w:hAnsi="Times New Roman"/>
          <w:noProof/>
          <w:sz w:val="20"/>
          <w:szCs w:val="20"/>
          <w:lang w:bidi="ar-SA"/>
        </w:rPr>
      </w:pPr>
    </w:p>
    <w:p w:rsidR="00B653D2" w:rsidRPr="00B653D2" w:rsidRDefault="00B653D2" w:rsidP="00B653D2">
      <w:pPr>
        <w:spacing w:after="0" w:line="240" w:lineRule="auto"/>
        <w:jc w:val="center"/>
        <w:rPr>
          <w:rFonts w:ascii="Times New Roman" w:hAnsi="Times New Roman"/>
          <w:b/>
          <w:noProof/>
          <w:sz w:val="20"/>
          <w:szCs w:val="20"/>
          <w:lang w:bidi="ar-SA"/>
        </w:rPr>
      </w:pPr>
      <w:r w:rsidRPr="00B653D2">
        <w:rPr>
          <w:rFonts w:ascii="Times New Roman" w:hAnsi="Times New Roman"/>
          <w:b/>
          <w:noProof/>
          <w:sz w:val="20"/>
          <w:szCs w:val="20"/>
          <w:lang w:bidi="ar-SA"/>
        </w:rPr>
        <w:t>Abstrak</w:t>
      </w:r>
    </w:p>
    <w:p w:rsidR="00B653D2" w:rsidRPr="00B653D2" w:rsidRDefault="00B653D2" w:rsidP="00B653D2">
      <w:pPr>
        <w:spacing w:after="0" w:line="240" w:lineRule="auto"/>
        <w:jc w:val="both"/>
        <w:outlineLvl w:val="0"/>
        <w:rPr>
          <w:rFonts w:ascii="Times New Roman" w:hAnsi="Times New Roman"/>
          <w:sz w:val="20"/>
          <w:szCs w:val="20"/>
        </w:rPr>
      </w:pPr>
      <w:r w:rsidRPr="00B653D2">
        <w:rPr>
          <w:rFonts w:ascii="Times New Roman" w:hAnsi="Times New Roman"/>
          <w:sz w:val="20"/>
          <w:szCs w:val="20"/>
        </w:rPr>
        <w:t xml:space="preserve">Penilaian terhadap kekuatan mampatan matriks simen-resin terpakai yang dicampur dengan bioarang telah dijalankan. Dalam kajian ini, bioarang dengan peratusan yang berbeza (5%, 8%, 11% 14% dan 18%) telah digunakan sebagai bahan tambah bagi pemejalan menggunakan simen ke atas resin terpakai. Beberapa sifat fizik dan kimia resin terpakai dan bioarang juga dikaji. Prestasi resin terpakai yang disimenkan dengan ditambah bioarang dinilai berdasarkan kekuatan mampatan dan ujian ketahanan air. Hasil kajian menunjukkan kekuatan mampatan pada 7, 14 dan 28 hari masa pengawetan adalah melebihi kriteria minimum aras penerimaan bentuk sisa, iaitu 3.45 MPa.  Analisis statistik menunjukkan tiada perkaitan signifikan di antara kekuatan mampatan spesimen </w:t>
      </w:r>
      <w:r w:rsidRPr="00B653D2">
        <w:rPr>
          <w:rFonts w:ascii="Times New Roman" w:hAnsi="Times New Roman"/>
          <w:sz w:val="20"/>
          <w:szCs w:val="20"/>
        </w:rPr>
        <w:lastRenderedPageBreak/>
        <w:t>dan peratusan kandungan bioarang. Hasil kajian ke atas ketahanan air pula menunjukkan hanya satu spesimen, iaitu yang mengandungi 5% bioarang gagal dalam ujian ketahanan air. Kekuatan mampatan spesimen didapati meningkat selepas ujian ketahanan air. Ini menunjukkan berlaku kesinambungan dalam penghidratan selepas direndam di dalam air. Keputusan daripada kajian ini juga mencadangkan spesimen dengan kandungan bioarang sebanyak 8%, 11%, 14% dan 18% adalah tahan di dalam air dan sesuai untuk menjalani kajian larut lesap radionuklid daripada matriks simen-bioarang-resin terpakai.</w:t>
      </w:r>
    </w:p>
    <w:p w:rsidR="00B653D2" w:rsidRPr="00B653D2" w:rsidRDefault="00B653D2" w:rsidP="00B653D2">
      <w:pPr>
        <w:spacing w:after="0" w:line="240" w:lineRule="auto"/>
        <w:jc w:val="both"/>
        <w:outlineLvl w:val="0"/>
        <w:rPr>
          <w:rFonts w:ascii="Times New Roman" w:hAnsi="Times New Roman"/>
          <w:sz w:val="20"/>
          <w:szCs w:val="20"/>
        </w:rPr>
      </w:pPr>
    </w:p>
    <w:p w:rsidR="00681051" w:rsidRDefault="00B653D2" w:rsidP="00B653D2">
      <w:pPr>
        <w:spacing w:after="0" w:line="240" w:lineRule="auto"/>
        <w:jc w:val="both"/>
        <w:outlineLvl w:val="0"/>
        <w:rPr>
          <w:rFonts w:ascii="Times New Roman" w:hAnsi="Times New Roman"/>
          <w:sz w:val="20"/>
          <w:szCs w:val="20"/>
        </w:rPr>
      </w:pPr>
      <w:r w:rsidRPr="00B653D2">
        <w:rPr>
          <w:rFonts w:ascii="Times New Roman" w:hAnsi="Times New Roman"/>
          <w:b/>
          <w:sz w:val="20"/>
          <w:szCs w:val="20"/>
        </w:rPr>
        <w:t xml:space="preserve">Kata kunci: </w:t>
      </w:r>
      <w:r w:rsidRPr="00B653D2">
        <w:rPr>
          <w:rFonts w:ascii="Times New Roman" w:hAnsi="Times New Roman"/>
          <w:sz w:val="20"/>
          <w:szCs w:val="20"/>
        </w:rPr>
        <w:t>bioarang, simen, kekuatan mampatan, pemejalan, resin terpakai, ketahanan air</w:t>
      </w:r>
      <w:bookmarkStart w:id="0" w:name="_GoBack"/>
      <w:bookmarkEnd w:id="0"/>
    </w:p>
    <w:p w:rsidR="00B653D2" w:rsidRDefault="00B653D2" w:rsidP="00B653D2">
      <w:pPr>
        <w:spacing w:after="0" w:line="240" w:lineRule="auto"/>
        <w:jc w:val="both"/>
        <w:outlineLvl w:val="0"/>
        <w:rPr>
          <w:rFonts w:ascii="Times New Roman" w:hAnsi="Times New Roman"/>
          <w:sz w:val="20"/>
          <w:szCs w:val="20"/>
        </w:rPr>
      </w:pPr>
    </w:p>
    <w:p w:rsidR="00B653D2" w:rsidRPr="00B653D2" w:rsidRDefault="00B653D2" w:rsidP="00B653D2">
      <w:pPr>
        <w:spacing w:after="0" w:line="240" w:lineRule="auto"/>
        <w:jc w:val="center"/>
        <w:outlineLvl w:val="0"/>
        <w:rPr>
          <w:rFonts w:ascii="Times New Roman" w:hAnsi="Times New Roman"/>
          <w:b/>
          <w:sz w:val="20"/>
          <w:szCs w:val="20"/>
        </w:rPr>
      </w:pPr>
      <w:r w:rsidRPr="00B653D2">
        <w:rPr>
          <w:rFonts w:ascii="Times New Roman" w:hAnsi="Times New Roman"/>
          <w:b/>
          <w:sz w:val="20"/>
          <w:szCs w:val="20"/>
        </w:rPr>
        <w:t>References</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Vanderperre,S., Centner,B. and Charpentier, D. (2010). Radioactive Spent Ion-Exchange Resins Conditioning by the Hot Supercompaction Process at Tihange NPP, </w:t>
      </w:r>
      <w:r w:rsidRPr="007264C1">
        <w:rPr>
          <w:rFonts w:ascii="Times New Roman" w:hAnsi="Times New Roman"/>
          <w:i/>
          <w:color w:val="000000" w:themeColor="text1" w:themeShade="80"/>
          <w:sz w:val="20"/>
          <w:szCs w:val="20"/>
        </w:rPr>
        <w:t xml:space="preserve">WN2010 Conference Transcript </w:t>
      </w:r>
      <w:r w:rsidRPr="007264C1">
        <w:rPr>
          <w:rFonts w:ascii="Times New Roman" w:hAnsi="Times New Roman"/>
          <w:color w:val="000000" w:themeColor="text1" w:themeShade="80"/>
          <w:sz w:val="20"/>
          <w:szCs w:val="20"/>
        </w:rPr>
        <w:t>6:</w:t>
      </w:r>
      <w:r>
        <w:rPr>
          <w:rFonts w:ascii="Times New Roman" w:hAnsi="Times New Roman"/>
          <w:color w:val="000000" w:themeColor="text1" w:themeShade="80"/>
          <w:sz w:val="20"/>
          <w:szCs w:val="20"/>
        </w:rPr>
        <w:t xml:space="preserve"> pp. 4954-496</w:t>
      </w:r>
      <w:r w:rsidRPr="007264C1">
        <w:rPr>
          <w:rFonts w:ascii="Times New Roman" w:hAnsi="Times New Roman"/>
          <w:color w:val="000000" w:themeColor="text1" w:themeShade="80"/>
          <w:sz w:val="20"/>
          <w:szCs w:val="20"/>
        </w:rPr>
        <w:t>.</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Junfeng, L. Gang, Z. and Jianlong, W. (2005). Solidification of low-level radioactive waste resins in ASC-zeolite blends. </w:t>
      </w:r>
      <w:r w:rsidRPr="007264C1">
        <w:rPr>
          <w:rFonts w:ascii="Times New Roman" w:hAnsi="Times New Roman"/>
          <w:i/>
          <w:color w:val="000000" w:themeColor="text1" w:themeShade="80"/>
          <w:sz w:val="20"/>
          <w:szCs w:val="20"/>
        </w:rPr>
        <w:t>Nuclear Engineering and Design</w:t>
      </w:r>
      <w:r w:rsidRPr="007264C1">
        <w:rPr>
          <w:rFonts w:ascii="Times New Roman" w:hAnsi="Times New Roman"/>
          <w:color w:val="000000" w:themeColor="text1" w:themeShade="80"/>
          <w:sz w:val="20"/>
          <w:szCs w:val="20"/>
        </w:rPr>
        <w:t xml:space="preserve"> 235: 817-820.</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Style w:val="Emphasis"/>
          <w:rFonts w:ascii="Times New Roman" w:hAnsi="Times New Roman"/>
          <w:b w:val="0"/>
          <w:bCs w:val="0"/>
          <w:i w:val="0"/>
          <w:color w:val="000000" w:themeColor="text1" w:themeShade="80"/>
          <w:sz w:val="20"/>
          <w:szCs w:val="20"/>
        </w:rPr>
      </w:pPr>
      <w:r w:rsidRPr="007264C1">
        <w:rPr>
          <w:rStyle w:val="Emphasis"/>
          <w:rFonts w:ascii="Times New Roman" w:hAnsi="Times New Roman"/>
          <w:b w:val="0"/>
          <w:i w:val="0"/>
          <w:color w:val="000000" w:themeColor="text1" w:themeShade="80"/>
          <w:sz w:val="20"/>
          <w:szCs w:val="20"/>
        </w:rPr>
        <w:t xml:space="preserve">Wang, J. and Wan, Z. (2015). Treatment and disposal of spent radioactive ion-exchange resins produced in the nuclear industry. </w:t>
      </w:r>
      <w:r w:rsidRPr="007264C1">
        <w:rPr>
          <w:rStyle w:val="Emphasis"/>
          <w:rFonts w:ascii="Times New Roman" w:hAnsi="Times New Roman"/>
          <w:b w:val="0"/>
          <w:color w:val="000000" w:themeColor="text1" w:themeShade="80"/>
          <w:sz w:val="20"/>
          <w:szCs w:val="20"/>
        </w:rPr>
        <w:t>Progress in Nuclear Energy</w:t>
      </w:r>
      <w:r w:rsidRPr="007264C1">
        <w:rPr>
          <w:rStyle w:val="Emphasis"/>
          <w:rFonts w:ascii="Times New Roman" w:hAnsi="Times New Roman"/>
          <w:b w:val="0"/>
          <w:i w:val="0"/>
          <w:color w:val="000000" w:themeColor="text1" w:themeShade="80"/>
          <w:sz w:val="20"/>
          <w:szCs w:val="20"/>
        </w:rPr>
        <w:t>, 78:47-55.</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Style w:val="Emphasis"/>
          <w:rFonts w:ascii="Times New Roman" w:hAnsi="Times New Roman"/>
          <w:b w:val="0"/>
          <w:i w:val="0"/>
          <w:color w:val="000000" w:themeColor="text1" w:themeShade="80"/>
          <w:sz w:val="20"/>
          <w:szCs w:val="20"/>
        </w:rPr>
        <w:t>Yarrow, D. (2014). How to make biochar. Access online</w:t>
      </w:r>
      <w:r w:rsidRPr="007264C1">
        <w:rPr>
          <w:rStyle w:val="Emphasis"/>
          <w:rFonts w:ascii="Times New Roman" w:hAnsi="Times New Roman"/>
          <w:color w:val="000000" w:themeColor="text1" w:themeShade="80"/>
          <w:sz w:val="20"/>
          <w:szCs w:val="20"/>
        </w:rPr>
        <w:t xml:space="preserve"> </w:t>
      </w:r>
      <w:r w:rsidRPr="007264C1">
        <w:rPr>
          <w:rFonts w:ascii="Times New Roman" w:hAnsi="Times New Roman"/>
          <w:sz w:val="20"/>
          <w:szCs w:val="20"/>
          <w:shd w:val="clear" w:color="auto" w:fill="FFFFFF"/>
        </w:rPr>
        <w:t>www.dyarrow.org/</w:t>
      </w:r>
      <w:r w:rsidRPr="007264C1">
        <w:rPr>
          <w:rFonts w:ascii="Times New Roman" w:hAnsi="Times New Roman"/>
          <w:bCs/>
          <w:sz w:val="20"/>
          <w:szCs w:val="20"/>
          <w:shd w:val="clear" w:color="auto" w:fill="FFFFFF"/>
        </w:rPr>
        <w:t>Carbon</w:t>
      </w:r>
      <w:r w:rsidRPr="007264C1">
        <w:rPr>
          <w:rFonts w:ascii="Times New Roman" w:hAnsi="Times New Roman"/>
          <w:sz w:val="20"/>
          <w:szCs w:val="20"/>
          <w:shd w:val="clear" w:color="auto" w:fill="FFFFFF"/>
        </w:rPr>
        <w:t>SmartFarming/CSF6-Adsorpt</w:t>
      </w:r>
      <w:r w:rsidRPr="007264C1">
        <w:rPr>
          <w:rFonts w:ascii="Times New Roman" w:hAnsi="Times New Roman"/>
          <w:bCs/>
          <w:sz w:val="20"/>
          <w:szCs w:val="20"/>
          <w:shd w:val="clear" w:color="auto" w:fill="FFFFFF"/>
        </w:rPr>
        <w:t>ion</w:t>
      </w:r>
      <w:r w:rsidRPr="007264C1">
        <w:rPr>
          <w:rFonts w:ascii="Times New Roman" w:hAnsi="Times New Roman"/>
          <w:sz w:val="20"/>
          <w:szCs w:val="20"/>
          <w:shd w:val="clear" w:color="auto" w:fill="FFFFFF"/>
        </w:rPr>
        <w:t>.pps [6</w:t>
      </w:r>
      <w:r w:rsidRPr="007264C1">
        <w:rPr>
          <w:rFonts w:ascii="Times New Roman" w:hAnsi="Times New Roman"/>
          <w:color w:val="000000" w:themeColor="text1" w:themeShade="80"/>
          <w:sz w:val="20"/>
          <w:szCs w:val="20"/>
          <w:shd w:val="clear" w:color="auto" w:fill="FFFFFF"/>
        </w:rPr>
        <w:t xml:space="preserve"> Mac 2015].</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shd w:val="clear" w:color="auto" w:fill="FFFFFF"/>
        </w:rPr>
        <w:t xml:space="preserve">Yang, Y. and Sheng, G. (2003). Pesticide adsorptivity of aged particulate matter arising from crop residue burns. </w:t>
      </w:r>
      <w:r w:rsidRPr="007264C1">
        <w:rPr>
          <w:rFonts w:ascii="Times New Roman" w:hAnsi="Times New Roman"/>
          <w:i/>
          <w:color w:val="000000" w:themeColor="text1" w:themeShade="80"/>
          <w:sz w:val="20"/>
          <w:szCs w:val="20"/>
          <w:shd w:val="clear" w:color="auto" w:fill="FFFFFF"/>
        </w:rPr>
        <w:t xml:space="preserve">J.Agri.Food Chem. </w:t>
      </w:r>
      <w:r w:rsidRPr="007264C1">
        <w:rPr>
          <w:rFonts w:ascii="Times New Roman" w:hAnsi="Times New Roman"/>
          <w:color w:val="000000" w:themeColor="text1" w:themeShade="80"/>
          <w:sz w:val="20"/>
          <w:szCs w:val="20"/>
          <w:shd w:val="clear" w:color="auto" w:fill="FFFFFF"/>
        </w:rPr>
        <w:t>51:5047-5051.</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Beesley, L. and Marmiroli, M. (2011). The immobilization and retention of soluble arsenic, cadmium and zink by biochar.</w:t>
      </w:r>
      <w:r w:rsidRPr="007264C1">
        <w:rPr>
          <w:rFonts w:ascii="Times New Roman" w:hAnsi="Times New Roman"/>
          <w:i/>
          <w:color w:val="000000" w:themeColor="text1" w:themeShade="80"/>
          <w:sz w:val="20"/>
          <w:szCs w:val="20"/>
        </w:rPr>
        <w:t xml:space="preserve"> Environmental Pollution</w:t>
      </w:r>
      <w:r w:rsidRPr="007264C1">
        <w:rPr>
          <w:rFonts w:ascii="Times New Roman" w:hAnsi="Times New Roman"/>
          <w:color w:val="000000" w:themeColor="text1" w:themeShade="80"/>
          <w:sz w:val="20"/>
          <w:szCs w:val="20"/>
        </w:rPr>
        <w:t>. 159: 474-480.</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Kumar, S., Loganathan, V.A, Gupta, R.B and Bannet, M.O. (2011). An Assessment of U(VI) removal from groundwater using biochar produced from hydrothermal carbonization. </w:t>
      </w:r>
      <w:r w:rsidRPr="007264C1">
        <w:rPr>
          <w:rFonts w:ascii="Times New Roman" w:hAnsi="Times New Roman"/>
          <w:i/>
          <w:color w:val="000000" w:themeColor="text1" w:themeShade="80"/>
          <w:sz w:val="20"/>
          <w:szCs w:val="20"/>
        </w:rPr>
        <w:t xml:space="preserve">Journal of Environmental Management, </w:t>
      </w:r>
      <w:r w:rsidRPr="007264C1">
        <w:rPr>
          <w:rFonts w:ascii="Times New Roman" w:hAnsi="Times New Roman"/>
          <w:color w:val="000000" w:themeColor="text1" w:themeShade="80"/>
          <w:sz w:val="20"/>
          <w:szCs w:val="20"/>
        </w:rPr>
        <w:t>92:2504-2512.</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European Biochar Certificate. (2013). Analytical methods, </w:t>
      </w:r>
      <w:r w:rsidRPr="007264C1">
        <w:rPr>
          <w:rFonts w:ascii="Times New Roman" w:hAnsi="Times New Roman"/>
          <w:sz w:val="20"/>
          <w:szCs w:val="20"/>
        </w:rPr>
        <w:t>http://www.european-biochar.org/en/analytical%20methods</w:t>
      </w:r>
      <w:r w:rsidRPr="007264C1">
        <w:rPr>
          <w:rFonts w:ascii="Times New Roman" w:hAnsi="Times New Roman"/>
          <w:color w:val="000000" w:themeColor="text1" w:themeShade="80"/>
          <w:sz w:val="20"/>
          <w:szCs w:val="20"/>
        </w:rPr>
        <w:t xml:space="preserve"> [3 Mac 2015].</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ASTM Standards (2008). Standard test method for compressive strength of cylindrical concrete specimen C39/C39M-05. ASTM International. United States.</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Siskind, B. and Cowgill, M. G. (1992). Techincal justifications for the test and criteria in the waste form technical position appendix on cement stabilisation. </w:t>
      </w:r>
      <w:r w:rsidRPr="007264C1">
        <w:rPr>
          <w:rFonts w:ascii="Times New Roman" w:hAnsi="Times New Roman"/>
          <w:i/>
          <w:color w:val="000000" w:themeColor="text1" w:themeShade="80"/>
          <w:sz w:val="20"/>
          <w:szCs w:val="20"/>
        </w:rPr>
        <w:t>Proceedings of Waste Management '92</w:t>
      </w:r>
      <w:r w:rsidRPr="007264C1">
        <w:rPr>
          <w:rFonts w:ascii="Times New Roman" w:hAnsi="Times New Roman"/>
          <w:color w:val="000000" w:themeColor="text1" w:themeShade="80"/>
          <w:sz w:val="20"/>
          <w:szCs w:val="20"/>
        </w:rPr>
        <w:t>, pp. 1753-1759.</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Laird, D.A. (2010). Pyrolysis and biochar oppurtunities for distributed production and soil quality enhancement. </w:t>
      </w:r>
      <w:r w:rsidRPr="007264C1">
        <w:rPr>
          <w:rFonts w:ascii="Times New Roman" w:hAnsi="Times New Roman"/>
          <w:i/>
          <w:color w:val="000000" w:themeColor="text1" w:themeShade="80"/>
          <w:sz w:val="20"/>
          <w:szCs w:val="20"/>
        </w:rPr>
        <w:t>Proceeding of the Sustainable Feedstock for Advance Biofuel Workshop</w:t>
      </w:r>
      <w:r w:rsidRPr="007264C1">
        <w:rPr>
          <w:rFonts w:ascii="Times New Roman" w:hAnsi="Times New Roman"/>
          <w:color w:val="000000" w:themeColor="text1" w:themeShade="80"/>
          <w:sz w:val="20"/>
          <w:szCs w:val="20"/>
        </w:rPr>
        <w:t>. pp. 257-281.</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lang w:val="ms-MY"/>
        </w:rPr>
        <w:t xml:space="preserve">IBI. (2012). </w:t>
      </w:r>
      <w:r w:rsidRPr="007264C1">
        <w:rPr>
          <w:rFonts w:ascii="Times New Roman" w:hAnsi="Times New Roman"/>
          <w:color w:val="000000" w:themeColor="text1" w:themeShade="80"/>
          <w:sz w:val="20"/>
          <w:szCs w:val="20"/>
        </w:rPr>
        <w:t>Standardized product definition and product testing guidelines for biochar that in used in soi1.http://www.biochar-international.org [13 Mac 2015].</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rPr>
        <w:t xml:space="preserve">Ylmen, R., Jaglid, U. Steenari, B. and Panas, I. (2009). Early hydration and setting of Portland cement monitored by IR, SEM and vicat techniques. </w:t>
      </w:r>
      <w:r w:rsidRPr="007264C1">
        <w:rPr>
          <w:rFonts w:ascii="Times New Roman" w:hAnsi="Times New Roman"/>
          <w:i/>
          <w:color w:val="000000" w:themeColor="text1" w:themeShade="80"/>
          <w:sz w:val="20"/>
          <w:szCs w:val="20"/>
        </w:rPr>
        <w:t>Cement and Concrete Research</w:t>
      </w:r>
      <w:r w:rsidRPr="007264C1">
        <w:rPr>
          <w:rFonts w:ascii="Times New Roman" w:hAnsi="Times New Roman"/>
          <w:color w:val="000000" w:themeColor="text1" w:themeShade="80"/>
          <w:sz w:val="20"/>
          <w:szCs w:val="20"/>
        </w:rPr>
        <w:t>, 39: 433-439.</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lang w:val="ms-MY"/>
        </w:rPr>
        <w:t xml:space="preserve">Suh, I.S, Kim, J.H., Han, W. and Park, H.W. 1991. Acceptance criteria and their evaluation techniques for solidified waste  forms. </w:t>
      </w:r>
      <w:r w:rsidRPr="007264C1">
        <w:rPr>
          <w:rFonts w:ascii="Times New Roman" w:hAnsi="Times New Roman"/>
          <w:i/>
          <w:color w:val="000000" w:themeColor="text1" w:themeShade="80"/>
          <w:sz w:val="20"/>
          <w:szCs w:val="20"/>
          <w:lang w:val="ms-MY"/>
        </w:rPr>
        <w:t>Proceeding of Waste Management</w:t>
      </w:r>
      <w:r w:rsidRPr="007264C1">
        <w:rPr>
          <w:rFonts w:ascii="Times New Roman" w:hAnsi="Times New Roman"/>
          <w:color w:val="000000" w:themeColor="text1" w:themeShade="80"/>
          <w:sz w:val="20"/>
          <w:szCs w:val="20"/>
          <w:lang w:val="ms-MY"/>
        </w:rPr>
        <w:t>, pp. 735-740.</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lang w:val="ms-MY"/>
        </w:rPr>
        <w:t xml:space="preserve">Ma, H. and Li, Z. (2013). Realistic pore structure of Portland cement paste: Experimental study and numerical stimulation. </w:t>
      </w:r>
      <w:r w:rsidRPr="007264C1">
        <w:rPr>
          <w:rFonts w:ascii="Times New Roman" w:hAnsi="Times New Roman"/>
          <w:i/>
          <w:iCs/>
          <w:color w:val="000000" w:themeColor="text1" w:themeShade="80"/>
          <w:sz w:val="20"/>
          <w:szCs w:val="20"/>
          <w:lang w:val="ms-MY"/>
        </w:rPr>
        <w:t>Computers and Concrete</w:t>
      </w:r>
      <w:r w:rsidRPr="007264C1">
        <w:rPr>
          <w:rFonts w:ascii="Times New Roman" w:hAnsi="Times New Roman"/>
          <w:color w:val="000000" w:themeColor="text1" w:themeShade="80"/>
          <w:sz w:val="20"/>
          <w:szCs w:val="20"/>
          <w:lang w:val="ms-MY"/>
        </w:rPr>
        <w:t>11: 317-336.</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lang w:val="ms-MY"/>
        </w:rPr>
        <w:t xml:space="preserve">Glasser, F. P. (1997). Fundamnetal aspects of cement solidification and stabilisation. </w:t>
      </w:r>
      <w:r w:rsidRPr="007264C1">
        <w:rPr>
          <w:rFonts w:ascii="Times New Roman" w:hAnsi="Times New Roman"/>
          <w:i/>
          <w:color w:val="000000" w:themeColor="text1" w:themeShade="80"/>
          <w:sz w:val="20"/>
          <w:szCs w:val="20"/>
          <w:lang w:val="ms-MY"/>
        </w:rPr>
        <w:t>Journal of Hazardous Materials</w:t>
      </w:r>
      <w:r w:rsidRPr="007264C1">
        <w:rPr>
          <w:rFonts w:ascii="Times New Roman" w:hAnsi="Times New Roman"/>
          <w:color w:val="000000" w:themeColor="text1" w:themeShade="80"/>
          <w:sz w:val="20"/>
          <w:szCs w:val="20"/>
          <w:lang w:val="ms-MY"/>
        </w:rPr>
        <w:t>, 52:151-171.</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lang w:val="ms-MY"/>
        </w:rPr>
        <w:t xml:space="preserve">Atahan, H. N., Oktar, N. O. and Tasdemir, M. A. (2009). Effects of water-cement ratio and curing time on the critical pore width of hardened paste. </w:t>
      </w:r>
      <w:r w:rsidRPr="007264C1">
        <w:rPr>
          <w:rFonts w:ascii="Times New Roman" w:hAnsi="Times New Roman"/>
          <w:i/>
          <w:color w:val="000000" w:themeColor="text1" w:themeShade="80"/>
          <w:sz w:val="20"/>
          <w:szCs w:val="20"/>
          <w:lang w:val="ms-MY"/>
        </w:rPr>
        <w:t>Construction and Building Materials</w:t>
      </w:r>
      <w:r w:rsidRPr="007264C1">
        <w:rPr>
          <w:rFonts w:ascii="Times New Roman" w:hAnsi="Times New Roman"/>
          <w:color w:val="000000" w:themeColor="text1" w:themeShade="80"/>
          <w:sz w:val="20"/>
          <w:szCs w:val="20"/>
          <w:lang w:val="ms-MY"/>
        </w:rPr>
        <w:t>, 23:1196-1200.</w:t>
      </w:r>
    </w:p>
    <w:p w:rsidR="00B653D2" w:rsidRPr="007264C1" w:rsidRDefault="00B653D2" w:rsidP="00B653D2">
      <w:pPr>
        <w:pStyle w:val="ListParagraph"/>
        <w:widowControl w:val="0"/>
        <w:numPr>
          <w:ilvl w:val="0"/>
          <w:numId w:val="1"/>
        </w:numPr>
        <w:wordWrap w:val="0"/>
        <w:autoSpaceDE w:val="0"/>
        <w:autoSpaceDN w:val="0"/>
        <w:spacing w:after="0" w:line="240" w:lineRule="auto"/>
        <w:ind w:left="360"/>
        <w:jc w:val="both"/>
        <w:rPr>
          <w:rFonts w:ascii="Times New Roman" w:hAnsi="Times New Roman"/>
          <w:color w:val="000000" w:themeColor="text1" w:themeShade="80"/>
          <w:sz w:val="20"/>
          <w:szCs w:val="20"/>
        </w:rPr>
      </w:pPr>
      <w:r w:rsidRPr="007264C1">
        <w:rPr>
          <w:rFonts w:ascii="Times New Roman" w:hAnsi="Times New Roman"/>
          <w:color w:val="000000" w:themeColor="text1" w:themeShade="80"/>
          <w:sz w:val="20"/>
          <w:szCs w:val="20"/>
          <w:lang w:val="ms-MY"/>
        </w:rPr>
        <w:t>Carde, C. and Fraincois, R.(1999). Modelling the loss of the strength and porosity increase due to the leaching of cement paste.</w:t>
      </w:r>
      <w:r w:rsidRPr="007264C1">
        <w:rPr>
          <w:rFonts w:ascii="Times New Roman" w:hAnsi="Times New Roman"/>
          <w:i/>
          <w:color w:val="000000" w:themeColor="text1" w:themeShade="80"/>
          <w:sz w:val="20"/>
          <w:szCs w:val="20"/>
          <w:lang w:val="ms-MY"/>
        </w:rPr>
        <w:t xml:space="preserve">Cement Conrete Compossite., </w:t>
      </w:r>
      <w:r w:rsidRPr="007264C1">
        <w:rPr>
          <w:rFonts w:ascii="Times New Roman" w:hAnsi="Times New Roman"/>
          <w:color w:val="000000" w:themeColor="text1" w:themeShade="80"/>
          <w:sz w:val="20"/>
          <w:szCs w:val="20"/>
          <w:lang w:val="ms-MY"/>
        </w:rPr>
        <w:t>21:181-188.</w:t>
      </w:r>
    </w:p>
    <w:p w:rsidR="00B653D2" w:rsidRPr="00B653D2" w:rsidRDefault="00B653D2" w:rsidP="00B653D2">
      <w:pPr>
        <w:spacing w:after="0" w:line="240" w:lineRule="auto"/>
        <w:jc w:val="both"/>
        <w:outlineLvl w:val="0"/>
        <w:rPr>
          <w:rFonts w:ascii="Times New Roman" w:hAnsi="Times New Roman"/>
          <w:sz w:val="20"/>
          <w:szCs w:val="20"/>
        </w:rPr>
      </w:pPr>
    </w:p>
    <w:sectPr w:rsidR="00B653D2" w:rsidRPr="00B653D2" w:rsidSect="00B653D2">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AA2490"/>
    <w:multiLevelType w:val="hybridMultilevel"/>
    <w:tmpl w:val="DBA60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3D2"/>
    <w:rsid w:val="00681051"/>
    <w:rsid w:val="00B653D2"/>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D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B653D2"/>
    <w:rPr>
      <w:b/>
      <w:bCs/>
      <w:i/>
      <w:iCs/>
      <w:spacing w:val="10"/>
    </w:rPr>
  </w:style>
  <w:style w:type="paragraph" w:styleId="ListParagraph">
    <w:name w:val="List Paragraph"/>
    <w:basedOn w:val="Normal"/>
    <w:uiPriority w:val="34"/>
    <w:qFormat/>
    <w:rsid w:val="00B653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D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B653D2"/>
    <w:rPr>
      <w:b/>
      <w:bCs/>
      <w:i/>
      <w:iCs/>
      <w:spacing w:val="10"/>
    </w:rPr>
  </w:style>
  <w:style w:type="paragraph" w:styleId="ListParagraph">
    <w:name w:val="List Paragraph"/>
    <w:basedOn w:val="Normal"/>
    <w:uiPriority w:val="34"/>
    <w:qFormat/>
    <w:rsid w:val="00B653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ANALIS</dc:creator>
  <cp:lastModifiedBy>ANALIS</cp:lastModifiedBy>
  <cp:revision>1</cp:revision>
  <dcterms:created xsi:type="dcterms:W3CDTF">2015-06-04T02:39:00Z</dcterms:created>
  <dcterms:modified xsi:type="dcterms:W3CDTF">2015-06-04T02:44:00Z</dcterms:modified>
</cp:coreProperties>
</file>