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DFF" w:rsidRDefault="004E4DFF" w:rsidP="004E4DFF">
      <w:pPr>
        <w:spacing w:after="0" w:line="240" w:lineRule="auto"/>
        <w:outlineLvl w:val="0"/>
        <w:rPr>
          <w:rFonts w:ascii="Times New Roman" w:hAnsi="Times New Roman"/>
          <w:sz w:val="24"/>
          <w:szCs w:val="24"/>
        </w:rPr>
      </w:pPr>
      <w:r>
        <w:rPr>
          <w:rFonts w:ascii="Times New Roman" w:hAnsi="Times New Roman"/>
          <w:sz w:val="24"/>
          <w:szCs w:val="24"/>
        </w:rPr>
        <w:t>Malaysian Journal of Analytical Sciences Vol 20 No 1 (2016): 14 - 20</w:t>
      </w:r>
    </w:p>
    <w:p w:rsidR="004E4DFF" w:rsidRDefault="004E4DFF" w:rsidP="004E4DFF">
      <w:pPr>
        <w:spacing w:after="0" w:line="240" w:lineRule="auto"/>
        <w:outlineLvl w:val="0"/>
        <w:rPr>
          <w:rFonts w:ascii="Times New Roman" w:hAnsi="Times New Roman"/>
          <w:sz w:val="24"/>
          <w:szCs w:val="24"/>
        </w:rPr>
      </w:pPr>
    </w:p>
    <w:p w:rsidR="004E4DFF" w:rsidRDefault="004E4DFF" w:rsidP="004E4DFF">
      <w:pPr>
        <w:spacing w:after="0" w:line="240" w:lineRule="auto"/>
        <w:outlineLvl w:val="0"/>
        <w:rPr>
          <w:rFonts w:ascii="Times New Roman" w:hAnsi="Times New Roman"/>
          <w:sz w:val="24"/>
          <w:szCs w:val="24"/>
        </w:rPr>
      </w:pPr>
    </w:p>
    <w:p w:rsidR="004E4DFF" w:rsidRPr="004E4DFF" w:rsidRDefault="004E4DFF" w:rsidP="004E4DFF">
      <w:pPr>
        <w:spacing w:after="0" w:line="240" w:lineRule="auto"/>
        <w:outlineLvl w:val="0"/>
        <w:rPr>
          <w:rFonts w:ascii="Times New Roman" w:hAnsi="Times New Roman"/>
          <w:sz w:val="24"/>
          <w:szCs w:val="24"/>
        </w:rPr>
      </w:pPr>
    </w:p>
    <w:p w:rsidR="004E4DFF" w:rsidRPr="006114BF" w:rsidRDefault="004E4DFF" w:rsidP="004E4DFF">
      <w:pPr>
        <w:spacing w:after="0" w:line="240" w:lineRule="auto"/>
        <w:jc w:val="center"/>
        <w:outlineLvl w:val="0"/>
        <w:rPr>
          <w:rFonts w:ascii="Times New Roman" w:hAnsi="Times New Roman"/>
          <w:color w:val="548DD4" w:themeColor="text2" w:themeTint="99"/>
          <w:sz w:val="28"/>
        </w:rPr>
      </w:pPr>
      <w:r w:rsidRPr="006114BF">
        <w:rPr>
          <w:rFonts w:ascii="Times New Roman" w:hAnsi="Times New Roman"/>
          <w:sz w:val="28"/>
          <w:szCs w:val="28"/>
        </w:rPr>
        <w:t>MODIFIED DISPERSIVE LIQUID-LIQUID MICROEXTRACTION US</w:t>
      </w:r>
      <w:r>
        <w:rPr>
          <w:rFonts w:ascii="Times New Roman" w:hAnsi="Times New Roman"/>
          <w:sz w:val="28"/>
          <w:szCs w:val="28"/>
        </w:rPr>
        <w:t>ING GREEN SOLVENT FOR DETERMINATION</w:t>
      </w:r>
      <w:r w:rsidRPr="006114BF">
        <w:rPr>
          <w:rFonts w:ascii="Times New Roman" w:hAnsi="Times New Roman"/>
          <w:sz w:val="28"/>
          <w:szCs w:val="28"/>
        </w:rPr>
        <w:t xml:space="preserve"> OF POLYCYCLIC AROMATIC HYDROCARBONS (PAHS) IN VEGETABLE SAMPLES</w:t>
      </w:r>
    </w:p>
    <w:p w:rsidR="004E4DFF" w:rsidRPr="00F447A7" w:rsidRDefault="004E4DFF" w:rsidP="004E4DFF">
      <w:pPr>
        <w:spacing w:after="0" w:line="240" w:lineRule="auto"/>
        <w:jc w:val="center"/>
        <w:rPr>
          <w:rFonts w:ascii="Times New Roman" w:hAnsi="Times New Roman"/>
          <w:noProof/>
          <w:sz w:val="24"/>
          <w:szCs w:val="24"/>
          <w:lang w:bidi="ar-SA"/>
        </w:rPr>
      </w:pPr>
    </w:p>
    <w:p w:rsidR="004E4DFF" w:rsidRPr="00C67303" w:rsidRDefault="004E4DFF" w:rsidP="004E4DFF">
      <w:pPr>
        <w:spacing w:after="0" w:line="240" w:lineRule="auto"/>
        <w:jc w:val="center"/>
        <w:outlineLvl w:val="0"/>
        <w:rPr>
          <w:rFonts w:ascii="Times New Roman" w:hAnsi="Times New Roman"/>
          <w:sz w:val="24"/>
          <w:szCs w:val="24"/>
        </w:rPr>
      </w:pPr>
      <w:r>
        <w:rPr>
          <w:rFonts w:ascii="Times New Roman" w:hAnsi="Times New Roman"/>
          <w:noProof/>
          <w:sz w:val="24"/>
          <w:szCs w:val="24"/>
          <w:lang w:bidi="ar-SA"/>
        </w:rPr>
        <w:t>(</w:t>
      </w:r>
      <w:r w:rsidRPr="00C67303">
        <w:rPr>
          <w:rFonts w:ascii="Times New Roman" w:hAnsi="Times New Roman"/>
          <w:sz w:val="24"/>
          <w:szCs w:val="24"/>
        </w:rPr>
        <w:t xml:space="preserve">Pengekstrakan Mikro Cecair-cecair Serakan yang Terubahsuai dengan Pelarut Hijau untuk Penentuan Polisiklik Aromatik Hidrokarbon (PAHs) dalam </w:t>
      </w:r>
    </w:p>
    <w:p w:rsidR="004E4DFF" w:rsidRPr="00F447A7" w:rsidRDefault="004E4DFF" w:rsidP="004E4DFF">
      <w:pPr>
        <w:spacing w:after="0" w:line="240" w:lineRule="auto"/>
        <w:jc w:val="center"/>
        <w:rPr>
          <w:rFonts w:ascii="Times New Roman" w:hAnsi="Times New Roman"/>
          <w:noProof/>
          <w:sz w:val="24"/>
          <w:szCs w:val="24"/>
          <w:lang w:bidi="ar-SA"/>
        </w:rPr>
      </w:pPr>
      <w:r w:rsidRPr="00C67303">
        <w:rPr>
          <w:rFonts w:ascii="Times New Roman" w:hAnsi="Times New Roman"/>
          <w:sz w:val="24"/>
          <w:szCs w:val="24"/>
        </w:rPr>
        <w:t>Sampel Sayur – Sayuran</w:t>
      </w:r>
      <w:r w:rsidRPr="00F447A7">
        <w:rPr>
          <w:rFonts w:ascii="Times New Roman" w:hAnsi="Times New Roman"/>
          <w:noProof/>
          <w:sz w:val="24"/>
          <w:szCs w:val="24"/>
          <w:lang w:bidi="ar-SA"/>
        </w:rPr>
        <w:t>)</w:t>
      </w:r>
    </w:p>
    <w:p w:rsidR="004E4DFF" w:rsidRPr="00F447A7" w:rsidRDefault="004E4DFF" w:rsidP="004E4DFF">
      <w:pPr>
        <w:spacing w:after="0" w:line="240" w:lineRule="auto"/>
        <w:jc w:val="center"/>
        <w:rPr>
          <w:rFonts w:ascii="Times New Roman" w:hAnsi="Times New Roman"/>
          <w:noProof/>
          <w:sz w:val="20"/>
          <w:szCs w:val="20"/>
          <w:lang w:bidi="ar-SA"/>
        </w:rPr>
      </w:pPr>
    </w:p>
    <w:p w:rsidR="004E4DFF" w:rsidRPr="006114BF" w:rsidRDefault="004E4DFF" w:rsidP="004E4DFF">
      <w:pPr>
        <w:spacing w:after="0" w:line="240" w:lineRule="auto"/>
        <w:ind w:left="1310" w:right="1253" w:hanging="230"/>
        <w:jc w:val="center"/>
        <w:rPr>
          <w:rFonts w:ascii="Times New Roman" w:hAnsi="Times New Roman"/>
          <w:position w:val="10"/>
          <w:szCs w:val="20"/>
        </w:rPr>
      </w:pPr>
      <w:r w:rsidRPr="006114BF">
        <w:rPr>
          <w:rFonts w:ascii="Times New Roman" w:hAnsi="Times New Roman"/>
          <w:spacing w:val="2"/>
          <w:szCs w:val="20"/>
        </w:rPr>
        <w:t>Chai Mee Kin</w:t>
      </w:r>
      <w:r w:rsidRPr="006114BF">
        <w:rPr>
          <w:rFonts w:ascii="Times New Roman" w:hAnsi="Times New Roman"/>
          <w:spacing w:val="2"/>
          <w:szCs w:val="20"/>
          <w:vertAlign w:val="superscript"/>
        </w:rPr>
        <w:t>1</w:t>
      </w:r>
      <w:r w:rsidRPr="005E7351">
        <w:rPr>
          <w:rFonts w:ascii="Times New Roman" w:hAnsi="Times New Roman"/>
          <w:spacing w:val="2"/>
          <w:szCs w:val="20"/>
        </w:rPr>
        <w:t>*</w:t>
      </w:r>
      <w:r w:rsidRPr="006114BF">
        <w:rPr>
          <w:rFonts w:ascii="Times New Roman" w:hAnsi="Times New Roman"/>
          <w:spacing w:val="2"/>
          <w:szCs w:val="20"/>
        </w:rPr>
        <w:t>, Premla Devi Chander</w:t>
      </w:r>
      <w:r w:rsidRPr="006114BF">
        <w:rPr>
          <w:rFonts w:ascii="Times New Roman" w:hAnsi="Times New Roman"/>
          <w:spacing w:val="2"/>
          <w:szCs w:val="20"/>
          <w:vertAlign w:val="superscript"/>
        </w:rPr>
        <w:t>2</w:t>
      </w:r>
      <w:r w:rsidRPr="006114BF">
        <w:rPr>
          <w:rFonts w:ascii="Times New Roman" w:hAnsi="Times New Roman"/>
          <w:spacing w:val="2"/>
          <w:szCs w:val="20"/>
        </w:rPr>
        <w:t>, Wong Ling Shing</w:t>
      </w:r>
      <w:r w:rsidRPr="006114BF">
        <w:rPr>
          <w:rFonts w:ascii="Times New Roman" w:hAnsi="Times New Roman"/>
          <w:spacing w:val="2"/>
          <w:szCs w:val="20"/>
          <w:vertAlign w:val="superscript"/>
        </w:rPr>
        <w:t>3</w:t>
      </w:r>
    </w:p>
    <w:p w:rsidR="004E4DFF" w:rsidRPr="004E4DFF" w:rsidRDefault="004E4DFF" w:rsidP="004E4DFF">
      <w:pPr>
        <w:spacing w:after="0" w:line="240" w:lineRule="auto"/>
        <w:jc w:val="center"/>
        <w:rPr>
          <w:rFonts w:ascii="Times New Roman" w:hAnsi="Times New Roman"/>
          <w:noProof/>
          <w:sz w:val="20"/>
          <w:szCs w:val="20"/>
          <w:lang w:bidi="ar-SA"/>
        </w:rPr>
      </w:pPr>
    </w:p>
    <w:p w:rsidR="004E4DFF" w:rsidRPr="004E4DFF" w:rsidRDefault="004E4DFF" w:rsidP="004E4DFF">
      <w:pPr>
        <w:spacing w:after="0" w:line="240" w:lineRule="auto"/>
        <w:ind w:left="388" w:right="-14" w:hanging="14"/>
        <w:jc w:val="center"/>
        <w:rPr>
          <w:rFonts w:ascii="Times New Roman" w:hAnsi="Times New Roman"/>
          <w:i/>
          <w:spacing w:val="-3"/>
          <w:sz w:val="20"/>
          <w:szCs w:val="20"/>
        </w:rPr>
      </w:pPr>
      <w:r w:rsidRPr="004E4DFF">
        <w:rPr>
          <w:rFonts w:ascii="Times New Roman" w:hAnsi="Times New Roman"/>
          <w:i/>
          <w:sz w:val="20"/>
          <w:szCs w:val="20"/>
          <w:shd w:val="clear" w:color="auto" w:fill="FFFFFF"/>
          <w:vertAlign w:val="superscript"/>
        </w:rPr>
        <w:t>1</w:t>
      </w:r>
      <w:r w:rsidRPr="004E4DFF">
        <w:rPr>
          <w:rFonts w:ascii="Times New Roman" w:hAnsi="Times New Roman"/>
          <w:i/>
          <w:sz w:val="20"/>
          <w:szCs w:val="20"/>
          <w:shd w:val="clear" w:color="auto" w:fill="FFFFFF"/>
        </w:rPr>
        <w:t xml:space="preserve">Department of Civil Engineering, </w:t>
      </w:r>
      <w:r w:rsidRPr="004E4DFF">
        <w:rPr>
          <w:rFonts w:ascii="Times New Roman" w:hAnsi="Times New Roman"/>
          <w:i/>
          <w:spacing w:val="-1"/>
          <w:sz w:val="20"/>
          <w:szCs w:val="20"/>
        </w:rPr>
        <w:t>C</w:t>
      </w:r>
      <w:r w:rsidRPr="004E4DFF">
        <w:rPr>
          <w:rFonts w:ascii="Times New Roman" w:hAnsi="Times New Roman"/>
          <w:i/>
          <w:spacing w:val="4"/>
          <w:sz w:val="20"/>
          <w:szCs w:val="20"/>
        </w:rPr>
        <w:t>o</w:t>
      </w:r>
      <w:r w:rsidRPr="004E4DFF">
        <w:rPr>
          <w:rFonts w:ascii="Times New Roman" w:hAnsi="Times New Roman"/>
          <w:i/>
          <w:spacing w:val="-4"/>
          <w:sz w:val="20"/>
          <w:szCs w:val="20"/>
        </w:rPr>
        <w:t>ll</w:t>
      </w:r>
      <w:r w:rsidRPr="004E4DFF">
        <w:rPr>
          <w:rFonts w:ascii="Times New Roman" w:hAnsi="Times New Roman"/>
          <w:i/>
          <w:spacing w:val="-1"/>
          <w:sz w:val="20"/>
          <w:szCs w:val="20"/>
        </w:rPr>
        <w:t>e</w:t>
      </w:r>
      <w:r w:rsidRPr="004E4DFF">
        <w:rPr>
          <w:rFonts w:ascii="Times New Roman" w:hAnsi="Times New Roman"/>
          <w:i/>
          <w:spacing w:val="4"/>
          <w:sz w:val="20"/>
          <w:szCs w:val="20"/>
        </w:rPr>
        <w:t>g</w:t>
      </w:r>
      <w:r w:rsidRPr="004E4DFF">
        <w:rPr>
          <w:rFonts w:ascii="Times New Roman" w:hAnsi="Times New Roman"/>
          <w:i/>
          <w:sz w:val="20"/>
          <w:szCs w:val="20"/>
        </w:rPr>
        <w:t>e</w:t>
      </w:r>
      <w:r w:rsidRPr="004E4DFF">
        <w:rPr>
          <w:rFonts w:ascii="Times New Roman" w:hAnsi="Times New Roman"/>
          <w:i/>
          <w:spacing w:val="1"/>
          <w:sz w:val="20"/>
          <w:szCs w:val="20"/>
        </w:rPr>
        <w:t xml:space="preserve"> </w:t>
      </w:r>
      <w:r w:rsidRPr="004E4DFF">
        <w:rPr>
          <w:rFonts w:ascii="Times New Roman" w:hAnsi="Times New Roman"/>
          <w:i/>
          <w:spacing w:val="4"/>
          <w:sz w:val="20"/>
          <w:szCs w:val="20"/>
        </w:rPr>
        <w:t>o</w:t>
      </w:r>
      <w:r w:rsidRPr="004E4DFF">
        <w:rPr>
          <w:rFonts w:ascii="Times New Roman" w:hAnsi="Times New Roman"/>
          <w:i/>
          <w:sz w:val="20"/>
          <w:szCs w:val="20"/>
        </w:rPr>
        <w:t>f</w:t>
      </w:r>
      <w:r w:rsidRPr="004E4DFF">
        <w:rPr>
          <w:rFonts w:ascii="Times New Roman" w:hAnsi="Times New Roman"/>
          <w:i/>
          <w:spacing w:val="-5"/>
          <w:sz w:val="20"/>
          <w:szCs w:val="20"/>
        </w:rPr>
        <w:t xml:space="preserve"> Engineering</w:t>
      </w:r>
    </w:p>
    <w:p w:rsidR="004E4DFF" w:rsidRPr="004E4DFF" w:rsidRDefault="004E4DFF" w:rsidP="004E4DFF">
      <w:pPr>
        <w:spacing w:after="0" w:line="240" w:lineRule="auto"/>
        <w:ind w:left="388" w:right="-14" w:hanging="14"/>
        <w:jc w:val="center"/>
        <w:rPr>
          <w:rFonts w:ascii="Times New Roman" w:hAnsi="Times New Roman"/>
          <w:i/>
          <w:sz w:val="20"/>
          <w:szCs w:val="20"/>
        </w:rPr>
      </w:pPr>
      <w:r w:rsidRPr="004E4DFF">
        <w:rPr>
          <w:rFonts w:ascii="Times New Roman" w:hAnsi="Times New Roman"/>
          <w:i/>
          <w:sz w:val="20"/>
          <w:szCs w:val="20"/>
          <w:shd w:val="clear" w:color="auto" w:fill="FFFFFF"/>
          <w:vertAlign w:val="superscript"/>
        </w:rPr>
        <w:t>2</w:t>
      </w:r>
      <w:r w:rsidRPr="004E4DFF">
        <w:rPr>
          <w:rFonts w:ascii="Times New Roman" w:hAnsi="Times New Roman"/>
          <w:i/>
          <w:spacing w:val="-1"/>
          <w:sz w:val="20"/>
          <w:szCs w:val="20"/>
        </w:rPr>
        <w:t>C</w:t>
      </w:r>
      <w:r w:rsidRPr="004E4DFF">
        <w:rPr>
          <w:rFonts w:ascii="Times New Roman" w:hAnsi="Times New Roman"/>
          <w:i/>
          <w:spacing w:val="4"/>
          <w:sz w:val="20"/>
          <w:szCs w:val="20"/>
        </w:rPr>
        <w:t>o</w:t>
      </w:r>
      <w:r w:rsidRPr="004E4DFF">
        <w:rPr>
          <w:rFonts w:ascii="Times New Roman" w:hAnsi="Times New Roman"/>
          <w:i/>
          <w:spacing w:val="-4"/>
          <w:sz w:val="20"/>
          <w:szCs w:val="20"/>
        </w:rPr>
        <w:t>ll</w:t>
      </w:r>
      <w:r w:rsidRPr="004E4DFF">
        <w:rPr>
          <w:rFonts w:ascii="Times New Roman" w:hAnsi="Times New Roman"/>
          <w:i/>
          <w:spacing w:val="-1"/>
          <w:sz w:val="20"/>
          <w:szCs w:val="20"/>
        </w:rPr>
        <w:t>e</w:t>
      </w:r>
      <w:r w:rsidRPr="004E4DFF">
        <w:rPr>
          <w:rFonts w:ascii="Times New Roman" w:hAnsi="Times New Roman"/>
          <w:i/>
          <w:spacing w:val="4"/>
          <w:sz w:val="20"/>
          <w:szCs w:val="20"/>
        </w:rPr>
        <w:t>g</w:t>
      </w:r>
      <w:r w:rsidRPr="004E4DFF">
        <w:rPr>
          <w:rFonts w:ascii="Times New Roman" w:hAnsi="Times New Roman"/>
          <w:i/>
          <w:sz w:val="20"/>
          <w:szCs w:val="20"/>
        </w:rPr>
        <w:t>e</w:t>
      </w:r>
      <w:r w:rsidRPr="004E4DFF">
        <w:rPr>
          <w:rFonts w:ascii="Times New Roman" w:hAnsi="Times New Roman"/>
          <w:i/>
          <w:spacing w:val="1"/>
          <w:sz w:val="20"/>
          <w:szCs w:val="20"/>
        </w:rPr>
        <w:t xml:space="preserve"> </w:t>
      </w:r>
      <w:r w:rsidRPr="004E4DFF">
        <w:rPr>
          <w:rFonts w:ascii="Times New Roman" w:hAnsi="Times New Roman"/>
          <w:i/>
          <w:spacing w:val="4"/>
          <w:sz w:val="20"/>
          <w:szCs w:val="20"/>
        </w:rPr>
        <w:t>o</w:t>
      </w:r>
      <w:r w:rsidRPr="004E4DFF">
        <w:rPr>
          <w:rFonts w:ascii="Times New Roman" w:hAnsi="Times New Roman"/>
          <w:i/>
          <w:sz w:val="20"/>
          <w:szCs w:val="20"/>
        </w:rPr>
        <w:t>f Graduate School</w:t>
      </w:r>
    </w:p>
    <w:p w:rsidR="004E4DFF" w:rsidRPr="004E4DFF" w:rsidRDefault="004E4DFF" w:rsidP="004E4DFF">
      <w:pPr>
        <w:spacing w:after="0" w:line="240" w:lineRule="auto"/>
        <w:ind w:left="388" w:right="-14" w:hanging="14"/>
        <w:jc w:val="center"/>
        <w:rPr>
          <w:rFonts w:ascii="Times New Roman" w:hAnsi="Times New Roman"/>
          <w:i/>
          <w:spacing w:val="1"/>
          <w:sz w:val="20"/>
          <w:szCs w:val="20"/>
        </w:rPr>
      </w:pPr>
      <w:r w:rsidRPr="004E4DFF">
        <w:rPr>
          <w:rFonts w:ascii="Times New Roman" w:hAnsi="Times New Roman"/>
          <w:i/>
          <w:spacing w:val="-6"/>
          <w:sz w:val="20"/>
          <w:szCs w:val="20"/>
        </w:rPr>
        <w:t xml:space="preserve">Universiti </w:t>
      </w:r>
      <w:r w:rsidRPr="004E4DFF">
        <w:rPr>
          <w:rFonts w:ascii="Times New Roman" w:hAnsi="Times New Roman"/>
          <w:i/>
          <w:spacing w:val="2"/>
          <w:sz w:val="20"/>
          <w:szCs w:val="20"/>
        </w:rPr>
        <w:t>T</w:t>
      </w:r>
      <w:r w:rsidRPr="004E4DFF">
        <w:rPr>
          <w:rFonts w:ascii="Times New Roman" w:hAnsi="Times New Roman"/>
          <w:i/>
          <w:spacing w:val="3"/>
          <w:sz w:val="20"/>
          <w:szCs w:val="20"/>
        </w:rPr>
        <w:t>e</w:t>
      </w:r>
      <w:r w:rsidRPr="004E4DFF">
        <w:rPr>
          <w:rFonts w:ascii="Times New Roman" w:hAnsi="Times New Roman"/>
          <w:i/>
          <w:spacing w:val="-4"/>
          <w:sz w:val="20"/>
          <w:szCs w:val="20"/>
        </w:rPr>
        <w:t>n</w:t>
      </w:r>
      <w:r w:rsidRPr="004E4DFF">
        <w:rPr>
          <w:rFonts w:ascii="Times New Roman" w:hAnsi="Times New Roman"/>
          <w:i/>
          <w:spacing w:val="-1"/>
          <w:sz w:val="20"/>
          <w:szCs w:val="20"/>
        </w:rPr>
        <w:t>a</w:t>
      </w:r>
      <w:r w:rsidRPr="004E4DFF">
        <w:rPr>
          <w:rFonts w:ascii="Times New Roman" w:hAnsi="Times New Roman"/>
          <w:i/>
          <w:spacing w:val="4"/>
          <w:sz w:val="20"/>
          <w:szCs w:val="20"/>
        </w:rPr>
        <w:t>g</w:t>
      </w:r>
      <w:r w:rsidRPr="004E4DFF">
        <w:rPr>
          <w:rFonts w:ascii="Times New Roman" w:hAnsi="Times New Roman"/>
          <w:i/>
          <w:sz w:val="20"/>
          <w:szCs w:val="20"/>
        </w:rPr>
        <w:t>a</w:t>
      </w:r>
      <w:r w:rsidRPr="004E4DFF">
        <w:rPr>
          <w:rFonts w:ascii="Times New Roman" w:hAnsi="Times New Roman"/>
          <w:i/>
          <w:spacing w:val="1"/>
          <w:sz w:val="20"/>
          <w:szCs w:val="20"/>
        </w:rPr>
        <w:t xml:space="preserve"> </w:t>
      </w:r>
      <w:r w:rsidRPr="004E4DFF">
        <w:rPr>
          <w:rFonts w:ascii="Times New Roman" w:hAnsi="Times New Roman"/>
          <w:i/>
          <w:sz w:val="20"/>
          <w:szCs w:val="20"/>
        </w:rPr>
        <w:t>N</w:t>
      </w:r>
      <w:r w:rsidRPr="004E4DFF">
        <w:rPr>
          <w:rFonts w:ascii="Times New Roman" w:hAnsi="Times New Roman"/>
          <w:i/>
          <w:spacing w:val="-1"/>
          <w:sz w:val="20"/>
          <w:szCs w:val="20"/>
        </w:rPr>
        <w:t>a</w:t>
      </w:r>
      <w:r w:rsidRPr="004E4DFF">
        <w:rPr>
          <w:rFonts w:ascii="Times New Roman" w:hAnsi="Times New Roman"/>
          <w:i/>
          <w:spacing w:val="2"/>
          <w:sz w:val="20"/>
          <w:szCs w:val="20"/>
        </w:rPr>
        <w:t>s</w:t>
      </w:r>
      <w:r w:rsidRPr="004E4DFF">
        <w:rPr>
          <w:rFonts w:ascii="Times New Roman" w:hAnsi="Times New Roman"/>
          <w:i/>
          <w:spacing w:val="-8"/>
          <w:sz w:val="20"/>
          <w:szCs w:val="20"/>
        </w:rPr>
        <w:t>i</w:t>
      </w:r>
      <w:r w:rsidRPr="004E4DFF">
        <w:rPr>
          <w:rFonts w:ascii="Times New Roman" w:hAnsi="Times New Roman"/>
          <w:i/>
          <w:spacing w:val="8"/>
          <w:sz w:val="20"/>
          <w:szCs w:val="20"/>
        </w:rPr>
        <w:t>o</w:t>
      </w:r>
      <w:r w:rsidRPr="004E4DFF">
        <w:rPr>
          <w:rFonts w:ascii="Times New Roman" w:hAnsi="Times New Roman"/>
          <w:i/>
          <w:spacing w:val="-4"/>
          <w:sz w:val="20"/>
          <w:szCs w:val="20"/>
        </w:rPr>
        <w:t>n</w:t>
      </w:r>
      <w:r w:rsidRPr="004E4DFF">
        <w:rPr>
          <w:rFonts w:ascii="Times New Roman" w:hAnsi="Times New Roman"/>
          <w:i/>
          <w:spacing w:val="3"/>
          <w:sz w:val="20"/>
          <w:szCs w:val="20"/>
        </w:rPr>
        <w:t>a</w:t>
      </w:r>
      <w:r w:rsidRPr="004E4DFF">
        <w:rPr>
          <w:rFonts w:ascii="Times New Roman" w:hAnsi="Times New Roman"/>
          <w:i/>
          <w:spacing w:val="-8"/>
          <w:sz w:val="20"/>
          <w:szCs w:val="20"/>
        </w:rPr>
        <w:t>l</w:t>
      </w:r>
      <w:r w:rsidRPr="004E4DFF">
        <w:rPr>
          <w:rFonts w:ascii="Times New Roman" w:hAnsi="Times New Roman"/>
          <w:i/>
          <w:sz w:val="20"/>
          <w:szCs w:val="20"/>
        </w:rPr>
        <w:t>,</w:t>
      </w:r>
      <w:r w:rsidRPr="004E4DFF">
        <w:rPr>
          <w:rFonts w:ascii="Times New Roman" w:hAnsi="Times New Roman"/>
          <w:i/>
          <w:spacing w:val="7"/>
          <w:sz w:val="20"/>
          <w:szCs w:val="20"/>
        </w:rPr>
        <w:t xml:space="preserve"> </w:t>
      </w:r>
      <w:r w:rsidRPr="004E4DFF">
        <w:rPr>
          <w:rFonts w:ascii="Times New Roman" w:hAnsi="Times New Roman"/>
          <w:i/>
          <w:sz w:val="20"/>
          <w:szCs w:val="20"/>
        </w:rPr>
        <w:t>43000</w:t>
      </w:r>
      <w:r w:rsidRPr="004E4DFF">
        <w:rPr>
          <w:rFonts w:ascii="Times New Roman" w:hAnsi="Times New Roman"/>
          <w:i/>
          <w:spacing w:val="2"/>
          <w:sz w:val="20"/>
          <w:szCs w:val="20"/>
        </w:rPr>
        <w:t xml:space="preserve"> </w:t>
      </w:r>
      <w:r w:rsidRPr="004E4DFF">
        <w:rPr>
          <w:rFonts w:ascii="Times New Roman" w:hAnsi="Times New Roman"/>
          <w:i/>
          <w:spacing w:val="-4"/>
          <w:sz w:val="20"/>
          <w:szCs w:val="20"/>
        </w:rPr>
        <w:t>K</w:t>
      </w:r>
      <w:r w:rsidRPr="004E4DFF">
        <w:rPr>
          <w:rFonts w:ascii="Times New Roman" w:hAnsi="Times New Roman"/>
          <w:i/>
          <w:spacing w:val="3"/>
          <w:sz w:val="20"/>
          <w:szCs w:val="20"/>
        </w:rPr>
        <w:t>a</w:t>
      </w:r>
      <w:r w:rsidRPr="004E4DFF">
        <w:rPr>
          <w:rFonts w:ascii="Times New Roman" w:hAnsi="Times New Roman"/>
          <w:i/>
          <w:spacing w:val="-4"/>
          <w:sz w:val="20"/>
          <w:szCs w:val="20"/>
        </w:rPr>
        <w:t>j</w:t>
      </w:r>
      <w:r w:rsidRPr="004E4DFF">
        <w:rPr>
          <w:rFonts w:ascii="Times New Roman" w:hAnsi="Times New Roman"/>
          <w:i/>
          <w:spacing w:val="3"/>
          <w:sz w:val="20"/>
          <w:szCs w:val="20"/>
        </w:rPr>
        <w:t>a</w:t>
      </w:r>
      <w:r w:rsidRPr="004E4DFF">
        <w:rPr>
          <w:rFonts w:ascii="Times New Roman" w:hAnsi="Times New Roman"/>
          <w:i/>
          <w:spacing w:val="-4"/>
          <w:sz w:val="20"/>
          <w:szCs w:val="20"/>
        </w:rPr>
        <w:t>n</w:t>
      </w:r>
      <w:r w:rsidRPr="004E4DFF">
        <w:rPr>
          <w:rFonts w:ascii="Times New Roman" w:hAnsi="Times New Roman"/>
          <w:i/>
          <w:sz w:val="20"/>
          <w:szCs w:val="20"/>
        </w:rPr>
        <w:t>g,</w:t>
      </w:r>
      <w:r w:rsidRPr="004E4DFF">
        <w:rPr>
          <w:rFonts w:ascii="Times New Roman" w:hAnsi="Times New Roman"/>
          <w:i/>
          <w:spacing w:val="4"/>
          <w:sz w:val="20"/>
          <w:szCs w:val="20"/>
        </w:rPr>
        <w:t xml:space="preserve"> </w:t>
      </w:r>
      <w:r w:rsidRPr="004E4DFF">
        <w:rPr>
          <w:rFonts w:ascii="Times New Roman" w:hAnsi="Times New Roman"/>
          <w:i/>
          <w:spacing w:val="1"/>
          <w:sz w:val="20"/>
          <w:szCs w:val="20"/>
        </w:rPr>
        <w:t>S</w:t>
      </w:r>
      <w:r w:rsidRPr="004E4DFF">
        <w:rPr>
          <w:rFonts w:ascii="Times New Roman" w:hAnsi="Times New Roman"/>
          <w:i/>
          <w:spacing w:val="3"/>
          <w:sz w:val="20"/>
          <w:szCs w:val="20"/>
        </w:rPr>
        <w:t>e</w:t>
      </w:r>
      <w:r w:rsidRPr="004E4DFF">
        <w:rPr>
          <w:rFonts w:ascii="Times New Roman" w:hAnsi="Times New Roman"/>
          <w:i/>
          <w:spacing w:val="-8"/>
          <w:sz w:val="20"/>
          <w:szCs w:val="20"/>
        </w:rPr>
        <w:t>l</w:t>
      </w:r>
      <w:r w:rsidRPr="004E4DFF">
        <w:rPr>
          <w:rFonts w:ascii="Times New Roman" w:hAnsi="Times New Roman"/>
          <w:i/>
          <w:spacing w:val="3"/>
          <w:sz w:val="20"/>
          <w:szCs w:val="20"/>
        </w:rPr>
        <w:t>a</w:t>
      </w:r>
      <w:r w:rsidRPr="004E4DFF">
        <w:rPr>
          <w:rFonts w:ascii="Times New Roman" w:hAnsi="Times New Roman"/>
          <w:i/>
          <w:spacing w:val="-4"/>
          <w:sz w:val="20"/>
          <w:szCs w:val="20"/>
        </w:rPr>
        <w:t>n</w:t>
      </w:r>
      <w:r w:rsidRPr="004E4DFF">
        <w:rPr>
          <w:rFonts w:ascii="Times New Roman" w:hAnsi="Times New Roman"/>
          <w:i/>
          <w:sz w:val="20"/>
          <w:szCs w:val="20"/>
        </w:rPr>
        <w:t>g</w:t>
      </w:r>
      <w:r w:rsidRPr="004E4DFF">
        <w:rPr>
          <w:rFonts w:ascii="Times New Roman" w:hAnsi="Times New Roman"/>
          <w:i/>
          <w:spacing w:val="4"/>
          <w:sz w:val="20"/>
          <w:szCs w:val="20"/>
        </w:rPr>
        <w:t>o</w:t>
      </w:r>
      <w:r w:rsidRPr="004E4DFF">
        <w:rPr>
          <w:rFonts w:ascii="Times New Roman" w:hAnsi="Times New Roman"/>
          <w:i/>
          <w:spacing w:val="1"/>
          <w:sz w:val="20"/>
          <w:szCs w:val="20"/>
        </w:rPr>
        <w:t>r, Malaysia</w:t>
      </w:r>
    </w:p>
    <w:p w:rsidR="004E4DFF" w:rsidRPr="004E4DFF" w:rsidRDefault="004E4DFF" w:rsidP="004E4DFF">
      <w:pPr>
        <w:spacing w:after="0" w:line="240" w:lineRule="auto"/>
        <w:ind w:left="388" w:right="-14" w:hanging="14"/>
        <w:jc w:val="center"/>
        <w:rPr>
          <w:rFonts w:ascii="Times New Roman" w:hAnsi="Times New Roman"/>
          <w:i/>
          <w:sz w:val="20"/>
          <w:szCs w:val="20"/>
        </w:rPr>
      </w:pPr>
      <w:r w:rsidRPr="004E4DFF">
        <w:rPr>
          <w:rFonts w:ascii="Times New Roman" w:hAnsi="Times New Roman"/>
          <w:i/>
          <w:sz w:val="20"/>
          <w:szCs w:val="20"/>
          <w:vertAlign w:val="superscript"/>
        </w:rPr>
        <w:t>3</w:t>
      </w:r>
      <w:r w:rsidRPr="004E4DFF">
        <w:rPr>
          <w:rFonts w:ascii="Times New Roman" w:hAnsi="Times New Roman"/>
          <w:i/>
          <w:sz w:val="20"/>
          <w:szCs w:val="20"/>
        </w:rPr>
        <w:t>Faculty of Science, Technology, Engineering &amp; Mathematics,</w:t>
      </w:r>
    </w:p>
    <w:p w:rsidR="004E4DFF" w:rsidRPr="004E4DFF" w:rsidRDefault="004E4DFF" w:rsidP="004E4DFF">
      <w:pPr>
        <w:spacing w:after="0" w:line="240" w:lineRule="auto"/>
        <w:ind w:left="388" w:right="-14" w:hanging="14"/>
        <w:jc w:val="center"/>
        <w:rPr>
          <w:rFonts w:ascii="Times New Roman" w:hAnsi="Times New Roman"/>
          <w:i/>
          <w:sz w:val="20"/>
          <w:szCs w:val="20"/>
        </w:rPr>
      </w:pPr>
      <w:r w:rsidRPr="004E4DFF">
        <w:rPr>
          <w:rFonts w:ascii="Times New Roman" w:hAnsi="Times New Roman"/>
          <w:i/>
          <w:sz w:val="20"/>
          <w:szCs w:val="20"/>
        </w:rPr>
        <w:t>INTI International University, 71800 Nilai, Negeri Sembilan, Malaysia</w:t>
      </w:r>
    </w:p>
    <w:p w:rsidR="004E4DFF" w:rsidRPr="004E4DFF" w:rsidRDefault="004E4DFF" w:rsidP="004E4DFF">
      <w:pPr>
        <w:spacing w:after="0" w:line="240" w:lineRule="auto"/>
        <w:jc w:val="center"/>
        <w:rPr>
          <w:rFonts w:ascii="Times New Roman" w:hAnsi="Times New Roman"/>
          <w:noProof/>
          <w:sz w:val="20"/>
          <w:szCs w:val="20"/>
          <w:lang w:bidi="ar-SA"/>
        </w:rPr>
      </w:pPr>
    </w:p>
    <w:p w:rsidR="004E4DFF" w:rsidRPr="004E4DFF" w:rsidRDefault="004E4DFF" w:rsidP="004E4DFF">
      <w:pPr>
        <w:spacing w:after="0" w:line="240" w:lineRule="auto"/>
        <w:jc w:val="center"/>
        <w:rPr>
          <w:rFonts w:ascii="Times New Roman" w:hAnsi="Times New Roman"/>
          <w:i/>
          <w:noProof/>
          <w:sz w:val="20"/>
          <w:szCs w:val="20"/>
          <w:lang w:bidi="ar-SA"/>
        </w:rPr>
      </w:pPr>
      <w:r w:rsidRPr="004E4DFF">
        <w:rPr>
          <w:rFonts w:ascii="Times New Roman" w:hAnsi="Times New Roman"/>
          <w:i/>
          <w:noProof/>
          <w:sz w:val="20"/>
          <w:szCs w:val="20"/>
          <w:lang w:bidi="ar-SA"/>
        </w:rPr>
        <w:t xml:space="preserve">*Corresponding author: </w:t>
      </w:r>
      <w:r w:rsidRPr="004E4DFF">
        <w:rPr>
          <w:rFonts w:ascii="Times New Roman" w:hAnsi="Times New Roman"/>
          <w:i/>
          <w:sz w:val="20"/>
          <w:szCs w:val="20"/>
        </w:rPr>
        <w:t>mkchai@uniten.edu.my</w:t>
      </w:r>
    </w:p>
    <w:p w:rsidR="004E4DFF" w:rsidRPr="004E4DFF" w:rsidRDefault="004E4DFF" w:rsidP="004E4DFF">
      <w:pPr>
        <w:spacing w:after="0" w:line="240" w:lineRule="auto"/>
        <w:jc w:val="center"/>
        <w:rPr>
          <w:rFonts w:ascii="Times New Roman" w:hAnsi="Times New Roman"/>
          <w:noProof/>
          <w:sz w:val="20"/>
          <w:szCs w:val="20"/>
          <w:lang w:bidi="ar-SA"/>
        </w:rPr>
      </w:pPr>
    </w:p>
    <w:p w:rsidR="004E4DFF" w:rsidRPr="004E4DFF" w:rsidRDefault="004E4DFF" w:rsidP="004E4DFF">
      <w:pPr>
        <w:spacing w:after="0" w:line="240" w:lineRule="auto"/>
        <w:jc w:val="center"/>
        <w:rPr>
          <w:rFonts w:ascii="Times New Roman" w:hAnsi="Times New Roman"/>
          <w:noProof/>
          <w:sz w:val="20"/>
          <w:szCs w:val="20"/>
          <w:lang w:bidi="ar-SA"/>
        </w:rPr>
      </w:pPr>
    </w:p>
    <w:p w:rsidR="004E4DFF" w:rsidRPr="004E4DFF" w:rsidRDefault="004E4DFF" w:rsidP="004E4DFF">
      <w:pPr>
        <w:spacing w:after="0" w:line="240" w:lineRule="auto"/>
        <w:jc w:val="center"/>
        <w:rPr>
          <w:rFonts w:ascii="Times New Roman" w:hAnsi="Times New Roman"/>
          <w:noProof/>
          <w:sz w:val="20"/>
          <w:szCs w:val="20"/>
          <w:lang w:bidi="ar-SA"/>
        </w:rPr>
      </w:pPr>
      <w:r w:rsidRPr="004E4DFF">
        <w:rPr>
          <w:rFonts w:ascii="Times New Roman" w:hAnsi="Times New Roman"/>
          <w:noProof/>
          <w:sz w:val="20"/>
          <w:szCs w:val="20"/>
          <w:lang w:bidi="ar-SA"/>
        </w:rPr>
        <w:t>Received: 9 August 2015; Accepted: 11 December 2015</w:t>
      </w:r>
    </w:p>
    <w:p w:rsidR="004E4DFF" w:rsidRPr="004E4DFF" w:rsidRDefault="004E4DFF" w:rsidP="004E4DFF">
      <w:pPr>
        <w:spacing w:after="0" w:line="240" w:lineRule="auto"/>
        <w:jc w:val="center"/>
        <w:rPr>
          <w:rFonts w:ascii="Times New Roman" w:hAnsi="Times New Roman"/>
          <w:noProof/>
          <w:sz w:val="20"/>
          <w:szCs w:val="20"/>
          <w:lang w:bidi="ar-SA"/>
        </w:rPr>
      </w:pPr>
    </w:p>
    <w:p w:rsidR="004E4DFF" w:rsidRPr="004E4DFF" w:rsidRDefault="004E4DFF" w:rsidP="004E4DFF">
      <w:pPr>
        <w:spacing w:after="0" w:line="240" w:lineRule="auto"/>
        <w:jc w:val="center"/>
        <w:rPr>
          <w:rFonts w:ascii="Times New Roman" w:hAnsi="Times New Roman"/>
          <w:noProof/>
          <w:sz w:val="20"/>
          <w:szCs w:val="20"/>
          <w:lang w:bidi="ar-SA"/>
        </w:rPr>
      </w:pPr>
    </w:p>
    <w:p w:rsidR="004E4DFF" w:rsidRPr="004E4DFF" w:rsidRDefault="004E4DFF" w:rsidP="004E4DFF">
      <w:pPr>
        <w:spacing w:after="0" w:line="240" w:lineRule="auto"/>
        <w:jc w:val="center"/>
        <w:rPr>
          <w:rFonts w:ascii="Times New Roman" w:hAnsi="Times New Roman"/>
          <w:b/>
          <w:noProof/>
          <w:sz w:val="20"/>
          <w:szCs w:val="20"/>
          <w:lang w:bidi="ar-SA"/>
        </w:rPr>
      </w:pPr>
      <w:r w:rsidRPr="004E4DFF">
        <w:rPr>
          <w:rFonts w:ascii="Times New Roman" w:hAnsi="Times New Roman"/>
          <w:b/>
          <w:noProof/>
          <w:sz w:val="20"/>
          <w:szCs w:val="20"/>
          <w:lang w:bidi="ar-SA"/>
        </w:rPr>
        <w:t>Abstract</w:t>
      </w:r>
    </w:p>
    <w:p w:rsidR="004E4DFF" w:rsidRPr="004E4DFF" w:rsidRDefault="004E4DFF" w:rsidP="004E4DFF">
      <w:pPr>
        <w:spacing w:after="0" w:line="240" w:lineRule="auto"/>
        <w:jc w:val="both"/>
        <w:rPr>
          <w:rFonts w:ascii="Times New Roman" w:hAnsi="Times New Roman"/>
          <w:sz w:val="20"/>
          <w:szCs w:val="20"/>
        </w:rPr>
      </w:pPr>
      <w:r w:rsidRPr="004E4DFF">
        <w:rPr>
          <w:rFonts w:ascii="Times New Roman" w:hAnsi="Times New Roman"/>
          <w:sz w:val="20"/>
          <w:szCs w:val="20"/>
        </w:rPr>
        <w:t>According to International Agency for Research on Cancer (IARC), most of Polycyclic Aromatic Hydrocarbons (PAHs) known as genotoxic human carcinogen and mutagenic. PAHs represent as poorly degradable pollutants that exist in soils, sediments, surface water and atmosphere. A simple, rapid and sensitive extraction method termed modified Dispersive Liquid-Liquid Microextraction (DLLME) using green solvent was developed to determine PAHs in vegetable samples namely radish, cabbage and cucumber prior to Gas Chromatography Flame Ionization Detection (GC–FID). The extraction method is based on replacing chlorinated organic extraction solvent in the convention</w:t>
      </w:r>
      <w:r w:rsidR="00510C93">
        <w:rPr>
          <w:rFonts w:ascii="Times New Roman" w:hAnsi="Times New Roman"/>
          <w:sz w:val="20"/>
          <w:szCs w:val="20"/>
        </w:rPr>
        <w:t>al DLLME with low toxic solvent</w:t>
      </w:r>
      <w:r w:rsidRPr="004E4DFF">
        <w:rPr>
          <w:rFonts w:ascii="Times New Roman" w:hAnsi="Times New Roman"/>
          <w:sz w:val="20"/>
          <w:szCs w:val="20"/>
        </w:rPr>
        <w:t>, 1-bromo-3-methylbutane without using dispersive solvent. Several experimental factors such as type a</w:t>
      </w:r>
      <w:r w:rsidR="00F22F42">
        <w:rPr>
          <w:rFonts w:ascii="Times New Roman" w:hAnsi="Times New Roman"/>
          <w:sz w:val="20"/>
          <w:szCs w:val="20"/>
        </w:rPr>
        <w:t>nd volume of extraction solvent</w:t>
      </w:r>
      <w:r w:rsidR="00993A00">
        <w:rPr>
          <w:rFonts w:ascii="Times New Roman" w:hAnsi="Times New Roman"/>
          <w:sz w:val="20"/>
          <w:szCs w:val="20"/>
        </w:rPr>
        <w:t>s</w:t>
      </w:r>
      <w:r w:rsidRPr="004E4DFF">
        <w:rPr>
          <w:rFonts w:ascii="Times New Roman" w:hAnsi="Times New Roman"/>
          <w:sz w:val="20"/>
          <w:szCs w:val="20"/>
        </w:rPr>
        <w:t>, extraction time, confirmation of 12 PAHs by GC-MS, recovery percentage</w:t>
      </w:r>
      <w:r w:rsidR="00510C93">
        <w:rPr>
          <w:rFonts w:ascii="Times New Roman" w:hAnsi="Times New Roman"/>
          <w:sz w:val="20"/>
          <w:szCs w:val="20"/>
        </w:rPr>
        <w:t>s</w:t>
      </w:r>
      <w:r w:rsidRPr="004E4DFF">
        <w:rPr>
          <w:rFonts w:ascii="Times New Roman" w:hAnsi="Times New Roman"/>
          <w:sz w:val="20"/>
          <w:szCs w:val="20"/>
        </w:rPr>
        <w:t xml:space="preserve"> on vegetable samples and the comparative analysis with conventional DLLME were carried</w:t>
      </w:r>
      <w:r w:rsidRPr="004E4DFF">
        <w:rPr>
          <w:rFonts w:ascii="Times New Roman" w:hAnsi="Times New Roman"/>
          <w:color w:val="FF0000"/>
          <w:sz w:val="20"/>
          <w:szCs w:val="20"/>
        </w:rPr>
        <w:t xml:space="preserve"> </w:t>
      </w:r>
      <w:r w:rsidRPr="004E4DFF">
        <w:rPr>
          <w:rFonts w:ascii="Times New Roman" w:hAnsi="Times New Roman"/>
          <w:sz w:val="20"/>
          <w:szCs w:val="20"/>
        </w:rPr>
        <w:t>out. Both DLLME were successfully extracted 12 types of PAHs. In modified DLLME, the recoveries of the analytes obtained were in a range of 72.72 – 88.07 % with RSD value below 7.5 % which is comparable to the conventional DLLME. The use of microliter of low toxic extraction solvent without addition of dispersive solvent caused the method is economic and environmental friendly which is fulfill the</w:t>
      </w:r>
      <w:r w:rsidRPr="004E4DFF">
        <w:rPr>
          <w:rFonts w:ascii="Times New Roman" w:hAnsi="Times New Roman"/>
          <w:sz w:val="20"/>
          <w:szCs w:val="20"/>
          <w:lang w:val="en-GB"/>
        </w:rPr>
        <w:t xml:space="preserve"> current requirement, green chemistry based analytical method.</w:t>
      </w:r>
      <w:r w:rsidRPr="004E4DFF">
        <w:rPr>
          <w:rFonts w:ascii="Times New Roman" w:hAnsi="Times New Roman"/>
          <w:strike/>
          <w:sz w:val="20"/>
          <w:szCs w:val="20"/>
        </w:rPr>
        <w:t xml:space="preserve"> </w:t>
      </w:r>
    </w:p>
    <w:p w:rsidR="004E4DFF" w:rsidRPr="004E4DFF" w:rsidRDefault="004E4DFF" w:rsidP="004E4DFF">
      <w:pPr>
        <w:spacing w:after="0" w:line="240" w:lineRule="auto"/>
        <w:jc w:val="both"/>
        <w:outlineLvl w:val="0"/>
        <w:rPr>
          <w:rFonts w:ascii="Times New Roman" w:hAnsi="Times New Roman"/>
          <w:sz w:val="20"/>
          <w:szCs w:val="20"/>
        </w:rPr>
      </w:pPr>
    </w:p>
    <w:p w:rsidR="004E4DFF" w:rsidRPr="004E4DFF" w:rsidRDefault="004E4DFF" w:rsidP="004E4DFF">
      <w:pPr>
        <w:spacing w:after="0" w:line="240" w:lineRule="auto"/>
        <w:ind w:left="990" w:hanging="990"/>
        <w:jc w:val="both"/>
        <w:outlineLvl w:val="0"/>
        <w:rPr>
          <w:rFonts w:ascii="Times New Roman" w:hAnsi="Times New Roman"/>
          <w:color w:val="548DD4" w:themeColor="text2" w:themeTint="99"/>
          <w:sz w:val="20"/>
          <w:szCs w:val="20"/>
        </w:rPr>
      </w:pPr>
      <w:r w:rsidRPr="004E4DFF">
        <w:rPr>
          <w:rFonts w:ascii="Times New Roman" w:hAnsi="Times New Roman"/>
          <w:b/>
          <w:sz w:val="20"/>
          <w:szCs w:val="20"/>
        </w:rPr>
        <w:t>Keywords</w:t>
      </w:r>
      <w:r w:rsidRPr="004E4DFF">
        <w:rPr>
          <w:rFonts w:ascii="Times New Roman" w:hAnsi="Times New Roman"/>
          <w:sz w:val="20"/>
          <w:szCs w:val="20"/>
        </w:rPr>
        <w:t>:</w:t>
      </w:r>
      <w:r w:rsidRPr="004E4DFF">
        <w:rPr>
          <w:rFonts w:ascii="Times New Roman" w:hAnsi="Times New Roman"/>
          <w:sz w:val="20"/>
          <w:szCs w:val="20"/>
        </w:rPr>
        <w:tab/>
        <w:t>polycyclic aromatic hydrocarbons, modified dispersive liquid-liquid microextraction, gas chromatography flame ionization detection</w:t>
      </w:r>
      <w:r w:rsidRPr="004E4DFF">
        <w:rPr>
          <w:rFonts w:ascii="Times New Roman" w:hAnsi="Times New Roman"/>
          <w:b/>
          <w:color w:val="548DD4" w:themeColor="text2" w:themeTint="99"/>
          <w:sz w:val="20"/>
          <w:szCs w:val="20"/>
        </w:rPr>
        <w:t xml:space="preserve"> </w:t>
      </w:r>
    </w:p>
    <w:p w:rsidR="004E4DFF" w:rsidRPr="004E4DFF" w:rsidRDefault="004E4DFF" w:rsidP="004E4DFF">
      <w:pPr>
        <w:spacing w:after="0" w:line="240" w:lineRule="auto"/>
        <w:jc w:val="center"/>
        <w:rPr>
          <w:rFonts w:ascii="Times New Roman" w:hAnsi="Times New Roman"/>
          <w:b/>
          <w:noProof/>
          <w:sz w:val="20"/>
          <w:szCs w:val="20"/>
          <w:lang w:bidi="ar-SA"/>
        </w:rPr>
      </w:pPr>
    </w:p>
    <w:p w:rsidR="004E4DFF" w:rsidRPr="004E4DFF" w:rsidRDefault="004E4DFF" w:rsidP="004E4DFF">
      <w:pPr>
        <w:spacing w:after="0" w:line="240" w:lineRule="auto"/>
        <w:jc w:val="center"/>
        <w:rPr>
          <w:rFonts w:ascii="Times New Roman" w:hAnsi="Times New Roman"/>
          <w:b/>
          <w:noProof/>
          <w:sz w:val="20"/>
          <w:szCs w:val="20"/>
          <w:lang w:bidi="ar-SA"/>
        </w:rPr>
      </w:pPr>
      <w:r w:rsidRPr="004E4DFF">
        <w:rPr>
          <w:rFonts w:ascii="Times New Roman" w:hAnsi="Times New Roman"/>
          <w:b/>
          <w:noProof/>
          <w:sz w:val="20"/>
          <w:szCs w:val="20"/>
          <w:lang w:bidi="ar-SA"/>
        </w:rPr>
        <w:t>Abstrak</w:t>
      </w:r>
    </w:p>
    <w:p w:rsidR="004E4DFF" w:rsidRPr="004E4DFF" w:rsidRDefault="004E4DFF" w:rsidP="004E4DFF">
      <w:pPr>
        <w:spacing w:after="0" w:line="240" w:lineRule="auto"/>
        <w:jc w:val="both"/>
        <w:rPr>
          <w:rFonts w:ascii="Times New Roman" w:hAnsi="Times New Roman"/>
          <w:sz w:val="20"/>
          <w:szCs w:val="20"/>
        </w:rPr>
      </w:pPr>
      <w:r w:rsidRPr="004E4DFF">
        <w:rPr>
          <w:rFonts w:ascii="Times New Roman" w:hAnsi="Times New Roman"/>
          <w:sz w:val="20"/>
          <w:szCs w:val="20"/>
        </w:rPr>
        <w:t xml:space="preserve">Menurut agensi antarabangsa bagi penyelidikan kanser (IARC), kebanyakan Polisiklik Aromatik Hidrokarbon (PAHs) dikenali sebagai karsinogen genotoksik terhadap manusia dan mutagen. PAHs mewakili sebagai pencemar degradasi rendah yang wujud dalam tanah, enapan, air permukaan dan atmosfera. Satu kaedah pengekstrakan yang mudah, pantas dan sensitif yang digelar sebagai pengekstrakan mikro cecair – cecair serakan (DLLME) yang </w:t>
      </w:r>
      <w:r w:rsidRPr="004E4DFF">
        <w:rPr>
          <w:rFonts w:ascii="Times New Roman" w:hAnsi="Times New Roman"/>
          <w:sz w:val="20"/>
          <w:szCs w:val="20"/>
        </w:rPr>
        <w:lastRenderedPageBreak/>
        <w:t>terubahsuai dengan pelarut hijau telah dibangunkan bagi penentuan PAHs dalam sampel sayur – sayuran iaitu lobak, kubis dan timun sebelum diukur menggunakan gas kromatografi – pengesan nyala pengionan (GC–FID). Kaedah pengekstrakan ini adalah berdasarkan penggantian pelarut pengekstrakan organik berklorin di dalam DLLME konvensional dengan pelarut rendah toksik, 1-bromo-3-metilbutana tanpa menggunakan pelarut penyebar. Beberapa factor eksperimen seperti jenis dan isipadu pelarut pengekstrakan, masa pengekstrakan, pengesahan 12 PAHs dengan GC-MS, peratusan perolehan semula sampel sayur – sayuran dan perbandingan analisis dengan DLLME konvensional telah dijalankan. Kedua – dua teknik DLLME telah berjaya mengekstrak 12 jenis PAHs. Bagi DLLME terubahsuai, perolehan semula analit berada dalam julat 72.72 – 88.07 % dengan nilai RSD adalah kurang daripada 7.5 % iaitu setanding dengan teknik DLLME konvensional. Penggunaan mikroliter pelarut pengekstrakan yang rendah toksik tanpa penambahan pelarut penyebar menyebabkan kaedah ini ekonomik dan mesra alam yang memenuhi keperluan semasa iaitu kaedah analisis berasaskan kimia hijau.</w:t>
      </w:r>
    </w:p>
    <w:p w:rsidR="004E4DFF" w:rsidRPr="004E4DFF" w:rsidRDefault="004E4DFF" w:rsidP="004E4DFF">
      <w:pPr>
        <w:spacing w:after="0" w:line="240" w:lineRule="auto"/>
        <w:jc w:val="both"/>
        <w:outlineLvl w:val="0"/>
        <w:rPr>
          <w:rFonts w:ascii="Times New Roman" w:hAnsi="Times New Roman"/>
          <w:sz w:val="20"/>
          <w:szCs w:val="20"/>
        </w:rPr>
      </w:pPr>
    </w:p>
    <w:p w:rsidR="00C93993" w:rsidRDefault="004E4DFF" w:rsidP="004E4DFF">
      <w:pPr>
        <w:spacing w:after="0" w:line="240" w:lineRule="auto"/>
        <w:ind w:left="1080" w:hanging="1080"/>
        <w:jc w:val="both"/>
        <w:outlineLvl w:val="0"/>
        <w:rPr>
          <w:rFonts w:ascii="Times New Roman" w:hAnsi="Times New Roman"/>
          <w:sz w:val="20"/>
          <w:szCs w:val="20"/>
        </w:rPr>
      </w:pPr>
      <w:r w:rsidRPr="004E4DFF">
        <w:rPr>
          <w:rFonts w:ascii="Times New Roman" w:hAnsi="Times New Roman"/>
          <w:b/>
          <w:sz w:val="20"/>
          <w:szCs w:val="20"/>
        </w:rPr>
        <w:t xml:space="preserve">Kata kunci: </w:t>
      </w:r>
      <w:r w:rsidRPr="004E4DFF">
        <w:rPr>
          <w:rFonts w:ascii="Times New Roman" w:hAnsi="Times New Roman"/>
          <w:b/>
          <w:sz w:val="20"/>
          <w:szCs w:val="20"/>
        </w:rPr>
        <w:tab/>
      </w:r>
      <w:r w:rsidRPr="004E4DFF">
        <w:rPr>
          <w:rFonts w:ascii="Times New Roman" w:hAnsi="Times New Roman"/>
          <w:sz w:val="20"/>
          <w:szCs w:val="20"/>
        </w:rPr>
        <w:t>polisiklik aromatik hidrokarbon, pengekstrakan mikro cecair-cecair serakan yang terubahsuai, gas kromatografi-pengesan nyala pengionan</w:t>
      </w:r>
    </w:p>
    <w:p w:rsidR="004E4DFF" w:rsidRDefault="004E4DFF" w:rsidP="004E4DFF">
      <w:pPr>
        <w:spacing w:after="0" w:line="240" w:lineRule="auto"/>
        <w:ind w:left="1080" w:hanging="1080"/>
        <w:jc w:val="both"/>
        <w:outlineLvl w:val="0"/>
        <w:rPr>
          <w:rFonts w:ascii="Times New Roman" w:hAnsi="Times New Roman"/>
          <w:sz w:val="20"/>
          <w:szCs w:val="20"/>
        </w:rPr>
      </w:pPr>
    </w:p>
    <w:p w:rsidR="004E4DFF" w:rsidRPr="00F447A7" w:rsidRDefault="004E4DFF" w:rsidP="004E4DFF">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4E4DFF" w:rsidRPr="0074278D" w:rsidRDefault="004E4DFF" w:rsidP="004E4DFF">
      <w:pPr>
        <w:pStyle w:val="ListParagraph"/>
        <w:numPr>
          <w:ilvl w:val="0"/>
          <w:numId w:val="1"/>
        </w:numPr>
        <w:spacing w:after="0" w:line="240" w:lineRule="auto"/>
        <w:ind w:left="360"/>
        <w:jc w:val="both"/>
        <w:rPr>
          <w:rFonts w:ascii="Times New Roman" w:hAnsi="Times New Roman"/>
          <w:noProof/>
          <w:sz w:val="20"/>
          <w:szCs w:val="20"/>
        </w:rPr>
      </w:pPr>
      <w:r w:rsidRPr="0074278D">
        <w:rPr>
          <w:rFonts w:ascii="Times New Roman" w:hAnsi="Times New Roman"/>
          <w:noProof/>
          <w:sz w:val="20"/>
          <w:szCs w:val="20"/>
        </w:rPr>
        <w:t xml:space="preserve">Mohammadi, V. K., Mohammadi, A., Hashemi, M., Khaskar, R. and Haratian, P. (2012). Microwave-assisted extraction and dispersive liquid-liquid microextraction followed by gas chromatography-mass spectrometry for isolation and determination of polycylic aromatic hydrocarbons in smoked fish. </w:t>
      </w:r>
      <w:r w:rsidRPr="0074278D">
        <w:rPr>
          <w:rFonts w:ascii="Times New Roman" w:hAnsi="Times New Roman"/>
          <w:i/>
          <w:iCs/>
          <w:noProof/>
          <w:sz w:val="20"/>
          <w:szCs w:val="20"/>
        </w:rPr>
        <w:t xml:space="preserve">Journal of Chromatography A, </w:t>
      </w:r>
      <w:r w:rsidRPr="0074278D">
        <w:rPr>
          <w:rFonts w:ascii="Times New Roman" w:hAnsi="Times New Roman"/>
          <w:iCs/>
          <w:noProof/>
          <w:sz w:val="20"/>
          <w:szCs w:val="20"/>
        </w:rPr>
        <w:t>1237:</w:t>
      </w:r>
      <w:r w:rsidRPr="0074278D">
        <w:rPr>
          <w:rFonts w:ascii="Times New Roman" w:hAnsi="Times New Roman"/>
          <w:noProof/>
          <w:sz w:val="20"/>
          <w:szCs w:val="20"/>
        </w:rPr>
        <w:t xml:space="preserve"> 30 – 36.</w:t>
      </w:r>
    </w:p>
    <w:p w:rsidR="004E4DFF" w:rsidRPr="0074278D" w:rsidRDefault="004E4DFF" w:rsidP="004E4DFF">
      <w:pPr>
        <w:pStyle w:val="ListParagraph"/>
        <w:numPr>
          <w:ilvl w:val="0"/>
          <w:numId w:val="1"/>
        </w:numPr>
        <w:tabs>
          <w:tab w:val="left" w:pos="360"/>
        </w:tabs>
        <w:spacing w:after="0" w:line="240" w:lineRule="auto"/>
        <w:ind w:left="360"/>
        <w:jc w:val="both"/>
        <w:rPr>
          <w:rFonts w:ascii="Times New Roman" w:hAnsi="Times New Roman"/>
          <w:noProof/>
          <w:sz w:val="20"/>
          <w:szCs w:val="20"/>
        </w:rPr>
      </w:pPr>
      <w:r w:rsidRPr="0074278D">
        <w:rPr>
          <w:rFonts w:ascii="Times New Roman" w:hAnsi="Times New Roman"/>
          <w:noProof/>
          <w:sz w:val="20"/>
          <w:szCs w:val="20"/>
        </w:rPr>
        <w:t xml:space="preserve">Hosseini, M. H., Mohamad, R., Akbarian, S., Mizani, F., Pourjavid, R. M. and Arabieh, M. (2013). Homogeneous liquid-liquid microextraction via floatation assistance for rapid and efficient determination of polycyclic aromatic hydrocarbons in water samples. </w:t>
      </w:r>
      <w:r w:rsidRPr="0074278D">
        <w:rPr>
          <w:rFonts w:ascii="Times New Roman" w:hAnsi="Times New Roman"/>
          <w:i/>
          <w:iCs/>
          <w:noProof/>
          <w:sz w:val="20"/>
          <w:szCs w:val="20"/>
        </w:rPr>
        <w:t xml:space="preserve">Analytica Chimica Acta, </w:t>
      </w:r>
      <w:r w:rsidRPr="0074278D">
        <w:rPr>
          <w:rFonts w:ascii="Times New Roman" w:hAnsi="Times New Roman"/>
          <w:iCs/>
          <w:noProof/>
          <w:sz w:val="20"/>
          <w:szCs w:val="20"/>
        </w:rPr>
        <w:t>762:</w:t>
      </w:r>
      <w:r w:rsidRPr="0074278D">
        <w:rPr>
          <w:rFonts w:ascii="Times New Roman" w:hAnsi="Times New Roman"/>
          <w:noProof/>
          <w:sz w:val="20"/>
          <w:szCs w:val="20"/>
        </w:rPr>
        <w:t xml:space="preserve"> 54 – 60.</w:t>
      </w:r>
    </w:p>
    <w:p w:rsidR="004E4DFF" w:rsidRPr="0074278D" w:rsidRDefault="004E4DFF" w:rsidP="004E4DFF">
      <w:pPr>
        <w:pStyle w:val="ListParagraph"/>
        <w:numPr>
          <w:ilvl w:val="0"/>
          <w:numId w:val="1"/>
        </w:numPr>
        <w:spacing w:after="0" w:line="240" w:lineRule="auto"/>
        <w:ind w:left="360"/>
        <w:jc w:val="both"/>
        <w:rPr>
          <w:rFonts w:ascii="Times New Roman" w:hAnsi="Times New Roman"/>
          <w:noProof/>
          <w:sz w:val="20"/>
          <w:szCs w:val="20"/>
        </w:rPr>
      </w:pPr>
      <w:r w:rsidRPr="0074278D">
        <w:rPr>
          <w:rFonts w:ascii="Times New Roman" w:hAnsi="Times New Roman"/>
          <w:noProof/>
          <w:sz w:val="20"/>
          <w:szCs w:val="20"/>
        </w:rPr>
        <w:t xml:space="preserve">Tseng, W. C., Chen, S. P. and Huang, S. D. (2014). Optimization of two different dispersive liquid-liquid microextraction methods followed by gas chromatography-mass spectrometry determination for polycyclic aromatic hydrocarbons (PAHs) analysis. </w:t>
      </w:r>
      <w:r w:rsidRPr="0074278D">
        <w:rPr>
          <w:rFonts w:ascii="Times New Roman" w:hAnsi="Times New Roman"/>
          <w:i/>
          <w:iCs/>
          <w:noProof/>
          <w:sz w:val="20"/>
          <w:szCs w:val="20"/>
        </w:rPr>
        <w:t xml:space="preserve">Talanta, </w:t>
      </w:r>
      <w:r w:rsidRPr="0074278D">
        <w:rPr>
          <w:rFonts w:ascii="Times New Roman" w:hAnsi="Times New Roman"/>
          <w:iCs/>
          <w:noProof/>
          <w:sz w:val="20"/>
          <w:szCs w:val="20"/>
        </w:rPr>
        <w:t>120:</w:t>
      </w:r>
      <w:r w:rsidRPr="0074278D">
        <w:rPr>
          <w:rFonts w:ascii="Times New Roman" w:hAnsi="Times New Roman"/>
          <w:noProof/>
          <w:sz w:val="20"/>
          <w:szCs w:val="20"/>
        </w:rPr>
        <w:t xml:space="preserve"> 425 – 432.</w:t>
      </w:r>
    </w:p>
    <w:p w:rsidR="004E4DFF" w:rsidRPr="0074278D" w:rsidRDefault="004E4DFF" w:rsidP="004E4DFF">
      <w:pPr>
        <w:pStyle w:val="ListParagraph"/>
        <w:numPr>
          <w:ilvl w:val="0"/>
          <w:numId w:val="1"/>
        </w:numPr>
        <w:spacing w:after="0" w:line="240" w:lineRule="auto"/>
        <w:ind w:left="360"/>
        <w:jc w:val="both"/>
        <w:rPr>
          <w:rFonts w:ascii="Times New Roman" w:hAnsi="Times New Roman"/>
          <w:noProof/>
          <w:sz w:val="20"/>
          <w:szCs w:val="20"/>
        </w:rPr>
      </w:pPr>
      <w:r w:rsidRPr="0074278D">
        <w:rPr>
          <w:rFonts w:ascii="Times New Roman" w:hAnsi="Times New Roman"/>
          <w:noProof/>
          <w:sz w:val="20"/>
          <w:szCs w:val="20"/>
        </w:rPr>
        <w:t xml:space="preserve">Leong, M. I., Chang, C. C., Fuh, M. R. and Huang, S. D. (2010). Low toxic dispersive liquid liquid microextraction using halosolvents for extraction of polycyclic aromatic hydrocarbons in water samples. </w:t>
      </w:r>
      <w:r w:rsidRPr="0074278D">
        <w:rPr>
          <w:rFonts w:ascii="Times New Roman" w:hAnsi="Times New Roman"/>
          <w:i/>
          <w:iCs/>
          <w:noProof/>
          <w:sz w:val="20"/>
          <w:szCs w:val="20"/>
        </w:rPr>
        <w:t xml:space="preserve">Journal of Chromatography A, </w:t>
      </w:r>
      <w:r w:rsidRPr="0074278D">
        <w:rPr>
          <w:rFonts w:ascii="Times New Roman" w:hAnsi="Times New Roman"/>
          <w:iCs/>
          <w:noProof/>
          <w:sz w:val="20"/>
          <w:szCs w:val="20"/>
        </w:rPr>
        <w:t>1217</w:t>
      </w:r>
      <w:r w:rsidRPr="0074278D">
        <w:rPr>
          <w:rFonts w:ascii="Times New Roman" w:hAnsi="Times New Roman"/>
          <w:noProof/>
          <w:sz w:val="20"/>
          <w:szCs w:val="20"/>
        </w:rPr>
        <w:t>: 5455 – 5461.</w:t>
      </w:r>
    </w:p>
    <w:p w:rsidR="004E4DFF" w:rsidRPr="0074278D" w:rsidRDefault="004E4DFF" w:rsidP="004E4DFF">
      <w:pPr>
        <w:pStyle w:val="ListParagraph"/>
        <w:numPr>
          <w:ilvl w:val="0"/>
          <w:numId w:val="1"/>
        </w:numPr>
        <w:spacing w:after="0" w:line="240" w:lineRule="auto"/>
        <w:ind w:left="360"/>
        <w:jc w:val="both"/>
        <w:rPr>
          <w:rFonts w:ascii="Times New Roman" w:hAnsi="Times New Roman"/>
          <w:noProof/>
          <w:sz w:val="20"/>
          <w:szCs w:val="20"/>
        </w:rPr>
      </w:pPr>
      <w:r w:rsidRPr="0074278D">
        <w:rPr>
          <w:rFonts w:ascii="Times New Roman" w:hAnsi="Times New Roman"/>
          <w:noProof/>
          <w:sz w:val="20"/>
          <w:szCs w:val="20"/>
        </w:rPr>
        <w:t xml:space="preserve">Guo, L. and Lee, H. K. (2011). Low density solvent-based solvent demulsification dispersive liquid-liquid microextraction for the fast determination of trace levels of sixteen priority polycyclic aromatic hydrocarbons in enviromental water samples. </w:t>
      </w:r>
      <w:r w:rsidRPr="0074278D">
        <w:rPr>
          <w:rFonts w:ascii="Times New Roman" w:hAnsi="Times New Roman"/>
          <w:i/>
          <w:iCs/>
          <w:noProof/>
          <w:sz w:val="20"/>
          <w:szCs w:val="20"/>
        </w:rPr>
        <w:t xml:space="preserve">Journal of Chromatography, A, </w:t>
      </w:r>
      <w:r w:rsidRPr="0074278D">
        <w:rPr>
          <w:rFonts w:ascii="Times New Roman" w:hAnsi="Times New Roman"/>
          <w:iCs/>
          <w:noProof/>
          <w:sz w:val="20"/>
          <w:szCs w:val="20"/>
        </w:rPr>
        <w:t>1218:</w:t>
      </w:r>
      <w:r w:rsidRPr="0074278D">
        <w:rPr>
          <w:rFonts w:ascii="Times New Roman" w:hAnsi="Times New Roman"/>
          <w:noProof/>
          <w:sz w:val="20"/>
          <w:szCs w:val="20"/>
        </w:rPr>
        <w:t xml:space="preserve"> 5040 –5046.</w:t>
      </w:r>
    </w:p>
    <w:p w:rsidR="004E4DFF" w:rsidRPr="00D247C2" w:rsidRDefault="004E4DFF" w:rsidP="004E4DFF">
      <w:pPr>
        <w:pStyle w:val="ListParagraph"/>
        <w:numPr>
          <w:ilvl w:val="0"/>
          <w:numId w:val="1"/>
        </w:numPr>
        <w:spacing w:after="0" w:line="240" w:lineRule="auto"/>
        <w:ind w:left="360"/>
        <w:jc w:val="both"/>
        <w:rPr>
          <w:rFonts w:ascii="Times New Roman" w:hAnsi="Times New Roman"/>
          <w:noProof/>
          <w:color w:val="000000" w:themeColor="text1"/>
          <w:sz w:val="20"/>
          <w:szCs w:val="20"/>
        </w:rPr>
      </w:pPr>
      <w:r w:rsidRPr="0074278D">
        <w:rPr>
          <w:rFonts w:ascii="Times New Roman" w:hAnsi="Times New Roman"/>
          <w:noProof/>
          <w:sz w:val="20"/>
          <w:szCs w:val="20"/>
        </w:rPr>
        <w:t xml:space="preserve">Chemical Properties of Product. (2008). Access online from Chemical e-Book: </w:t>
      </w:r>
      <w:bookmarkStart w:id="0" w:name="_GoBack"/>
      <w:bookmarkEnd w:id="0"/>
      <w:r w:rsidRPr="0074278D">
        <w:rPr>
          <w:rFonts w:ascii="Times New Roman" w:hAnsi="Times New Roman"/>
          <w:noProof/>
          <w:sz w:val="20"/>
          <w:szCs w:val="20"/>
        </w:rPr>
        <w:t>http://www.chemicalbook.com/ProductChemicalPropertiesCB1394458_EN.</w:t>
      </w:r>
      <w:r w:rsidRPr="00D247C2">
        <w:rPr>
          <w:rFonts w:ascii="Times New Roman" w:hAnsi="Times New Roman"/>
          <w:noProof/>
          <w:sz w:val="20"/>
          <w:szCs w:val="20"/>
        </w:rPr>
        <w:t>html</w:t>
      </w:r>
      <w:r w:rsidRPr="00D247C2">
        <w:rPr>
          <w:rStyle w:val="Hyperlink"/>
          <w:rFonts w:ascii="Times New Roman" w:hAnsi="Times New Roman"/>
          <w:noProof/>
          <w:sz w:val="20"/>
          <w:szCs w:val="20"/>
          <w:u w:val="none"/>
        </w:rPr>
        <w:t xml:space="preserve">. </w:t>
      </w:r>
      <w:r w:rsidRPr="00D247C2">
        <w:rPr>
          <w:rStyle w:val="Hyperlink"/>
          <w:rFonts w:ascii="Times New Roman" w:hAnsi="Times New Roman"/>
          <w:noProof/>
          <w:color w:val="000000" w:themeColor="text1"/>
          <w:sz w:val="20"/>
          <w:szCs w:val="20"/>
          <w:u w:val="none"/>
        </w:rPr>
        <w:t>Retrieved 15/8/2014.</w:t>
      </w:r>
    </w:p>
    <w:p w:rsidR="004E4DFF" w:rsidRPr="0074278D" w:rsidRDefault="004E4DFF" w:rsidP="004E4DFF">
      <w:pPr>
        <w:pStyle w:val="Default"/>
        <w:numPr>
          <w:ilvl w:val="0"/>
          <w:numId w:val="1"/>
        </w:numPr>
        <w:ind w:left="360"/>
        <w:jc w:val="both"/>
        <w:rPr>
          <w:noProof/>
          <w:color w:val="auto"/>
          <w:sz w:val="20"/>
          <w:szCs w:val="20"/>
        </w:rPr>
      </w:pPr>
      <w:r w:rsidRPr="0074278D">
        <w:rPr>
          <w:sz w:val="20"/>
          <w:szCs w:val="20"/>
        </w:rPr>
        <w:t xml:space="preserve">Chai, M. K. and Tan, G. H. (2009). Validation of a headspace solid-phase microextraction with an internal standard method for the determination of pesticide residues in fruits and vegetables. </w:t>
      </w:r>
      <w:r w:rsidRPr="0074278D">
        <w:rPr>
          <w:i/>
          <w:iCs/>
          <w:sz w:val="20"/>
          <w:szCs w:val="20"/>
        </w:rPr>
        <w:t xml:space="preserve">Food Chemistry </w:t>
      </w:r>
      <w:r w:rsidRPr="0074278D">
        <w:rPr>
          <w:bCs/>
          <w:sz w:val="20"/>
          <w:szCs w:val="20"/>
        </w:rPr>
        <w:t>117</w:t>
      </w:r>
      <w:r w:rsidRPr="0074278D">
        <w:rPr>
          <w:sz w:val="20"/>
          <w:szCs w:val="20"/>
        </w:rPr>
        <w:t xml:space="preserve">: 561 – 567. </w:t>
      </w:r>
    </w:p>
    <w:p w:rsidR="004E4DFF" w:rsidRPr="0074278D" w:rsidRDefault="004E4DFF" w:rsidP="004E4DFF">
      <w:pPr>
        <w:pStyle w:val="ListParagraph"/>
        <w:numPr>
          <w:ilvl w:val="0"/>
          <w:numId w:val="1"/>
        </w:numPr>
        <w:spacing w:after="0" w:line="240" w:lineRule="auto"/>
        <w:ind w:left="360"/>
        <w:jc w:val="both"/>
        <w:rPr>
          <w:rFonts w:ascii="Times New Roman" w:hAnsi="Times New Roman"/>
          <w:noProof/>
          <w:sz w:val="20"/>
          <w:szCs w:val="20"/>
        </w:rPr>
      </w:pPr>
      <w:r w:rsidRPr="0074278D">
        <w:rPr>
          <w:rFonts w:ascii="Times New Roman" w:hAnsi="Times New Roman"/>
          <w:color w:val="000000"/>
          <w:sz w:val="20"/>
          <w:szCs w:val="20"/>
        </w:rPr>
        <w:t>Zang, X. H., WU, Q. H., Zhang, M. Y., XI, G. H. and Wang, Z. (2009). Developments of Dispersive Liquid-Liquid Microextraction Technique.</w:t>
      </w:r>
      <w:r w:rsidRPr="0074278D">
        <w:rPr>
          <w:rStyle w:val="apple-converted-space"/>
          <w:rFonts w:ascii="Times New Roman" w:hAnsi="Times New Roman"/>
          <w:color w:val="000000"/>
          <w:sz w:val="20"/>
          <w:szCs w:val="20"/>
        </w:rPr>
        <w:t> </w:t>
      </w:r>
      <w:r w:rsidRPr="0074278D">
        <w:rPr>
          <w:rStyle w:val="bibliographychar"/>
          <w:rFonts w:ascii="Times New Roman" w:hAnsi="Times New Roman"/>
          <w:i/>
          <w:iCs/>
          <w:color w:val="000000"/>
          <w:sz w:val="20"/>
          <w:szCs w:val="20"/>
        </w:rPr>
        <w:t xml:space="preserve">Chinese Journal of Analytical Chemistry, </w:t>
      </w:r>
      <w:r w:rsidRPr="0074278D">
        <w:rPr>
          <w:rStyle w:val="bibliographychar"/>
          <w:rFonts w:ascii="Times New Roman" w:hAnsi="Times New Roman"/>
          <w:iCs/>
          <w:color w:val="000000"/>
          <w:sz w:val="20"/>
          <w:szCs w:val="20"/>
        </w:rPr>
        <w:t>37</w:t>
      </w:r>
      <w:r w:rsidRPr="0074278D">
        <w:rPr>
          <w:rFonts w:ascii="Times New Roman" w:hAnsi="Times New Roman"/>
          <w:color w:val="000000"/>
          <w:sz w:val="20"/>
          <w:szCs w:val="20"/>
        </w:rPr>
        <w:t>(2): 161 – 168.</w:t>
      </w:r>
    </w:p>
    <w:p w:rsidR="004E4DFF" w:rsidRPr="0074278D" w:rsidRDefault="004E4DFF" w:rsidP="004E4DFF">
      <w:pPr>
        <w:pStyle w:val="ListParagraph"/>
        <w:numPr>
          <w:ilvl w:val="0"/>
          <w:numId w:val="1"/>
        </w:numPr>
        <w:spacing w:after="0" w:line="240" w:lineRule="auto"/>
        <w:ind w:left="360"/>
        <w:jc w:val="both"/>
        <w:rPr>
          <w:rStyle w:val="apple-style-span"/>
          <w:rFonts w:ascii="Times New Roman" w:hAnsi="Times New Roman"/>
          <w:noProof/>
          <w:sz w:val="20"/>
          <w:szCs w:val="20"/>
        </w:rPr>
      </w:pPr>
      <w:r w:rsidRPr="0074278D">
        <w:rPr>
          <w:rStyle w:val="apple-style-span"/>
          <w:rFonts w:ascii="Times New Roman" w:hAnsi="Times New Roman"/>
          <w:sz w:val="20"/>
          <w:szCs w:val="20"/>
        </w:rPr>
        <w:t>Zgola-Grzekowiak, A. and Grzeskowiak, T. (2011). Dispersive Liqiud-Liqiud Microextraction.</w:t>
      </w:r>
      <w:r w:rsidRPr="0074278D">
        <w:rPr>
          <w:rStyle w:val="apple-converted-space"/>
          <w:rFonts w:ascii="Times New Roman" w:hAnsi="Times New Roman"/>
          <w:sz w:val="20"/>
          <w:szCs w:val="20"/>
        </w:rPr>
        <w:t> </w:t>
      </w:r>
      <w:r w:rsidRPr="0074278D">
        <w:rPr>
          <w:rStyle w:val="apple-style-span"/>
          <w:rFonts w:ascii="Times New Roman" w:hAnsi="Times New Roman"/>
          <w:sz w:val="20"/>
          <w:szCs w:val="20"/>
        </w:rPr>
        <w:t>Trends In Analytical Chemistry,</w:t>
      </w:r>
      <w:r w:rsidRPr="0074278D">
        <w:rPr>
          <w:rStyle w:val="apple-converted-space"/>
          <w:rFonts w:ascii="Times New Roman" w:hAnsi="Times New Roman"/>
          <w:sz w:val="20"/>
          <w:szCs w:val="20"/>
        </w:rPr>
        <w:t> </w:t>
      </w:r>
      <w:r w:rsidRPr="0074278D">
        <w:rPr>
          <w:rStyle w:val="apple-style-span"/>
          <w:rFonts w:ascii="Times New Roman" w:hAnsi="Times New Roman"/>
          <w:sz w:val="20"/>
          <w:szCs w:val="20"/>
        </w:rPr>
        <w:t>30(9): 1382 – 1397.</w:t>
      </w:r>
    </w:p>
    <w:p w:rsidR="004E4DFF" w:rsidRPr="004E4DFF" w:rsidRDefault="004E4DFF" w:rsidP="004E4DFF">
      <w:pPr>
        <w:spacing w:after="0" w:line="240" w:lineRule="auto"/>
        <w:jc w:val="both"/>
        <w:outlineLvl w:val="0"/>
        <w:rPr>
          <w:rFonts w:ascii="Times New Roman" w:hAnsi="Times New Roman"/>
          <w:sz w:val="20"/>
          <w:szCs w:val="20"/>
        </w:rPr>
      </w:pPr>
    </w:p>
    <w:sectPr w:rsidR="004E4DFF" w:rsidRPr="004E4DFF" w:rsidSect="004E4DFF">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F27BED"/>
    <w:multiLevelType w:val="hybridMultilevel"/>
    <w:tmpl w:val="072697A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DFF"/>
    <w:rsid w:val="004E4DFF"/>
    <w:rsid w:val="00510C93"/>
    <w:rsid w:val="00993A00"/>
    <w:rsid w:val="00C93993"/>
    <w:rsid w:val="00D0718B"/>
    <w:rsid w:val="00D247C2"/>
    <w:rsid w:val="00D40B1F"/>
    <w:rsid w:val="00F22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DFF"/>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4DFF"/>
    <w:pPr>
      <w:ind w:left="720"/>
      <w:contextualSpacing/>
    </w:pPr>
  </w:style>
  <w:style w:type="character" w:customStyle="1" w:styleId="apple-converted-space">
    <w:name w:val="apple-converted-space"/>
    <w:basedOn w:val="DefaultParagraphFont"/>
    <w:rsid w:val="004E4DFF"/>
  </w:style>
  <w:style w:type="character" w:styleId="Hyperlink">
    <w:name w:val="Hyperlink"/>
    <w:basedOn w:val="DefaultParagraphFont"/>
    <w:uiPriority w:val="99"/>
    <w:unhideWhenUsed/>
    <w:rsid w:val="004E4DFF"/>
    <w:rPr>
      <w:color w:val="0000FF"/>
      <w:u w:val="single"/>
    </w:rPr>
  </w:style>
  <w:style w:type="character" w:customStyle="1" w:styleId="apple-style-span">
    <w:name w:val="apple-style-span"/>
    <w:basedOn w:val="DefaultParagraphFont"/>
    <w:rsid w:val="004E4DFF"/>
  </w:style>
  <w:style w:type="character" w:customStyle="1" w:styleId="bibliographychar">
    <w:name w:val="bibliography__char"/>
    <w:basedOn w:val="DefaultParagraphFont"/>
    <w:rsid w:val="004E4DFF"/>
  </w:style>
  <w:style w:type="paragraph" w:customStyle="1" w:styleId="Default">
    <w:name w:val="Default"/>
    <w:rsid w:val="004E4DFF"/>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DFF"/>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4DFF"/>
    <w:pPr>
      <w:ind w:left="720"/>
      <w:contextualSpacing/>
    </w:pPr>
  </w:style>
  <w:style w:type="character" w:customStyle="1" w:styleId="apple-converted-space">
    <w:name w:val="apple-converted-space"/>
    <w:basedOn w:val="DefaultParagraphFont"/>
    <w:rsid w:val="004E4DFF"/>
  </w:style>
  <w:style w:type="character" w:styleId="Hyperlink">
    <w:name w:val="Hyperlink"/>
    <w:basedOn w:val="DefaultParagraphFont"/>
    <w:uiPriority w:val="99"/>
    <w:unhideWhenUsed/>
    <w:rsid w:val="004E4DFF"/>
    <w:rPr>
      <w:color w:val="0000FF"/>
      <w:u w:val="single"/>
    </w:rPr>
  </w:style>
  <w:style w:type="character" w:customStyle="1" w:styleId="apple-style-span">
    <w:name w:val="apple-style-span"/>
    <w:basedOn w:val="DefaultParagraphFont"/>
    <w:rsid w:val="004E4DFF"/>
  </w:style>
  <w:style w:type="character" w:customStyle="1" w:styleId="bibliographychar">
    <w:name w:val="bibliography__char"/>
    <w:basedOn w:val="DefaultParagraphFont"/>
    <w:rsid w:val="004E4DFF"/>
  </w:style>
  <w:style w:type="paragraph" w:customStyle="1" w:styleId="Default">
    <w:name w:val="Default"/>
    <w:rsid w:val="004E4DF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946</Words>
  <Characters>5396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ANALIS</dc:creator>
  <cp:lastModifiedBy>ANALIS</cp:lastModifiedBy>
  <cp:revision>5</cp:revision>
  <dcterms:created xsi:type="dcterms:W3CDTF">2016-01-12T14:57:00Z</dcterms:created>
  <dcterms:modified xsi:type="dcterms:W3CDTF">2016-02-12T15:29:00Z</dcterms:modified>
</cp:coreProperties>
</file>