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16D2C" w:rsidRPr="00682FFA" w:rsidRDefault="00216D2C" w:rsidP="00216D2C">
      <w:pPr>
        <w:spacing w:after="0" w:line="240" w:lineRule="auto"/>
        <w:jc w:val="center"/>
        <w:outlineLvl w:val="0"/>
        <w:rPr>
          <w:rFonts w:ascii="Times New Roman" w:hAnsi="Times New Roman"/>
          <w:sz w:val="28"/>
        </w:rPr>
      </w:pPr>
      <w:r w:rsidRPr="00682FFA">
        <w:rPr>
          <w:rFonts w:ascii="Times New Roman" w:hAnsi="Times New Roman"/>
          <w:sz w:val="28"/>
        </w:rPr>
        <w:t xml:space="preserve">ISOLATION, PURIFICATION AND IDENTIFICATION OF MICROALGAE FROM COAL-FIRED POWER PLANT ENVIRONMENT </w:t>
      </w:r>
    </w:p>
    <w:p w:rsidR="00216D2C" w:rsidRPr="00682FFA" w:rsidRDefault="00216D2C" w:rsidP="00216D2C">
      <w:pPr>
        <w:spacing w:after="0" w:line="240" w:lineRule="auto"/>
        <w:jc w:val="center"/>
        <w:outlineLvl w:val="0"/>
        <w:rPr>
          <w:rFonts w:ascii="Times New Roman" w:hAnsi="Times New Roman"/>
          <w:b/>
          <w:sz w:val="24"/>
        </w:rPr>
      </w:pPr>
    </w:p>
    <w:p w:rsidR="00216D2C" w:rsidRPr="00216D2C" w:rsidRDefault="00216D2C" w:rsidP="00216D2C">
      <w:pPr>
        <w:spacing w:after="0" w:line="240" w:lineRule="auto"/>
        <w:jc w:val="center"/>
        <w:outlineLvl w:val="0"/>
        <w:rPr>
          <w:rFonts w:ascii="Times New Roman" w:hAnsi="Times New Roman"/>
          <w:sz w:val="24"/>
          <w:szCs w:val="24"/>
        </w:rPr>
      </w:pPr>
      <w:r w:rsidRPr="00216D2C">
        <w:rPr>
          <w:rFonts w:ascii="Times New Roman" w:hAnsi="Times New Roman"/>
          <w:sz w:val="24"/>
          <w:szCs w:val="24"/>
        </w:rPr>
        <w:t>(Pemencilan, Penulenan dan Identifikasi Mikroalga daripada Persekitaran Loji Janakuasa Arang Batu)</w:t>
      </w:r>
    </w:p>
    <w:p w:rsidR="00216D2C" w:rsidRPr="00216D2C" w:rsidRDefault="00216D2C" w:rsidP="00216D2C">
      <w:pPr>
        <w:spacing w:after="0" w:line="240" w:lineRule="auto"/>
        <w:jc w:val="center"/>
        <w:outlineLvl w:val="0"/>
        <w:rPr>
          <w:rFonts w:ascii="Times New Roman" w:hAnsi="Times New Roman"/>
          <w:b/>
          <w:sz w:val="20"/>
          <w:szCs w:val="20"/>
        </w:rPr>
      </w:pPr>
    </w:p>
    <w:p w:rsidR="00216D2C" w:rsidRPr="00216D2C" w:rsidRDefault="00216D2C" w:rsidP="00216D2C">
      <w:pPr>
        <w:spacing w:after="0" w:line="240" w:lineRule="auto"/>
        <w:jc w:val="center"/>
        <w:outlineLvl w:val="0"/>
        <w:rPr>
          <w:rFonts w:ascii="Times New Roman" w:hAnsi="Times New Roman"/>
          <w:sz w:val="20"/>
          <w:szCs w:val="20"/>
        </w:rPr>
      </w:pPr>
      <w:r w:rsidRPr="00216D2C">
        <w:rPr>
          <w:rFonts w:ascii="Times New Roman" w:hAnsi="Times New Roman"/>
          <w:sz w:val="20"/>
          <w:szCs w:val="20"/>
        </w:rPr>
        <w:t>Muhammad Nazry Chik</w:t>
      </w:r>
      <w:r w:rsidRPr="00216D2C">
        <w:rPr>
          <w:rFonts w:ascii="Times New Roman" w:hAnsi="Times New Roman"/>
          <w:sz w:val="20"/>
          <w:szCs w:val="20"/>
          <w:vertAlign w:val="superscript"/>
        </w:rPr>
        <w:t>1</w:t>
      </w:r>
      <w:r w:rsidRPr="00216D2C">
        <w:rPr>
          <w:rFonts w:ascii="Times New Roman" w:hAnsi="Times New Roman"/>
          <w:sz w:val="20"/>
          <w:szCs w:val="20"/>
        </w:rPr>
        <w:t>, Liyana Yahya</w:t>
      </w:r>
      <w:r w:rsidRPr="00216D2C">
        <w:rPr>
          <w:rFonts w:ascii="Times New Roman" w:hAnsi="Times New Roman"/>
          <w:sz w:val="20"/>
          <w:szCs w:val="20"/>
          <w:vertAlign w:val="superscript"/>
        </w:rPr>
        <w:t>1</w:t>
      </w:r>
      <w:r w:rsidRPr="00216D2C">
        <w:rPr>
          <w:rFonts w:ascii="Times New Roman" w:hAnsi="Times New Roman"/>
          <w:sz w:val="20"/>
          <w:szCs w:val="20"/>
        </w:rPr>
        <w:t>, Kamrul Fakir Kamarudin</w:t>
      </w:r>
      <w:r w:rsidRPr="00216D2C">
        <w:rPr>
          <w:rFonts w:ascii="Times New Roman" w:hAnsi="Times New Roman"/>
          <w:sz w:val="20"/>
          <w:szCs w:val="20"/>
          <w:vertAlign w:val="superscript"/>
        </w:rPr>
        <w:t>2</w:t>
      </w:r>
      <w:r w:rsidRPr="00216D2C">
        <w:rPr>
          <w:rFonts w:ascii="Times New Roman" w:hAnsi="Times New Roman"/>
          <w:sz w:val="20"/>
          <w:szCs w:val="20"/>
        </w:rPr>
        <w:t>, Ding Gong Tao</w:t>
      </w:r>
      <w:r w:rsidRPr="00216D2C">
        <w:rPr>
          <w:rFonts w:ascii="Times New Roman" w:hAnsi="Times New Roman"/>
          <w:sz w:val="20"/>
          <w:szCs w:val="20"/>
          <w:vertAlign w:val="superscript"/>
        </w:rPr>
        <w:t>2</w:t>
      </w:r>
      <w:r w:rsidRPr="00216D2C">
        <w:rPr>
          <w:rFonts w:ascii="Times New Roman" w:hAnsi="Times New Roman"/>
          <w:sz w:val="20"/>
          <w:szCs w:val="20"/>
        </w:rPr>
        <w:t>, Mohd Sobri Takriff</w:t>
      </w:r>
      <w:r w:rsidRPr="00216D2C">
        <w:rPr>
          <w:rFonts w:ascii="Times New Roman" w:hAnsi="Times New Roman"/>
          <w:sz w:val="20"/>
          <w:szCs w:val="20"/>
          <w:vertAlign w:val="superscript"/>
        </w:rPr>
        <w:t>2</w:t>
      </w:r>
      <w:r w:rsidRPr="00216D2C">
        <w:rPr>
          <w:rFonts w:ascii="Times New Roman" w:hAnsi="Times New Roman"/>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216D2C" w:rsidRDefault="00216D2C" w:rsidP="00216D2C">
      <w:pPr>
        <w:spacing w:after="0" w:line="240" w:lineRule="auto"/>
        <w:jc w:val="center"/>
        <w:outlineLvl w:val="0"/>
        <w:rPr>
          <w:rFonts w:ascii="Times New Roman" w:hAnsi="Times New Roman"/>
          <w:i/>
          <w:sz w:val="18"/>
          <w:szCs w:val="18"/>
        </w:rPr>
      </w:pPr>
      <w:r w:rsidRPr="00682FFA">
        <w:rPr>
          <w:rFonts w:ascii="Times New Roman" w:hAnsi="Times New Roman"/>
          <w:i/>
          <w:sz w:val="18"/>
          <w:szCs w:val="18"/>
          <w:vertAlign w:val="superscript"/>
        </w:rPr>
        <w:t>1</w:t>
      </w:r>
      <w:r w:rsidRPr="00682FFA">
        <w:rPr>
          <w:rFonts w:ascii="Times New Roman" w:hAnsi="Times New Roman"/>
          <w:i/>
          <w:sz w:val="18"/>
          <w:szCs w:val="18"/>
        </w:rPr>
        <w:t xml:space="preserve">Emission and Waste Management Technology Group, </w:t>
      </w:r>
    </w:p>
    <w:p w:rsidR="00216D2C" w:rsidRPr="00682FFA" w:rsidRDefault="00216D2C" w:rsidP="00216D2C">
      <w:pPr>
        <w:spacing w:after="0" w:line="240" w:lineRule="auto"/>
        <w:jc w:val="center"/>
        <w:outlineLvl w:val="0"/>
        <w:rPr>
          <w:rFonts w:ascii="Times New Roman" w:hAnsi="Times New Roman"/>
          <w:i/>
          <w:sz w:val="18"/>
          <w:szCs w:val="18"/>
        </w:rPr>
      </w:pPr>
      <w:r w:rsidRPr="00682FFA">
        <w:rPr>
          <w:rFonts w:ascii="Times New Roman" w:hAnsi="Times New Roman"/>
          <w:i/>
          <w:sz w:val="18"/>
          <w:szCs w:val="18"/>
        </w:rPr>
        <w:t>TNB Research Sdn Bhd, No 1, Lorong Air Hitam, Kawasan Institusi Penyelidikan, 43</w:t>
      </w:r>
      <w:r>
        <w:rPr>
          <w:rFonts w:ascii="Times New Roman" w:hAnsi="Times New Roman"/>
          <w:i/>
          <w:sz w:val="18"/>
          <w:szCs w:val="18"/>
        </w:rPr>
        <w:t>000 Kajang, Selangor, Malaysia</w:t>
      </w:r>
    </w:p>
    <w:p w:rsidR="00216D2C" w:rsidRDefault="00216D2C" w:rsidP="00216D2C">
      <w:pPr>
        <w:spacing w:after="0" w:line="240" w:lineRule="auto"/>
        <w:jc w:val="center"/>
        <w:outlineLvl w:val="0"/>
        <w:rPr>
          <w:rFonts w:ascii="Times New Roman" w:hAnsi="Times New Roman"/>
          <w:i/>
          <w:sz w:val="18"/>
          <w:szCs w:val="18"/>
        </w:rPr>
      </w:pPr>
      <w:r w:rsidRPr="00682FFA">
        <w:rPr>
          <w:rFonts w:ascii="Times New Roman" w:hAnsi="Times New Roman"/>
          <w:i/>
          <w:sz w:val="18"/>
          <w:szCs w:val="18"/>
          <w:vertAlign w:val="superscript"/>
        </w:rPr>
        <w:t>2</w:t>
      </w:r>
      <w:r w:rsidRPr="00682FFA">
        <w:rPr>
          <w:rFonts w:ascii="Times New Roman" w:hAnsi="Times New Roman"/>
          <w:i/>
          <w:sz w:val="18"/>
          <w:szCs w:val="18"/>
        </w:rPr>
        <w:t xml:space="preserve">Department of Chemical and Process Engineering, Faculty of Engineering and Built Environment, </w:t>
      </w:r>
    </w:p>
    <w:p w:rsidR="00216D2C" w:rsidRPr="00682FFA" w:rsidRDefault="00216D2C" w:rsidP="00216D2C">
      <w:pPr>
        <w:spacing w:after="0" w:line="240" w:lineRule="auto"/>
        <w:jc w:val="center"/>
        <w:outlineLvl w:val="0"/>
        <w:rPr>
          <w:rFonts w:ascii="Times New Roman" w:hAnsi="Times New Roman"/>
          <w:i/>
          <w:sz w:val="18"/>
          <w:szCs w:val="18"/>
        </w:rPr>
      </w:pPr>
      <w:r w:rsidRPr="00682FFA">
        <w:rPr>
          <w:rFonts w:ascii="Times New Roman" w:hAnsi="Times New Roman"/>
          <w:i/>
          <w:sz w:val="18"/>
          <w:szCs w:val="18"/>
        </w:rPr>
        <w:t>Universiti Kebangsaan Malaysia, 43</w:t>
      </w:r>
      <w:r>
        <w:rPr>
          <w:rFonts w:ascii="Times New Roman" w:hAnsi="Times New Roman"/>
          <w:i/>
          <w:sz w:val="18"/>
          <w:szCs w:val="18"/>
        </w:rPr>
        <w:t>600 UKM Bangi,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216D2C" w:rsidRDefault="006768E9" w:rsidP="00216D2C">
      <w:pPr>
        <w:spacing w:after="0" w:line="240" w:lineRule="auto"/>
        <w:jc w:val="center"/>
        <w:outlineLvl w:val="0"/>
        <w:rPr>
          <w:rFonts w:ascii="Times New Roman" w:hAnsi="Times New Roman"/>
          <w:i/>
          <w:sz w:val="18"/>
          <w:szCs w:val="18"/>
        </w:rPr>
      </w:pPr>
      <w:r w:rsidRPr="00216D2C">
        <w:rPr>
          <w:rFonts w:ascii="Times New Roman" w:hAnsi="Times New Roman"/>
          <w:i/>
          <w:noProof/>
          <w:sz w:val="18"/>
          <w:szCs w:val="18"/>
          <w:lang w:bidi="ar-SA"/>
        </w:rPr>
        <w:t>*Corresponding author:</w:t>
      </w:r>
      <w:r w:rsidR="00BE7C30" w:rsidRPr="00216D2C">
        <w:rPr>
          <w:rFonts w:ascii="Times New Roman" w:hAnsi="Times New Roman"/>
          <w:i/>
          <w:noProof/>
          <w:sz w:val="18"/>
          <w:szCs w:val="18"/>
          <w:lang w:bidi="ar-SA"/>
        </w:rPr>
        <w:t xml:space="preserve"> </w:t>
      </w:r>
      <w:r w:rsidR="00216D2C" w:rsidRPr="00216D2C">
        <w:rPr>
          <w:rFonts w:ascii="Times New Roman" w:hAnsi="Times New Roman"/>
          <w:i/>
          <w:sz w:val="18"/>
          <w:szCs w:val="18"/>
        </w:rPr>
        <w:t>sobritakriff@ukm.edu.my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37BF5">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637BF5">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77BD6" w:rsidRPr="00B77BD6" w:rsidRDefault="00B77BD6" w:rsidP="00B77BD6">
      <w:pPr>
        <w:spacing w:after="0" w:line="240" w:lineRule="auto"/>
        <w:ind w:right="-1"/>
        <w:jc w:val="both"/>
        <w:rPr>
          <w:rFonts w:ascii="Times New Roman" w:hAnsi="Times New Roman"/>
          <w:sz w:val="18"/>
          <w:szCs w:val="18"/>
        </w:rPr>
      </w:pPr>
      <w:r w:rsidRPr="00B77BD6">
        <w:rPr>
          <w:rFonts w:ascii="Times New Roman" w:hAnsi="Times New Roman"/>
          <w:sz w:val="18"/>
          <w:szCs w:val="18"/>
        </w:rPr>
        <w:t>Carbon capture and storage (CCS) through biological approach has attracted much attention as global warming and climate change issue becomes a worldwide agenda. Energy production industry from coal in Malaysia produced 50.661 million metric tons of carbon dioxide in 2012, and the trend showed it will keep increasing year by year. CCS through biological approach can be done by microalgae which are versatile microorganism which perform photosynthesis process that can store CO</w:t>
      </w:r>
      <w:r w:rsidRPr="00B77BD6">
        <w:rPr>
          <w:rFonts w:ascii="Times New Roman" w:hAnsi="Times New Roman"/>
          <w:sz w:val="18"/>
          <w:szCs w:val="18"/>
          <w:vertAlign w:val="subscript"/>
        </w:rPr>
        <w:t>2</w:t>
      </w:r>
      <w:r w:rsidRPr="00B77BD6">
        <w:rPr>
          <w:rFonts w:ascii="Times New Roman" w:hAnsi="Times New Roman"/>
          <w:sz w:val="18"/>
          <w:szCs w:val="18"/>
        </w:rPr>
        <w:t xml:space="preserve"> in the biomass form. In this study, microalgae strains were isolated from the native environment nearby a coal-fired power plant, where samples were collected in different canal in which pre-treated flue gases are discharged. The microalgae strains were identified by both morphological and molecular approaches. Result from 18s rRNA gene sequencing showed that the isolated strains is </w:t>
      </w:r>
      <w:r w:rsidRPr="00B77BD6">
        <w:rPr>
          <w:rFonts w:ascii="Times New Roman" w:hAnsi="Times New Roman"/>
          <w:i/>
          <w:sz w:val="18"/>
          <w:szCs w:val="18"/>
        </w:rPr>
        <w:t>Chlorella</w:t>
      </w:r>
      <w:r w:rsidRPr="00B77BD6">
        <w:rPr>
          <w:rFonts w:ascii="Times New Roman" w:hAnsi="Times New Roman"/>
          <w:sz w:val="18"/>
          <w:szCs w:val="18"/>
        </w:rPr>
        <w:t xml:space="preserve"> sp. with similarity 99% with </w:t>
      </w:r>
      <w:r w:rsidRPr="00B77BD6">
        <w:rPr>
          <w:rFonts w:ascii="Times New Roman" w:hAnsi="Times New Roman"/>
          <w:i/>
          <w:sz w:val="18"/>
          <w:szCs w:val="18"/>
        </w:rPr>
        <w:t>Chlorella</w:t>
      </w:r>
      <w:r w:rsidRPr="00B77BD6">
        <w:rPr>
          <w:rFonts w:ascii="Times New Roman" w:hAnsi="Times New Roman"/>
          <w:sz w:val="18"/>
          <w:szCs w:val="18"/>
        </w:rPr>
        <w:t xml:space="preserve"> sp. SAG 211-18. The identified strains of microalgae then cultivated with three concentration of CO</w:t>
      </w:r>
      <w:r w:rsidRPr="00B77BD6">
        <w:rPr>
          <w:rFonts w:ascii="Times New Roman" w:hAnsi="Times New Roman"/>
          <w:sz w:val="18"/>
          <w:szCs w:val="18"/>
          <w:vertAlign w:val="subscript"/>
        </w:rPr>
        <w:t>2</w:t>
      </w:r>
      <w:r w:rsidRPr="00B77BD6">
        <w:rPr>
          <w:rFonts w:ascii="Times New Roman" w:hAnsi="Times New Roman"/>
          <w:sz w:val="18"/>
          <w:szCs w:val="18"/>
        </w:rPr>
        <w:t xml:space="preserve"> (ambient air, 1% and 5%) and the growth rate showed 0.4017 day</w:t>
      </w:r>
      <w:r w:rsidRPr="00B77BD6">
        <w:rPr>
          <w:rFonts w:ascii="Times New Roman" w:hAnsi="Times New Roman"/>
          <w:sz w:val="18"/>
          <w:szCs w:val="18"/>
          <w:vertAlign w:val="superscript"/>
        </w:rPr>
        <w:t>-1</w:t>
      </w:r>
      <w:r w:rsidRPr="00B77BD6">
        <w:rPr>
          <w:rFonts w:ascii="Times New Roman" w:hAnsi="Times New Roman"/>
          <w:sz w:val="18"/>
          <w:szCs w:val="18"/>
        </w:rPr>
        <w:t>, 0.5752 day</w:t>
      </w:r>
      <w:r w:rsidRPr="00B77BD6">
        <w:rPr>
          <w:rFonts w:ascii="Times New Roman" w:hAnsi="Times New Roman"/>
          <w:sz w:val="18"/>
          <w:szCs w:val="18"/>
          <w:vertAlign w:val="superscript"/>
        </w:rPr>
        <w:t>-1</w:t>
      </w:r>
      <w:r w:rsidRPr="00B77BD6">
        <w:rPr>
          <w:rFonts w:ascii="Times New Roman" w:hAnsi="Times New Roman"/>
          <w:sz w:val="18"/>
          <w:szCs w:val="18"/>
        </w:rPr>
        <w:t xml:space="preserve"> and 0.4427 day</w:t>
      </w:r>
      <w:r w:rsidRPr="00B77BD6">
        <w:rPr>
          <w:rFonts w:ascii="Times New Roman" w:hAnsi="Times New Roman"/>
          <w:sz w:val="18"/>
          <w:szCs w:val="18"/>
          <w:vertAlign w:val="superscript"/>
        </w:rPr>
        <w:t>-1</w:t>
      </w:r>
      <w:r w:rsidRPr="00B77BD6">
        <w:rPr>
          <w:rFonts w:ascii="Times New Roman" w:hAnsi="Times New Roman"/>
          <w:sz w:val="18"/>
          <w:szCs w:val="18"/>
        </w:rPr>
        <w:t xml:space="preserve"> respectively. Different concentration of CO</w:t>
      </w:r>
      <w:r w:rsidRPr="00B77BD6">
        <w:rPr>
          <w:rFonts w:ascii="Times New Roman" w:hAnsi="Times New Roman"/>
          <w:sz w:val="18"/>
          <w:szCs w:val="18"/>
          <w:vertAlign w:val="subscript"/>
        </w:rPr>
        <w:t>2</w:t>
      </w:r>
      <w:r w:rsidRPr="00B77BD6">
        <w:rPr>
          <w:rFonts w:ascii="Times New Roman" w:hAnsi="Times New Roman"/>
          <w:sz w:val="18"/>
          <w:szCs w:val="18"/>
        </w:rPr>
        <w:t xml:space="preserve"> (ambient air, 1% and 5%) showed th</w:t>
      </w:r>
      <w:r>
        <w:rPr>
          <w:rFonts w:ascii="Times New Roman" w:hAnsi="Times New Roman"/>
          <w:sz w:val="18"/>
          <w:szCs w:val="18"/>
        </w:rPr>
        <w:t xml:space="preserve">at the isolated strains yielded </w:t>
      </w:r>
      <w:r w:rsidRPr="00B77BD6">
        <w:rPr>
          <w:rFonts w:ascii="Times New Roman" w:hAnsi="Times New Roman"/>
          <w:sz w:val="18"/>
          <w:szCs w:val="18"/>
        </w:rPr>
        <w:t>1.005gL</w:t>
      </w:r>
      <w:r w:rsidRPr="00B77BD6">
        <w:rPr>
          <w:rFonts w:ascii="Times New Roman" w:hAnsi="Times New Roman"/>
          <w:sz w:val="18"/>
          <w:szCs w:val="18"/>
          <w:vertAlign w:val="superscript"/>
        </w:rPr>
        <w:t>-1</w:t>
      </w:r>
      <w:r w:rsidRPr="00B77BD6">
        <w:rPr>
          <w:rFonts w:ascii="Times New Roman" w:hAnsi="Times New Roman"/>
          <w:sz w:val="18"/>
          <w:szCs w:val="18"/>
        </w:rPr>
        <w:t>, 1.101gL</w:t>
      </w:r>
      <w:r w:rsidRPr="00B77BD6">
        <w:rPr>
          <w:rFonts w:ascii="Times New Roman" w:hAnsi="Times New Roman"/>
          <w:sz w:val="18"/>
          <w:szCs w:val="18"/>
          <w:vertAlign w:val="superscript"/>
        </w:rPr>
        <w:t>-1</w:t>
      </w:r>
      <w:r w:rsidRPr="00B77BD6">
        <w:rPr>
          <w:rFonts w:ascii="Times New Roman" w:hAnsi="Times New Roman"/>
          <w:sz w:val="18"/>
          <w:szCs w:val="18"/>
        </w:rPr>
        <w:t xml:space="preserve"> and 1.035gL</w:t>
      </w:r>
      <w:r w:rsidRPr="00B77BD6">
        <w:rPr>
          <w:rFonts w:ascii="Times New Roman" w:hAnsi="Times New Roman"/>
          <w:sz w:val="18"/>
          <w:szCs w:val="18"/>
          <w:vertAlign w:val="superscript"/>
        </w:rPr>
        <w:t>-1</w:t>
      </w:r>
      <w:r w:rsidRPr="00B77BD6">
        <w:rPr>
          <w:rFonts w:ascii="Times New Roman" w:hAnsi="Times New Roman"/>
          <w:sz w:val="18"/>
          <w:szCs w:val="18"/>
        </w:rPr>
        <w:t xml:space="preserve"> respectively. This study also showed that with different concentration of CO</w:t>
      </w:r>
      <w:r w:rsidRPr="00B77BD6">
        <w:rPr>
          <w:rFonts w:ascii="Times New Roman" w:hAnsi="Times New Roman"/>
          <w:sz w:val="18"/>
          <w:szCs w:val="18"/>
          <w:vertAlign w:val="subscript"/>
        </w:rPr>
        <w:t>2</w:t>
      </w:r>
      <w:r w:rsidRPr="00B77BD6">
        <w:rPr>
          <w:rFonts w:ascii="Times New Roman" w:hAnsi="Times New Roman"/>
          <w:sz w:val="18"/>
          <w:szCs w:val="18"/>
        </w:rPr>
        <w:t>, the sequestration rate is ranging from 1% to 4.3%.</w:t>
      </w:r>
    </w:p>
    <w:p w:rsidR="00B77BD6" w:rsidRPr="00B77BD6" w:rsidRDefault="00B77BD6" w:rsidP="00B77BD6">
      <w:pPr>
        <w:spacing w:after="0" w:line="240" w:lineRule="auto"/>
        <w:jc w:val="both"/>
        <w:outlineLvl w:val="0"/>
        <w:rPr>
          <w:rFonts w:ascii="Times New Roman" w:hAnsi="Times New Roman"/>
          <w:sz w:val="18"/>
          <w:szCs w:val="18"/>
        </w:rPr>
      </w:pPr>
    </w:p>
    <w:p w:rsidR="00B77BD6" w:rsidRPr="00B77BD6" w:rsidRDefault="00B77BD6" w:rsidP="00B77BD6">
      <w:pPr>
        <w:spacing w:after="0" w:line="240" w:lineRule="auto"/>
        <w:jc w:val="both"/>
        <w:outlineLvl w:val="0"/>
        <w:rPr>
          <w:rFonts w:ascii="Times New Roman" w:hAnsi="Times New Roman"/>
          <w:sz w:val="18"/>
          <w:szCs w:val="18"/>
        </w:rPr>
      </w:pPr>
      <w:r w:rsidRPr="00B77BD6">
        <w:rPr>
          <w:rFonts w:ascii="Times New Roman" w:hAnsi="Times New Roman"/>
          <w:b/>
          <w:sz w:val="18"/>
          <w:szCs w:val="18"/>
        </w:rPr>
        <w:t>Keywords</w:t>
      </w:r>
      <w:r w:rsidRPr="00B77BD6">
        <w:rPr>
          <w:rFonts w:ascii="Times New Roman" w:hAnsi="Times New Roman"/>
          <w:sz w:val="18"/>
          <w:szCs w:val="18"/>
        </w:rPr>
        <w:t xml:space="preserve">: </w:t>
      </w:r>
      <w:r>
        <w:rPr>
          <w:rFonts w:ascii="Times New Roman" w:hAnsi="Times New Roman"/>
          <w:sz w:val="18"/>
          <w:szCs w:val="18"/>
        </w:rPr>
        <w:t xml:space="preserve"> </w:t>
      </w:r>
      <w:r w:rsidRPr="00B77BD6">
        <w:rPr>
          <w:rFonts w:ascii="Times New Roman" w:hAnsi="Times New Roman"/>
          <w:sz w:val="18"/>
          <w:szCs w:val="18"/>
        </w:rPr>
        <w:t xml:space="preserve">microalgae, isolation, purification, DNA sequencing </w:t>
      </w:r>
    </w:p>
    <w:p w:rsidR="00B77BD6" w:rsidRPr="00B77BD6" w:rsidRDefault="00B77BD6" w:rsidP="00B77BD6">
      <w:pPr>
        <w:spacing w:after="0" w:line="240" w:lineRule="auto"/>
        <w:jc w:val="center"/>
        <w:outlineLvl w:val="0"/>
        <w:rPr>
          <w:rFonts w:ascii="Times New Roman" w:hAnsi="Times New Roman"/>
          <w:b/>
          <w:sz w:val="18"/>
          <w:szCs w:val="18"/>
        </w:rPr>
      </w:pPr>
    </w:p>
    <w:p w:rsidR="00B77BD6" w:rsidRPr="00B77BD6" w:rsidRDefault="00B77BD6" w:rsidP="00B77BD6">
      <w:pPr>
        <w:spacing w:after="0" w:line="240" w:lineRule="auto"/>
        <w:jc w:val="center"/>
        <w:outlineLvl w:val="0"/>
        <w:rPr>
          <w:rFonts w:ascii="Times New Roman" w:hAnsi="Times New Roman"/>
          <w:b/>
          <w:noProof/>
          <w:sz w:val="18"/>
          <w:szCs w:val="18"/>
          <w:lang w:val="ms-MY"/>
        </w:rPr>
      </w:pPr>
      <w:r w:rsidRPr="00B77BD6">
        <w:rPr>
          <w:rFonts w:ascii="Times New Roman" w:hAnsi="Times New Roman"/>
          <w:b/>
          <w:noProof/>
          <w:sz w:val="18"/>
          <w:szCs w:val="18"/>
          <w:lang w:val="ms-MY"/>
        </w:rPr>
        <w:t>Abstrak</w:t>
      </w:r>
    </w:p>
    <w:p w:rsidR="00B77BD6" w:rsidRPr="00B77BD6" w:rsidRDefault="00B77BD6" w:rsidP="00B77BD6">
      <w:pPr>
        <w:spacing w:after="0" w:line="240" w:lineRule="auto"/>
        <w:jc w:val="both"/>
        <w:rPr>
          <w:rFonts w:ascii="Times New Roman" w:hAnsi="Times New Roman"/>
          <w:noProof/>
          <w:sz w:val="18"/>
          <w:szCs w:val="18"/>
          <w:shd w:val="clear" w:color="auto" w:fill="FFFFFF"/>
          <w:lang w:val="ms-MY"/>
        </w:rPr>
      </w:pPr>
      <w:r w:rsidRPr="00B77BD6">
        <w:rPr>
          <w:rFonts w:ascii="Times New Roman" w:hAnsi="Times New Roman"/>
          <w:noProof/>
          <w:sz w:val="18"/>
          <w:szCs w:val="18"/>
          <w:shd w:val="clear" w:color="auto" w:fill="FFFFFF"/>
          <w:lang w:val="ms-MY"/>
        </w:rPr>
        <w:t xml:space="preserve">Pemerangkapan dan penyimpanan karbon (CCS) melalui pendekatan biologi telah menarik minat pengkaji disebabkan masalah pemanasan dan perubahan iklim global. Pada tahun 2012 sahaja, Malaysia telah menghasilkan 50.661 juta ton metrik karbon dioksida hasil daripada penghasilan tenaga yang bersumberkan arang batu, dan tahun demi tahun penghasilan karbon dioksida dijangkakan akan terus meningkat. Pemerangkapan dan penyimpanan karbon melalui pendekatan biologi boleh dilakukan oleh mikroalga yang merupakan mikroorganisma unggul di mana ianya berupaya menjalankan proses fotosintesis dalam menukarkan karbon dioksida ke dalam bentuk biojisim. Dalam kajian ini, mikroalga dipencilkan daripada habitat asal yang merupakan terusan bagi air penyejuk untuk stesen janakuasa arang batu. Mikroalga yang diperoleh, dikenalpasti menggunakan kaedah pengecaman secara morfologi dan molekul. Hasil keputusan pengenal pastian molekul menggunakan kaedah penjujukan genom 18s rRNA mendapati, mikroalga yang berjaya dipencilkan adalah </w:t>
      </w:r>
      <w:r w:rsidRPr="00B77BD6">
        <w:rPr>
          <w:rFonts w:ascii="Times New Roman" w:hAnsi="Times New Roman"/>
          <w:i/>
          <w:noProof/>
          <w:sz w:val="18"/>
          <w:szCs w:val="18"/>
          <w:shd w:val="clear" w:color="auto" w:fill="FFFFFF"/>
          <w:lang w:val="ms-MY"/>
        </w:rPr>
        <w:t>Chlorella</w:t>
      </w:r>
      <w:r w:rsidRPr="00B77BD6">
        <w:rPr>
          <w:rFonts w:ascii="Times New Roman" w:hAnsi="Times New Roman"/>
          <w:noProof/>
          <w:sz w:val="18"/>
          <w:szCs w:val="18"/>
          <w:shd w:val="clear" w:color="auto" w:fill="FFFFFF"/>
          <w:lang w:val="ms-MY"/>
        </w:rPr>
        <w:t xml:space="preserve"> sp. yang mempunyai persamaan sehingga 99% dengan </w:t>
      </w:r>
      <w:r w:rsidRPr="00B77BD6">
        <w:rPr>
          <w:rFonts w:ascii="Times New Roman" w:hAnsi="Times New Roman"/>
          <w:i/>
          <w:noProof/>
          <w:sz w:val="18"/>
          <w:szCs w:val="18"/>
          <w:shd w:val="clear" w:color="auto" w:fill="FFFFFF"/>
          <w:lang w:val="ms-MY"/>
        </w:rPr>
        <w:t>Chlorella</w:t>
      </w:r>
      <w:r w:rsidRPr="00B77BD6">
        <w:rPr>
          <w:rFonts w:ascii="Times New Roman" w:hAnsi="Times New Roman"/>
          <w:noProof/>
          <w:sz w:val="18"/>
          <w:szCs w:val="18"/>
          <w:shd w:val="clear" w:color="auto" w:fill="FFFFFF"/>
          <w:lang w:val="ms-MY"/>
        </w:rPr>
        <w:t xml:space="preserve"> sp. SAG 211-18. Mikroalga yang telah menjalani proses identifikasi kemudiannya dikultur menggunakan 3 kepekatan karbon dioksida yang berbeza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pada udara persekitaran,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1% dan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5%) dan hasil menunjukkan kadar pertumbuhan masing-masing adalah 0.4017 hari</w:t>
      </w:r>
      <w:r w:rsidRPr="00B77BD6">
        <w:rPr>
          <w:rFonts w:ascii="Times New Roman" w:hAnsi="Times New Roman"/>
          <w:noProof/>
          <w:sz w:val="18"/>
          <w:szCs w:val="18"/>
          <w:shd w:val="clear" w:color="auto" w:fill="FFFFFF"/>
          <w:vertAlign w:val="superscript"/>
          <w:lang w:val="ms-MY"/>
        </w:rPr>
        <w:t>-1</w:t>
      </w:r>
      <w:r w:rsidRPr="00B77BD6">
        <w:rPr>
          <w:rFonts w:ascii="Times New Roman" w:hAnsi="Times New Roman"/>
          <w:noProof/>
          <w:sz w:val="18"/>
          <w:szCs w:val="18"/>
          <w:shd w:val="clear" w:color="auto" w:fill="FFFFFF"/>
          <w:lang w:val="ms-MY"/>
        </w:rPr>
        <w:t>, 0.5752 hari</w:t>
      </w:r>
      <w:r w:rsidRPr="00B77BD6">
        <w:rPr>
          <w:rFonts w:ascii="Times New Roman" w:hAnsi="Times New Roman"/>
          <w:noProof/>
          <w:sz w:val="18"/>
          <w:szCs w:val="18"/>
          <w:shd w:val="clear" w:color="auto" w:fill="FFFFFF"/>
          <w:vertAlign w:val="superscript"/>
          <w:lang w:val="ms-MY"/>
        </w:rPr>
        <w:t>-1</w:t>
      </w:r>
      <w:r w:rsidRPr="00B77BD6">
        <w:rPr>
          <w:rFonts w:ascii="Times New Roman" w:hAnsi="Times New Roman"/>
          <w:noProof/>
          <w:sz w:val="18"/>
          <w:szCs w:val="18"/>
          <w:shd w:val="clear" w:color="auto" w:fill="FFFFFF"/>
          <w:lang w:val="ms-MY"/>
        </w:rPr>
        <w:t>, dan 0.4427 hari</w:t>
      </w:r>
      <w:r w:rsidRPr="00B77BD6">
        <w:rPr>
          <w:rFonts w:ascii="Times New Roman" w:hAnsi="Times New Roman"/>
          <w:noProof/>
          <w:sz w:val="18"/>
          <w:szCs w:val="18"/>
          <w:shd w:val="clear" w:color="auto" w:fill="FFFFFF"/>
          <w:vertAlign w:val="superscript"/>
          <w:lang w:val="ms-MY"/>
        </w:rPr>
        <w:t>-1</w:t>
      </w:r>
      <w:r w:rsidRPr="00B77BD6">
        <w:rPr>
          <w:rFonts w:ascii="Times New Roman" w:hAnsi="Times New Roman"/>
          <w:noProof/>
          <w:sz w:val="18"/>
          <w:szCs w:val="18"/>
          <w:shd w:val="clear" w:color="auto" w:fill="FFFFFF"/>
          <w:lang w:val="ms-MY"/>
        </w:rPr>
        <w:t>. Pada kepekatan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yang berbeza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pada udara persekitaran,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1% dan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5%), hasil biojisim yang terkumpul daripada pengkulturan mikroalga masing-masing </w:t>
      </w:r>
      <w:r w:rsidRPr="00B77BD6">
        <w:rPr>
          <w:rFonts w:ascii="Times New Roman" w:hAnsi="Times New Roman"/>
          <w:noProof/>
          <w:sz w:val="18"/>
          <w:szCs w:val="18"/>
          <w:shd w:val="clear" w:color="auto" w:fill="FFFFFF"/>
          <w:lang w:val="ms-MY"/>
        </w:rPr>
        <w:lastRenderedPageBreak/>
        <w:t xml:space="preserve">adalah </w:t>
      </w:r>
      <w:r w:rsidRPr="00B77BD6">
        <w:rPr>
          <w:rFonts w:ascii="Times New Roman" w:hAnsi="Times New Roman"/>
          <w:noProof/>
          <w:sz w:val="18"/>
          <w:szCs w:val="18"/>
          <w:lang w:val="ms-MY"/>
        </w:rPr>
        <w:t>1.005gL</w:t>
      </w:r>
      <w:r w:rsidRPr="00B77BD6">
        <w:rPr>
          <w:rFonts w:ascii="Times New Roman" w:hAnsi="Times New Roman"/>
          <w:noProof/>
          <w:sz w:val="18"/>
          <w:szCs w:val="18"/>
          <w:vertAlign w:val="superscript"/>
          <w:lang w:val="ms-MY"/>
        </w:rPr>
        <w:t>-1</w:t>
      </w:r>
      <w:r w:rsidRPr="00B77BD6">
        <w:rPr>
          <w:rFonts w:ascii="Times New Roman" w:hAnsi="Times New Roman"/>
          <w:noProof/>
          <w:sz w:val="18"/>
          <w:szCs w:val="18"/>
          <w:lang w:val="ms-MY"/>
        </w:rPr>
        <w:t>, 1.101gL</w:t>
      </w:r>
      <w:r w:rsidRPr="00B77BD6">
        <w:rPr>
          <w:rFonts w:ascii="Times New Roman" w:hAnsi="Times New Roman"/>
          <w:noProof/>
          <w:sz w:val="18"/>
          <w:szCs w:val="18"/>
          <w:vertAlign w:val="superscript"/>
          <w:lang w:val="ms-MY"/>
        </w:rPr>
        <w:t>-1</w:t>
      </w:r>
      <w:r w:rsidRPr="00B77BD6">
        <w:rPr>
          <w:rFonts w:ascii="Times New Roman" w:hAnsi="Times New Roman"/>
          <w:noProof/>
          <w:sz w:val="18"/>
          <w:szCs w:val="18"/>
          <w:lang w:val="ms-MY"/>
        </w:rPr>
        <w:t xml:space="preserve"> dan 1.035gL</w:t>
      </w:r>
      <w:r w:rsidRPr="00B77BD6">
        <w:rPr>
          <w:rFonts w:ascii="Times New Roman" w:hAnsi="Times New Roman"/>
          <w:noProof/>
          <w:sz w:val="18"/>
          <w:szCs w:val="18"/>
          <w:vertAlign w:val="superscript"/>
          <w:lang w:val="ms-MY"/>
        </w:rPr>
        <w:t>-1</w:t>
      </w:r>
      <w:r w:rsidRPr="00B77BD6">
        <w:rPr>
          <w:rFonts w:ascii="Times New Roman" w:hAnsi="Times New Roman"/>
          <w:noProof/>
          <w:sz w:val="18"/>
          <w:szCs w:val="18"/>
          <w:shd w:val="clear" w:color="auto" w:fill="FFFFFF"/>
          <w:lang w:val="ms-MY"/>
        </w:rPr>
        <w:t>. Kajian juga menunjukkan pada kepekatan CO</w:t>
      </w:r>
      <w:r w:rsidRPr="00B77BD6">
        <w:rPr>
          <w:rFonts w:ascii="Times New Roman" w:hAnsi="Times New Roman"/>
          <w:noProof/>
          <w:sz w:val="18"/>
          <w:szCs w:val="18"/>
          <w:shd w:val="clear" w:color="auto" w:fill="FFFFFF"/>
          <w:vertAlign w:val="subscript"/>
          <w:lang w:val="ms-MY"/>
        </w:rPr>
        <w:t>2</w:t>
      </w:r>
      <w:r w:rsidRPr="00B77BD6">
        <w:rPr>
          <w:rFonts w:ascii="Times New Roman" w:hAnsi="Times New Roman"/>
          <w:noProof/>
          <w:sz w:val="18"/>
          <w:szCs w:val="18"/>
          <w:shd w:val="clear" w:color="auto" w:fill="FFFFFF"/>
          <w:lang w:val="ms-MY"/>
        </w:rPr>
        <w:t xml:space="preserve"> yang berbeza, kadar pemerangkapan karbon dioksida adalah pada kadar 1% sehingga 4.3%.</w:t>
      </w:r>
    </w:p>
    <w:p w:rsidR="00B77BD6" w:rsidRPr="00B77BD6" w:rsidRDefault="00B77BD6" w:rsidP="00B77BD6">
      <w:pPr>
        <w:spacing w:after="0" w:line="240" w:lineRule="auto"/>
        <w:jc w:val="both"/>
        <w:outlineLvl w:val="0"/>
        <w:rPr>
          <w:rFonts w:ascii="Times New Roman" w:hAnsi="Times New Roman"/>
          <w:noProof/>
          <w:sz w:val="18"/>
          <w:szCs w:val="18"/>
          <w:lang w:val="ms-MY"/>
        </w:rPr>
      </w:pPr>
    </w:p>
    <w:p w:rsidR="00B77BD6" w:rsidRPr="00B77BD6" w:rsidRDefault="00B77BD6" w:rsidP="00B77BD6">
      <w:pPr>
        <w:spacing w:after="0" w:line="240" w:lineRule="auto"/>
        <w:jc w:val="both"/>
        <w:outlineLvl w:val="0"/>
        <w:rPr>
          <w:rFonts w:ascii="Times New Roman" w:hAnsi="Times New Roman"/>
          <w:b/>
          <w:noProof/>
          <w:sz w:val="18"/>
          <w:szCs w:val="18"/>
          <w:lang w:val="ms-MY"/>
        </w:rPr>
      </w:pPr>
      <w:r w:rsidRPr="00B77BD6">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B77BD6">
        <w:rPr>
          <w:rFonts w:ascii="Times New Roman" w:hAnsi="Times New Roman"/>
          <w:noProof/>
          <w:sz w:val="18"/>
          <w:szCs w:val="18"/>
          <w:lang w:val="ms-MY"/>
        </w:rPr>
        <w:t>mikroalga, pemencilan, penulenan, penjujukan DNA</w:t>
      </w:r>
      <w:r w:rsidRPr="00B77BD6">
        <w:rPr>
          <w:rFonts w:ascii="Times New Roman" w:hAnsi="Times New Roman"/>
          <w:b/>
          <w:noProof/>
          <w:sz w:val="18"/>
          <w:szCs w:val="18"/>
          <w:lang w:val="ms-MY"/>
        </w:rPr>
        <w:t xml:space="preserve"> </w:t>
      </w:r>
    </w:p>
    <w:p w:rsidR="006768E9" w:rsidRDefault="006768E9" w:rsidP="00B77BD6">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Studies on microalgae mostly ranging around the ability of biomass accumulation for food additive, colouring and high value product such as anti-oxidant. This research field has been widely explore in the previous decade and the exploration on other branches of microalgae utilization has taken place recently due to environmental concern especially regarding to global warming due to the rising of carbon dioxide produce by human activities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"ISSN" : "1389-1723", "PMID" : "16232418", "abstract" : "Growing interest in polyunsaturated fatty acid (PUFA) applications in various fields coupled with their significance in health and dietary requirements has focused attention on the provision of suitable sources of these compounds. Isolation of highly efficient oleaginous microorganisms has led to the development of fermentation technologies as an alternative to agricultural and animal processes. Particularly active in PUFA synthesis are the Zygomycetes fungi and certain microalgae. Emphasis is placed on increasing the product value by employing new biotechnological strategies (e.g. mutation techniques, molecular engineering and biotransformations) which allow the regulation of microbial PUFA formation with satisfactory yield in order to be competitive with other sources. Comparative successes in fungal PUFA production demonstrate microbial potential to synthesize high-value oils and provide the main stimulus for their applications.", "author" : [ { "dropping-particle" : "", "family" : "Certik", "given" : "M", "non-dropping-particle" : "", "parse-names" : false, "suffix" : "" }, { "dropping-particle" : "", "family" : "Shimizu", "given" : "S", "non-dropping-particle" : "", "parse-names" : false, "suffix" : "" } ], "container-title" : "Journal of bioscience and bioengineering", "id" : "ITEM-1", "issue" : "1", "issued" : { "date-parts" : [ [ "1999", "1" ] ] }, "page" : "1-14", "title" : "Biosynthesis and regulation of microbial polyunsaturated fatty acid production.", "type" : "article-journal", "volume" : "87" }, "uris" : [ "http://www.mendeley.com/documents/?uuid=b70cdcd8-eae7-47aa-bdcc-a529d8d271b7" ] } ], "mendeley" : { "formattedCitation" : "&lt;sup&gt;1&lt;/sup&gt;", "plainTextFormattedCitation" : "1", "previouslyFormattedCitation" : "&lt;sup&gt;1&lt;/sup&gt;"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xml:space="preserve"> –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"10.1016/j.biombioe.2011.10.046", "ISSN" : "09619534", "author" : [ { "dropping-particle" : "", "family" : "Kao", "given" : "Chien-Ya", "non-dropping-particle" : "", "parse-names" : false, "suffix" : "" }, { "dropping-particle" : "", "family" : "Chiu", "given" : "Sheng-Yi", "non-dropping-particle" : "", "parse-names" : false, "suffix" : "" }, { "dropping-particle" : "", "family" : "Huang", "given" : "Tzu-Ting", "non-dropping-particle" : "", "parse-names" : false, "suffix" : "" }, { "dropping-particle" : "", "family" : "Dai", "given" : "Le", "non-dropping-particle" : "", "parse-names" : false, "suffix" : "" }, { "dropping-particle" : "", "family" : "Wang", "given" : "Guan-Hua", "non-dropping-particle" : "", "parse-names" : false, "suffix" : "" }, { "dropping-particle" : "", "family" : "Tseng", "given" : "Ching-Ping", "non-dropping-particle" : "", "parse-names" : false, "suffix" : "" }, { "dropping-particle" : "", "family" : "Chen", "given" : "Chiun-Hsun", "non-dropping-particle" : "", "parse-names" : false, "suffix" : "" }, { "dropping-particle" : "", "family" : "Lin", "given" : "Chih-Sheng", "non-dropping-particle" : "", "parse-names" : false, "suffix" : "" } ], "container-title" : "Biomass and Bioenergy", "id" : "ITEM-1", "issued" : { "date-parts" : [ [ "2012", "1" ] ] }, "page" : "132-140", "publisher" : "Elsevier Ltd", "title" : "A mutant strain of microalga Chlorella sp. for the carbon dioxide capture from biogas", "type" : "article-journal", "volume" : "36" }, "uris" : [ "http://www.mendeley.com/documents/?uuid=9181bae8-b8c3-4877-b4b8-4f4d25d457db" ] } ], "mendeley" : { "formattedCitation" : "&lt;sup&gt;4&lt;/sup&gt;", "plainTextFormattedCitation" : "4", "previouslyFormattedCitation" : "&lt;sup&gt;4&lt;/sup&gt;"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4</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Microalgae are a robust microorganism which can survive and thrive in different mode; photo-autotrophic, mixotrophic, heterotrophic and some mixture of complex metabolism to survive in harsh culture condition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"10.1007/s10529-009-9975-7", "ISSN" : "1573-6776", "PMID" : "19322523", "abstract" : "Biomass and lipid productivities of Chlorella vulgaris under different growth conditions were investigated. While autotrophic growth did provide higher cellular lipid content (38%), the lipid productivity was much lower compared with those from heterotrophic growth with acetate, glucose, or glycerol. Optimal cell growth (2 g l(-1)) and lipid productivity (54 mg l(-1) day(-1)) were attained using glucose at 1% (w/v) whereas higher concentrations were inhibitory. Growth of C. vulgaris on glycerol had a similar dose effects as those from glucose. Overall, C. vulgaris is mixotrophic.", "author" : [ { "dropping-particle" : "", "family" : "Liang", "given" : "Yanna", "non-dropping-particle" : "", "parse-names" : false, "suffix" : "" }, { "dropping-particle" : "", "family" : "Sarkany", "given" : "Nicolas", "non-dropping-particle" : "", "parse-names" : false, "suffix" : "" }, { "dropping-particle" : "", "family" : "Cui", "given" : "Yi", "non-dropping-particle" : "", "parse-names" : false, "suffix" : "" } ], "container-title" : "Biotechnology letters", "id" : "ITEM-1", "issue" : "7", "issued" : { "date-parts" : [ [ "2009", "7" ] ] }, "page" : "1043-9", "title" : "Biomass and lipid productivities of Chlorella vulgaris under autotrophic, heterotrophic and mixotrophic growth conditions.", "type" : "article-journal", "volume" : "31" }, "uris" : [ "http://www.mendeley.com/documents/?uuid=4312a727-880a-41bb-8126-b69c82c0bb97" ] } ], "mendeley" : { "formattedCitation" : "&lt;sup&gt;5&lt;/sup&gt;", "plainTextFormattedCitation" : "5", "previouslyFormattedCitation" : "&lt;sup&gt;5&lt;/sup&gt;"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5</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xml:space="preserve"> –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"10.1016/j.algal.2013.12.005", "ISSN" : "22119264", "author" : [ { "dropping-particle" : "", "family" : "Wensel", "given" : "Pierre", "non-dropping-particle" : "", "parse-names" : false, "suffix" : "" }, { "dropping-particle" : "", "family" : "Helms", "given" : "Greg", "non-dropping-particle" : "", "parse-names" : false, "suffix" : "" }, { "dropping-particle" : "", "family" : "Hiscox", "given" : "Bill", "non-dropping-particle" : "", "parse-names" : false, "suffix" : "" }, { "dropping-particle" : "", "family" : "Davis", "given" : "William C.", "non-dropping-particle" : "", "parse-names" : false, "suffix" : "" }, { "dropping-particle" : "", "family" : "Kirchhoff", "given" : "Helmut", "non-dropping-particle" : "", "parse-names" : false, "suffix" : "" }, { "dropping-particle" : "", "family" : "Bule", "given" : "Mahesh", "non-dropping-particle" : "", "parse-names" : false, "suffix" : "" }, { "dropping-particle" : "", "family" : "Yu", "given" : "Liang", "non-dropping-particle" : "", "parse-names" : false, "suffix" : "" }, { "dropping-particle" : "", "family" : "Chen", "given" : "Shulin", "non-dropping-particle" : "", "parse-names" : false, "suffix" : "" } ], "container-title" : "Algal Research", "id" : "ITEM-1", "issued" : { "date-parts" : [ [ "2014", "4" ] ] }, "page" : "2-11", "publisher" : "Elsevier B.V.", "title" : "Isolation, characterization, and validation of oleaginous, multi-trophic, and haloalkaline-tolerant microalgae for two-stage cultivation", "type" : "article-journal", "volume" : "4" }, "uris" : [ "http://www.mendeley.com/documents/?uuid=bb62ac51-434b-4710-995c-5b6a11e1c489" ] } ], "mendeley" : { "formattedCitation" : "&lt;sup&gt;8&lt;/sup&gt;", "plainTextFormattedCitation" : "8", "previouslyFormattedCitation" : "&lt;sup&gt;8&lt;/sup&gt;"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8</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The ability of microalgae to conduct photo-autotrophic showed that microalgae has the potential to be applied in the process of carbon capture and storage (CCS)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"10.1016/j.rser.2012.02.055", "ISSN" : "13640321", "author" : [ { "dropping-particle" : "", "family" : "Pires", "given" : "J.C.M.", "non-dropping-particle" : "", "parse-names" : false, "suffix" : "" }, { "dropping-particle" : "", "family" : "Alvim-Ferraz", "given" : "M.C.M.", "non-dropping-particle" : "", "parse-names" : false, "suffix" : "" }, { "dropping-particle" : "", "family" : "Martins", "given" : "F.G.", "non-dropping-particle" : "", "parse-names" : false, "suffix" : "" }, { "dropping-particle" : "", "family" : "Sim\u00f5es", "given" : "M.", "non-dropping-particle" : "", "parse-names" : false, "suffix" : "" } ], "container-title" : "Renewable and Sustainable Energy Reviews", "id" : "ITEM-1", "issue" : "5", "issued" : { "date-parts" : [ [ "2012", "6" ] ] }, "page" : "3043-3053", "publisher" : "Elsevier Ltd", "title" : "Carbon dioxide capture from flue gases using microalgae: Engineering aspects and biorefinery concept", "type" : "article-journal", "volume" : "16" }, "uris" : [ "http://www.mendeley.com/documents/?uuid=907c9369-52db-46fe-ab00-6baafb34feab" ] } ], "mendeley" : { "formattedCitation" : "&lt;sup&gt;9&lt;/sup&gt;", "plainTextFormattedCitation" : "9", "previouslyFormattedCitation" : "&lt;sup&gt;9&lt;/sup&gt;"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9</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As the world progress and develop in becoming more advanced society, the energy demands around the world keep increasing year by year. Energy is a vital factor for progress to the advanced society since large scale activities such as urbanization, industrial activities; plantation, mining and livestock farming are becoming into commercial scale and subsequently demand higher energy input. Most of the world energy demand is supplied by fossil fuels burning power plants, which are using different sources of fossil fuel such as coal, natural gases, and petroleum based product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"10.1016/j.enconman.2011.04.021", "ISSN" : "01968904", "abstract" : "Microalgae have been studied for their potential use in foodstuffs, agriculture, in the treatment of wastewater and, in particular, in the reduction of atmospheric carbon dioxide, the main cause of global warming. Thermoelectricity plants account for 22% of CO2 emitted into the atmosphere and native microalgae may be more tolerant to the gases emitted from burning fossil fuels. In the study presented here, microalgae were isolated from ponds next to a Thermoelectricity Plant, located in southern Brazil, and identified as Synechococcus nidulans and Chlorella vulgaris. The isolated microalgae were grown and compared with two different strains of microalgae, Spirulina sp. and Scenedesmus obliquus, for CO2 biofixation. The microalgae were exposed to 12% CO2, 60ppm of SO2 and 100ppm of NO, simulating a gas from coal combustion. The C. vulgaris had similar behavior to Spirulina sp., with 13.43% of maximum daily fixation. The microalgae with the greater fixing capacity were C. vulgaris and Spirulina sp. and these can be grown in electric power plants for CO2 biofixation of the coal combustion gas, which would help reduce global warming.", "author" : [ { "dropping-particle" : "", "family" : "Radmann", "given" : "Elisangela Martha", "non-dropping-particle" : "", "parse-names" : false, "suffix" : "" }, { "dropping-particle" : "", "family" : "Camerini", "given" : "Felipe Vieira", "non-dropping-particle" : "", "parse-names" : false, "suffix" : "" }, { "dropping-particle" : "", "family" : "Santos", "given" : "Thaisa Duarte", "non-dropping-particle" : "", "parse-names" : false, "suffix" : "" }, { "dropping-particle" : "", "family" : "Costa", "given" : "Jorge Alberto Vieira", "non-dropping-particle" : "", "parse-names" : false, "suffix" : "" } ], "container-title" : "Energy Conversion and Management", "id" : "ITEM-1", "issue" : "10", "issued" : { "date-parts" : [ [ "2011", "9" ] ] }, "page" : "3132-3136", "title" : "Isolation and application of SOX and NOX resistant microalgae in biofixation of CO2 from thermoelectricity plants", "type" : "article-journal", "volume" : "52" }, "uris" : [ "http://www.mendeley.com/documents/?uuid=434ce12d-978c-4eb4-825e-041eeebcd4d3" ] }, { "id" : "ITEM-2", "itemData" : { "DOI" : "10.1016/j.enconman.2006.12.011", "ISSN" : "01968904", "abstract" : "Global warming is thought to be caused mainly by the emission of carbon dioxide (CO2), with thermoelectric power plants being responsible for about 7% of global CO2 emissions. Microalgae can reduce CO2 emissions from thermoelectric power plants, but for this use, they must be resistant to the mixture of gases produced by the power plants. We isolated the microalgae Scenedesmus obliquus and Chlorella kessleri from the waste treatment ponds of the Presidente M\u00e9dici coal fired thermoelectric power plant in the Southernmost Brazilian state of Rio Grande do Sul and investigated their growth characteristics when exposed to different concentrations of CO2. When cultivated with 6% and 12% CO2, C. kessleri showed a high maximum specific growth rate (\u03bcmax) of 0.267/day, with a maximum biomass productivity (Pmax) of 0.087g/L/day at 6% CO2. For S. obliquus, the highest maximum dry weight biomass value was 1.14g/L with 12% CO2. We also found that these two microalgae also grew well when the culture medium contained up to 18% CO2, indicating that they have potential for biofixation of CO2 in thermoelectric power plants.", "author" : [ { "dropping-particle" : "", "family" : "Morais", "given" : "Michele Greque", "non-dropping-particle" : "de", "parse-names" : false, "suffix" : "" }, { "dropping-particle" : "", "family" : "Costa", "given" : "Jorge Alberto Vieira", "non-dropping-particle" : "", "parse-names" : false, "suffix" : "" } ], "container-title" : "Energy Conversion and Management", "id" : "ITEM-2", "issue" : "7", "issued" : { "date-parts" : [ [ "2007", "7" ] ] }, "page" : "2169-2173", "title" : "Isolation and selection of microalgae from coal fired thermoelectric power plant for biofixation of carbon dioxide", "type" : "article-journal", "volume" : "48" }, "uris" : [ "http://www.mendeley.com/documents/?uuid=0522b650-49b8-45f9-a06a-2065e52f64d1" ] } ], "mendeley" : { "formattedCitation" : "&lt;sup&gt;10,11&lt;/sup&gt;", "plainTextFormattedCitation" : "10,11", "previouslyFormattedCitation" : "&lt;sup&gt;10,11&lt;/sup&gt;"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10, 11</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According to a report from Suruhanjaya Tenaga Malaysia, there are 4 main sources of fossil fuels are used as primary energy supply in Malaysia. The sources are crude oil, petroleum product, natural gas and, coal and coke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"author" : [ { "dropping-particle" : "", "family" : "Malaysia Energy Information Hub", "given" : "", "non-dropping-particle" : "", "parse-names" : false, "suffix" : "" } ], "id" : "ITEM-1", "issued" : { "date-parts" : [ [ "2013" ] ] }, "publisher-place" : "Putrajaya, Malaysia", "title" : "Primary Energy Supply (ktoe)", "type" : "report" }, "uris" : [ "http://www.mendeley.com/documents/?uuid=7e0d1ce2-ce2f-498a-ac64-e95a61492423" ] } ], "mendeley" : { "formattedCitation" : "&lt;sup&gt;12&lt;/sup&gt;", "plainTextFormattedCitation" : "12", "previouslyFormattedCitation" : "&lt;sup&gt;12&lt;/sup&gt;"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12</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All this generates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carbon monoxide and methane which is the main contributor to the global warming effect since these gases trap the heat and has increased the world temperature in the range of 1° to 2° C over the past decade. The only renewable source of energy used by Malaysia from 1978 until 2010 was hydropower energy. However since the year 2011, biodiesel, biomass, biogas and solar has contribute small portion of energy supply which around 115, 183, 4, 11 ktoe respectively for year 2012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"author" : [ { "dropping-particle" : "", "family" : "Malaysia Energy Information Hub", "given" : "", "non-dropping-particle" : "", "parse-names" : false, "suffix" : "" } ], "id" : "ITEM-1", "issued" : { "date-parts" : [ [ "2013" ] ] }, "publisher-place" : "Putrajaya, Malaysia", "title" : "Primary Energy Supply (ktoe)", "type" : "report" }, "uris" : [ "http://www.mendeley.com/documents/?uuid=7e0d1ce2-ce2f-498a-ac64-e95a61492423" ] } ], "mendeley" : { "formattedCitation" : "&lt;sup&gt;12&lt;/sup&gt;", "plainTextFormattedCitation" : "12", "previouslyFormattedCitation" : "&lt;sup&gt;12&lt;/sup&gt;"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12</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Before the pre-industrial era, the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concentration in the air was recorded below 300 ppm. Since then, the concentration of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has steeply increased and has causing the rise of global temperature. According to the report from Mauna Loa Observatory (NOAA-ESRL), the atmospheric CO</w:t>
      </w:r>
      <w:r w:rsidRPr="00B77BD6">
        <w:rPr>
          <w:rFonts w:ascii="Times New Roman" w:hAnsi="Times New Roman"/>
          <w:spacing w:val="-2"/>
          <w:sz w:val="20"/>
          <w:szCs w:val="20"/>
          <w:vertAlign w:val="subscript"/>
          <w:lang w:val="en-GB"/>
        </w:rPr>
        <w:t xml:space="preserve">2 </w:t>
      </w:r>
      <w:r w:rsidRPr="00B77BD6">
        <w:rPr>
          <w:rFonts w:ascii="Times New Roman" w:hAnsi="Times New Roman"/>
          <w:spacing w:val="-2"/>
          <w:sz w:val="20"/>
          <w:szCs w:val="20"/>
          <w:lang w:val="en-GB"/>
        </w:rPr>
        <w:t>concentration on June 2015 was recorded around 402.8 ppm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"URL" : "http://co2now.org/", "author" : [ { "dropping-particle" : "", "family" : "CO2now.org", "given" : "", "non-dropping-particle" : "", "parse-names" : false, "suffix" : "" } ], "id" : "ITEM-1", "issued" : { "date-parts" : [ [ "0" ] ] }, "title" : "Earth's CO2 Home Page", "type" : "webpage" }, "uris" : [ "http://www.mendeley.com/documents/?uuid=ba10241d-0bc2-4a03-9d31-b62b7f7fd402" ] } ], "mendeley" : { "formattedCitation" : "&lt;sup&gt;13&lt;/sup&gt;", "plainTextFormattedCitation" : "13", "previouslyFormattedCitation" : "&lt;sup&gt;13&lt;/sup&gt;"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13</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Compare to the previous years of June 2014 and 2013, the concentration of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was recorded at 401.15 ppm 398.58 ppm. The effect of higher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concentration has been affecting the human life since breaking hot temperature during the summer season has been recorded around the world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"author" : [ { "dropping-particle" : "", "family" : "Tans", "given" : "Pieter", "non-dropping-particle" : "", "parse-names" : false, "suffix" : "" }, { "dropping-particle" : "", "family" : "Keeling", "given" : "Ralph", "non-dropping-particle" : "", "parse-names" : false, "suffix" : "" } ], "id" : "ITEM-1", "issued" : { "date-parts" : [ [ "0" ] ] }, "publisher-place" : "Mauna Loa", "title" : "Global Greenhouse Gas Reference Network", "type" : "report" }, "uris" : [ "http://www.mendeley.com/documents/?uuid=1434cf73-90ad-43df-9448-d2c2455377a0" ] } ], "mendeley" : { "formattedCitation" : "&lt;sup&gt;14&lt;/sup&gt;", "plainTextFormattedCitation" : "14", "previouslyFormattedCitation" : "&lt;sup&gt;14&lt;/sup&gt;"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14</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The effect of global warming has also affecting Malaysia; where for the past two years Malaysia had experienced hot temperature well above the normal average temperature.</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Tenaga Nasional Berhad (TNB) is the largest utilities company in Malaysia and supplies most of the electricity to Malaysian Peninsular and State of Sabah through the Malaysian National Grid. The main energy source for electricity power generation for TNB is coal and coke which is relatively cost effective, coupling with state of the art technology in reducing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emission with collaboration with Alstom S. A. from France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"author" : [ { "dropping-particle" : "", "family" : "Alstom S. A.", "given" : "", "non-dropping-particle" : "", "parse-names" : false, "suffix" : "" } ], "id" : "ITEM-1", "issued" : { "date-parts" : [ [ "2013" ] ] }, "number-of-pages" : "1-2", "publisher-place" : "Baden, Switzerland", "title" : "Case Study: Steam Product Solutions. Manjung Unit 4 - Malaysia. Ultra-supercritical coal-fired power plant", "type" : "report" }, "uris" : [ "http://www.mendeley.com/documents/?uuid=217b69e9-8996-41e6-bf56-8a3b5b4d993b" ] } ], "mendeley" : { "formattedCitation" : "&lt;sup&gt;15&lt;/sup&gt;", "plainTextFormattedCitation" : "15", "previouslyFormattedCitation" : "&lt;sup&gt;15&lt;/sup&gt;"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15</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However, the emission of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is still an ‘</w:t>
      </w:r>
      <w:r w:rsidRPr="00B77BD6">
        <w:rPr>
          <w:rFonts w:ascii="Times New Roman" w:hAnsi="Times New Roman"/>
          <w:i/>
          <w:spacing w:val="-2"/>
          <w:sz w:val="20"/>
          <w:szCs w:val="20"/>
          <w:lang w:val="en-GB"/>
        </w:rPr>
        <w:t>Achilles Heels</w:t>
      </w:r>
      <w:r w:rsidRPr="00B77BD6">
        <w:rPr>
          <w:rFonts w:ascii="Times New Roman" w:hAnsi="Times New Roman"/>
          <w:spacing w:val="-2"/>
          <w:sz w:val="20"/>
          <w:szCs w:val="20"/>
          <w:lang w:val="en-GB"/>
        </w:rPr>
        <w:t>’ for this system and thus, new approach has been embarked to counter and reduce more on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emission. The available solution is though CCS using microalgae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"10.1016/j.copbio.2010.03.017", "ISSN" : "0958-1669", "author" : [ { "dropping-particle" : "", "family" : "Jansson", "given" : "Christer", "non-dropping-particle" : "", "parse-names" : false, "suffix" : "" }, { "dropping-particle" : "", "family" : "Northen", "given" : "Trent", "non-dropping-particle" : "", "parse-names" : false, "suffix" : "" } ], "container-title" : "Current Opinion in Biotechnology", "id" : "ITEM-1", "issued" : { "date-parts" : [ [ "2010" ] ] }, "page" : "1-7", "title" : "Calcifying cyanobacteria \u2014 the potential of biomineralization for carbon capture and storage", "type" : "article-journal" }, "uris" : [ "http://www.mendeley.com/documents/?uuid=f18dae8a-5f6f-425a-8449-e180784f5e67" ] }, { "id" : "ITEM-2", "itemData" : { "DOI" : "10.1016/j.bioeng.2007.06.002", "ISSN" : "1389-0344", "PMID" : "17662653", "abstract" : "Many areas of algae technology have developed over the last decades, and there is an established market for products derived from algae, dominated by health food and aquaculture. In addition, the interest for active biomolecules from algae is increasing rapidly. The need for CO(2) management, in particular capture and storage is currently an important technological, economical and global political issue and will continue to be so until alternative energy sources and energy carriers diminish the need for fossil fuels. This review summarizes in an integrated manner different technologies for use of algae, demonstrating the possibility of combining different areas of algae technology to capture CO(2) and using the obtained algal biomass for various industrial applications thus bringing added value to the capturing and storage processes. Furthermore, we emphasize the use of algae in a novel biological process which produces H(2) directly from solar energy in contrast to the conventional CO(2) neutral biological methods. This biological process is a part of the proposed integrated CO(2) management scheme.", "author" : [ { "dropping-particle" : "", "family" : "Skj\u00e5nes", "given" : "Kari", "non-dropping-particle" : "", "parse-names" : false, "suffix" : "" }, { "dropping-particle" : "", "family" : "Lindblad", "given" : "Peter", "non-dropping-particle" : "", "parse-names" : false, "suffix" : "" }, { "dropping-particle" : "", "family" : "Muller", "given" : "Jiri", "non-dropping-particle" : "", "parse-names" : false, "suffix" : "" } ], "container-title" : "Biomolecular engineering", "id" : "ITEM-2", "issue" : "4", "issued" : { "date-parts" : [ [ "2007", "10" ] ] }, "page" : "405-13", "title" : "BioCO2 - a multidisciplinary, biological approach using solar energy to capture CO2 while producing H2 and high value products.", "type" : "article-journal", "volume" : "24" }, "uris" : [ "http://www.mendeley.com/documents/?uuid=82429f4c-e0d8-4bf0-83c7-8512e096a223" ] } ], "mendeley" : { "formattedCitation" : "&lt;sup&gt;16,17&lt;/sup&gt;", "plainTextFormattedCitation" : "16,17", "previouslyFormattedCitation" : "&lt;sup&gt;16,17&lt;/sup&gt;"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16, 17</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Thus, this paper reports on the works and progress of isolation of microalgae in the native environment near to the coal-fired power plant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"10.1016/j.biortech.2009.10.061", "ISSN" : "1873-2976", "PMID" : "19939669", "abstract" : "Biological CO(2) sequestration using algal reactors is one of the most promising and environmentally benign technologies to sequester CO(2). This research study was taken up to alleviate certain limitations associated with the technology such as low CO(2) sequestration efficiency and low biomass yields. The study demonstrates an increase in CO(2) sequestration efficiency by maneuvering chemically aided biological sequestration of CO(2). Chlorella sp. and Spirulina platensis showed 46% and 39% mean fixation efficiency, respectively, at input CO(2) concentration of 10%. The effect of acetazolamide, a potent carbonic anhydrase inhibitor, on CO(2) sequestration efficiency was studied to demonstrate the role of carbonic anhydrase in calcite deposition. Calcite formed by both species was characterized by scanning electron microscopy coupled electron dispersive spectroscopy and X-ray diffraction. The overall scheme of calcite deposition coupled CO(2) fixation with commercially utilizable biomass as a product seems a viable option in the efforts to sequester increasing CO(2) emissions.", "author" : [ { "dropping-particle" : "", "family" : "Ramanan", "given" : "Rishiram", "non-dropping-particle" : "", "parse-names" : false, "suffix" : "" }, { "dropping-particle" : "", "family" : "Kannan", "given" : "Krishnamurthi", "non-dropping-particle" : "", "parse-names" : false, "suffix" : "" }, { "dropping-particle" : "", "family" : "Deshkar", "given" : "Ashok", "non-dropping-particle" : "", "parse-names" : false, "suffix" : "" }, { "dropping-particle" : "", "family" : "Yadav", "given" : "Raju", "non-dropping-particle" : "", "parse-names" : false, "suffix" : "" }, { "dropping-particle" : "", "family" : "Chakrabarti", "given" : "Tapan", "non-dropping-particle" : "", "parse-names" : false, "suffix" : "" } ], "container-title" : "Bioresource technology", "id" : "ITEM-1", "issue" : "8", "issued" : { "date-parts" : [ [ "2010", "4" ] ] }, "page" : "2616-22", "publisher" : "Elsevier Ltd", "title" : "Enhanced algal CO(2) sequestration through calcite deposition by Chlorella sp. and Spirulina platensis in a mini-raceway pond.", "type" : "article-journal", "volume" : "101" }, "uris" : [ "http://www.mendeley.com/documents/?uuid=05fdb0a5-66e8-49f0-869c-8660ef6c6098" ] } ], "mendeley" : { "formattedCitation" : "&lt;sup&gt;18&lt;/sup&gt;", "plainTextFormattedCitation" : "18", "previouslyFormattedCitation" : "&lt;sup&gt;18&lt;/sup&gt;"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noProof/>
          <w:spacing w:val="-2"/>
          <w:sz w:val="20"/>
          <w:szCs w:val="20"/>
          <w:lang w:val="en-GB"/>
        </w:rPr>
        <w:t>18</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This works covers the isolation, morphological and molecular identification of isolated microalgae.</w:t>
      </w:r>
    </w:p>
    <w:p w:rsidR="00B77BD6" w:rsidRPr="00B77BD6" w:rsidRDefault="00B77BD6" w:rsidP="00B77BD6">
      <w:pPr>
        <w:spacing w:after="0" w:line="240" w:lineRule="auto"/>
        <w:jc w:val="center"/>
        <w:outlineLvl w:val="0"/>
        <w:rPr>
          <w:rFonts w:ascii="Times New Roman" w:hAnsi="Times New Roman"/>
          <w:sz w:val="20"/>
          <w:szCs w:val="20"/>
        </w:rPr>
      </w:pPr>
    </w:p>
    <w:p w:rsidR="00B77BD6" w:rsidRPr="00B77BD6" w:rsidRDefault="00B77BD6" w:rsidP="00B77BD6">
      <w:pPr>
        <w:spacing w:after="0" w:line="240" w:lineRule="auto"/>
        <w:jc w:val="center"/>
        <w:outlineLvl w:val="0"/>
        <w:rPr>
          <w:rFonts w:ascii="Times New Roman" w:hAnsi="Times New Roman"/>
          <w:b/>
          <w:sz w:val="20"/>
          <w:szCs w:val="20"/>
        </w:rPr>
      </w:pPr>
      <w:r w:rsidRPr="00B77BD6">
        <w:rPr>
          <w:rFonts w:ascii="Times New Roman" w:hAnsi="Times New Roman"/>
          <w:b/>
          <w:sz w:val="20"/>
          <w:szCs w:val="20"/>
        </w:rPr>
        <w:t>Materials and Methods</w:t>
      </w:r>
    </w:p>
    <w:p w:rsidR="00B77BD6" w:rsidRPr="00B77BD6" w:rsidRDefault="00B77BD6" w:rsidP="00B77BD6">
      <w:pPr>
        <w:spacing w:after="0" w:line="240" w:lineRule="auto"/>
        <w:ind w:right="27"/>
        <w:jc w:val="both"/>
        <w:rPr>
          <w:rFonts w:ascii="Times New Roman" w:eastAsia="SimSun" w:hAnsi="Times New Roman"/>
          <w:b/>
          <w:spacing w:val="-2"/>
          <w:sz w:val="20"/>
          <w:szCs w:val="20"/>
          <w:lang w:val="en-GB"/>
        </w:rPr>
      </w:pPr>
      <w:r w:rsidRPr="00B77BD6">
        <w:rPr>
          <w:rFonts w:ascii="Times New Roman" w:eastAsia="SimSun" w:hAnsi="Times New Roman"/>
          <w:b/>
          <w:spacing w:val="-2"/>
          <w:sz w:val="20"/>
          <w:szCs w:val="20"/>
          <w:lang w:val="en-GB"/>
        </w:rPr>
        <w:t>Isolation of microalgae</w:t>
      </w: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 xml:space="preserve">Samples were collected from the canal of cooling water from Stesen Janakuasa Sultan Azlan Shah, Manjung Perak, west coast of Malaysian Peninsular, 4° 9’ 31.158” S latitude and 100° 38’ 30.3396” E longitude. The power plant uses coal as the fuel and is among the major power generation plant in Malaysia, having installed capacity of 3 units of 700 MW. The canals form a discharge point of sea water used in the steam cooling process in the upstream. Besides steam cooling, the sea water also was used as jet water spray as to discard debris, being injected with hypochlorite as </w:t>
      </w:r>
      <w:r w:rsidRPr="00B77BD6">
        <w:rPr>
          <w:rFonts w:ascii="Times New Roman" w:hAnsi="Times New Roman"/>
          <w:spacing w:val="-2"/>
          <w:sz w:val="20"/>
          <w:szCs w:val="20"/>
          <w:lang w:val="en-GB"/>
        </w:rPr>
        <w:lastRenderedPageBreak/>
        <w:t>disinfectant and also sprayed as part flue gas desulphurisation process before finally aerated (air bubbled) in the canals before being discharged to the open sea. Thus, any microalgae species that are available from the sea water intake shall experience varying degrees of hydrodynamic stresses, disinfection and temperature difference based on the process described above, and thus any ones which found dominant in the canals shall be the ones who are robust enough to survive further in bioreactors performing carbon biofixation exposed to actual power plant’s flue gas.  Collections of samples were conducted during the noon time where the suspected source areas of microalgae were exposed to sunlight at the maximum light density. The light intensity during the afternoon period can reach as high as 60,000 Lux during the sunny day. Microalgae which survived in photo-autotrophic mode tend to float on the surface area to capture energy from the sun for photosynthesis process.</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eastAsia="SimSun" w:hAnsi="Times New Roman"/>
          <w:spacing w:val="-2"/>
          <w:sz w:val="20"/>
          <w:szCs w:val="20"/>
          <w:lang w:val="en-GB"/>
        </w:rPr>
        <w:t>The samples from the source were added with F/2 Medium, TNBR medium and Bold Basal’s Medium (BBM) respectively with ratio of 1:1 (volume/volume) to promote growth of microalgae available in the targeted samples. The samples were maintained in 50 mL centrifuge tube, at room temperature at 28 °C and kept with continuous light exposure at 12,000 lux by 50 W fluorescent daylight type lamps. The samples were monitored daily to determined suitable medium for isolation as well as the growth curves of microalgae.</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Default="00B77BD6" w:rsidP="00B77BD6">
      <w:pPr>
        <w:spacing w:after="0" w:line="240" w:lineRule="auto"/>
        <w:jc w:val="both"/>
        <w:rPr>
          <w:rFonts w:ascii="Times New Roman" w:eastAsia="SimSun" w:hAnsi="Times New Roman"/>
          <w:spacing w:val="-2"/>
          <w:sz w:val="20"/>
          <w:szCs w:val="20"/>
          <w:lang w:val="en-GB"/>
        </w:rPr>
      </w:pPr>
      <w:r w:rsidRPr="00B77BD6">
        <w:rPr>
          <w:rFonts w:ascii="Times New Roman" w:eastAsia="SimSun" w:hAnsi="Times New Roman"/>
          <w:spacing w:val="-2"/>
          <w:sz w:val="20"/>
          <w:szCs w:val="20"/>
          <w:lang w:val="en-GB"/>
        </w:rPr>
        <w:t>The samples were maintained and observed under microscope (Cole-Parmer, USA) for isolation and morphological screening purpose. Microscope used is equipped with light chamber, measuring grid embedded with the software provided by Motic Image Plus 2.0 and image capturing camera.  Observation of microalgae growth in the liquid medium was continued with plating method by using the respective medium with 1.25% agar plate. In the parallel of liquid medium and 1.25% agar cultivation, the growth of microalgae were measured by biomass accumulation, cell density and amounts of colonies on the plate respectively.</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b/>
          <w:spacing w:val="-2"/>
          <w:sz w:val="20"/>
          <w:szCs w:val="20"/>
          <w:lang w:val="en-GB"/>
        </w:rPr>
      </w:pPr>
      <w:r w:rsidRPr="00B77BD6">
        <w:rPr>
          <w:rFonts w:ascii="Times New Roman" w:hAnsi="Times New Roman"/>
          <w:b/>
          <w:sz w:val="20"/>
          <w:szCs w:val="20"/>
          <w:lang w:val="en-GB"/>
        </w:rPr>
        <w:t>Cultivation</w:t>
      </w:r>
    </w:p>
    <w:p w:rsidR="00B77BD6" w:rsidRPr="00B77BD6" w:rsidRDefault="00B77BD6" w:rsidP="00B77BD6">
      <w:pPr>
        <w:spacing w:after="0" w:line="240" w:lineRule="auto"/>
        <w:jc w:val="both"/>
        <w:rPr>
          <w:rFonts w:ascii="Times New Roman" w:hAnsi="Times New Roman"/>
          <w:sz w:val="20"/>
          <w:szCs w:val="20"/>
          <w:lang w:val="en-GB"/>
        </w:rPr>
      </w:pPr>
      <w:r w:rsidRPr="00B77BD6">
        <w:rPr>
          <w:rFonts w:ascii="Times New Roman" w:hAnsi="Times New Roman"/>
          <w:sz w:val="20"/>
          <w:szCs w:val="20"/>
          <w:lang w:val="en-GB"/>
        </w:rPr>
        <w:t>Samples of microalgae which has been promoted by F/2 medium, TNBR medium and BBM medium were observed and screened morphologically and has been done by comparing to the online catalogue provided by University of Texas, The Culture Collection of </w:t>
      </w:r>
      <w:r w:rsidRPr="00B77BD6">
        <w:rPr>
          <w:rFonts w:ascii="Times New Roman" w:hAnsi="Times New Roman"/>
          <w:bCs/>
          <w:sz w:val="20"/>
          <w:szCs w:val="20"/>
          <w:lang w:val="en-GB"/>
        </w:rPr>
        <w:t>Algae</w:t>
      </w:r>
      <w:r w:rsidRPr="00B77BD6">
        <w:rPr>
          <w:rFonts w:ascii="Times New Roman" w:hAnsi="Times New Roman"/>
          <w:sz w:val="20"/>
          <w:szCs w:val="20"/>
          <w:lang w:val="en-GB"/>
        </w:rPr>
        <w:t> at Goettingen University (international acronym </w:t>
      </w:r>
      <w:r w:rsidRPr="00B77BD6">
        <w:rPr>
          <w:rFonts w:ascii="Times New Roman" w:hAnsi="Times New Roman"/>
          <w:bCs/>
          <w:sz w:val="20"/>
          <w:szCs w:val="20"/>
          <w:lang w:val="en-GB"/>
        </w:rPr>
        <w:t>SAG</w:t>
      </w:r>
      <w:r w:rsidRPr="00B77BD6">
        <w:rPr>
          <w:rFonts w:ascii="Times New Roman" w:hAnsi="Times New Roman"/>
          <w:sz w:val="20"/>
          <w:szCs w:val="20"/>
          <w:lang w:val="en-GB"/>
        </w:rPr>
        <w:t>). Morphological identification was done by determining the characteristic of isolated microalgae; size, availability of membrane wall and flagella, and the shape of chloroplast.</w:t>
      </w:r>
    </w:p>
    <w:p w:rsidR="00B77BD6" w:rsidRPr="00B77BD6" w:rsidRDefault="00B77BD6" w:rsidP="00B77BD6">
      <w:pPr>
        <w:spacing w:after="0" w:line="240" w:lineRule="auto"/>
        <w:jc w:val="both"/>
        <w:rPr>
          <w:rFonts w:ascii="Times New Roman" w:hAnsi="Times New Roman"/>
          <w:sz w:val="20"/>
          <w:szCs w:val="20"/>
          <w:lang w:val="en-GB"/>
        </w:rPr>
      </w:pPr>
    </w:p>
    <w:p w:rsidR="00B77BD6" w:rsidRPr="00B77BD6" w:rsidRDefault="00B77BD6" w:rsidP="00B77BD6">
      <w:pPr>
        <w:spacing w:after="0" w:line="240" w:lineRule="auto"/>
        <w:jc w:val="both"/>
        <w:rPr>
          <w:rFonts w:ascii="Times New Roman" w:hAnsi="Times New Roman"/>
          <w:sz w:val="20"/>
          <w:szCs w:val="20"/>
          <w:lang w:val="en-GB"/>
        </w:rPr>
      </w:pPr>
      <w:r w:rsidRPr="00B77BD6">
        <w:rPr>
          <w:rFonts w:ascii="Times New Roman" w:hAnsi="Times New Roman"/>
          <w:sz w:val="20"/>
          <w:szCs w:val="20"/>
          <w:lang w:val="en-GB"/>
        </w:rPr>
        <w:t>After growth of microalgae were observed, cultures of microalgae were transferred into 250 mL Duran Schott Bottle with F/2 medium, TNBR medium and BBM medium respectively with 10 percent of inoculums from the source of microalgae. To promote more growth, cultured microalgae were sparged with air to avoid settling as well as providing the CO</w:t>
      </w:r>
      <w:r w:rsidRPr="00B77BD6">
        <w:rPr>
          <w:rFonts w:ascii="Times New Roman" w:hAnsi="Times New Roman"/>
          <w:sz w:val="20"/>
          <w:szCs w:val="20"/>
          <w:vertAlign w:val="subscript"/>
          <w:lang w:val="en-GB"/>
        </w:rPr>
        <w:t>2</w:t>
      </w:r>
      <w:r w:rsidRPr="00B77BD6">
        <w:rPr>
          <w:rFonts w:ascii="Times New Roman" w:hAnsi="Times New Roman"/>
          <w:sz w:val="20"/>
          <w:szCs w:val="20"/>
          <w:lang w:val="en-GB"/>
        </w:rPr>
        <w:t xml:space="preserve"> from ambient air. Cultivation of microalgae was then continued until single/pure strain achieved in the culture system. Single/Pure strains of microalgae was achieved by continuous plating using F/2, TNBR, and BBM Medium agar. The pure strains were then re-cultivated into F/2 medium and TNBR medium liquid solution for inoculum preparation as well as for the molecular identification purpose. Microalgae biomass were collected daily to plot the growth curve of microalgae and calculate the specific growth rate (</w:t>
      </w:r>
      <w:r w:rsidRPr="00B77BD6">
        <w:rPr>
          <w:rFonts w:ascii="Times New Roman" w:hAnsi="Times New Roman"/>
          <w:i/>
          <w:sz w:val="20"/>
          <w:szCs w:val="20"/>
          <w:lang w:val="en-GB"/>
        </w:rPr>
        <w:t>µ</w:t>
      </w:r>
      <w:r w:rsidRPr="00B77BD6">
        <w:rPr>
          <w:rFonts w:ascii="Times New Roman" w:hAnsi="Times New Roman"/>
          <w:sz w:val="20"/>
          <w:szCs w:val="20"/>
          <w:vertAlign w:val="subscript"/>
          <w:lang w:val="en-GB"/>
        </w:rPr>
        <w:t>max</w:t>
      </w:r>
      <w:r w:rsidRPr="00B77BD6">
        <w:rPr>
          <w:rFonts w:ascii="Times New Roman" w:hAnsi="Times New Roman"/>
          <w:sz w:val="20"/>
          <w:szCs w:val="20"/>
          <w:lang w:val="en-GB"/>
        </w:rPr>
        <w:t xml:space="preserve">). The </w:t>
      </w:r>
      <w:r w:rsidRPr="00B77BD6">
        <w:rPr>
          <w:rFonts w:ascii="Times New Roman" w:hAnsi="Times New Roman"/>
          <w:i/>
          <w:sz w:val="20"/>
          <w:szCs w:val="20"/>
          <w:lang w:val="en-GB"/>
        </w:rPr>
        <w:t>µ</w:t>
      </w:r>
      <w:r w:rsidRPr="00B77BD6">
        <w:rPr>
          <w:rFonts w:ascii="Times New Roman" w:hAnsi="Times New Roman"/>
          <w:sz w:val="20"/>
          <w:szCs w:val="20"/>
          <w:vertAlign w:val="subscript"/>
          <w:lang w:val="en-GB"/>
        </w:rPr>
        <w:t>max</w:t>
      </w:r>
      <w:r w:rsidRPr="00B77BD6">
        <w:rPr>
          <w:rFonts w:ascii="Times New Roman" w:hAnsi="Times New Roman"/>
          <w:sz w:val="20"/>
          <w:szCs w:val="20"/>
          <w:lang w:val="en-GB"/>
        </w:rPr>
        <w:t xml:space="preserve"> value was determined by using the MathLab 9.0 version software with application of Logistic Modelling. Generally the growth curve of microalgae is in the sigmoid shape and previous studies has successfully fit the original data with the Logistic Model [</w:t>
      </w:r>
      <w:r w:rsidRPr="00B77BD6">
        <w:rPr>
          <w:rFonts w:ascii="Times New Roman" w:hAnsi="Times New Roman"/>
          <w:sz w:val="20"/>
          <w:szCs w:val="20"/>
          <w:lang w:val="en-GB"/>
        </w:rPr>
        <w:fldChar w:fldCharType="begin" w:fldLock="1"/>
      </w:r>
      <w:r w:rsidRPr="00B77BD6">
        <w:rPr>
          <w:rFonts w:ascii="Times New Roman" w:hAnsi="Times New Roman"/>
          <w:sz w:val="20"/>
          <w:szCs w:val="20"/>
          <w:lang w:val="en-GB"/>
        </w:rPr>
        <w:instrText>ADDIN CSL_CITATION { "citationItems" : [ { "id" : "ITEM-1", "itemData" : { "DOI" : "10.1128/AEM.67.5.2129", "author" : [ { "dropping-particle" : "", "family" : "Zhao", "given" : "Lihui", "non-dropping-particle" : "", "parse-names" : false, "suffix" : "" }, { "dropping-particle" : "", "family" : "Chen", "given" : "Yuhuan", "non-dropping-particle" : "", "parse-names" : false, "suffix" : "" }, { "dropping-particle" : "", "family" : "Schaffner", "given" : "Donald W", "non-dropping-particle" : "", "parse-names" : false, "suffix" : "" } ], "container-title" : "Applied and Environmental Microbiology", "id" : "ITEM-1", "issue" : "5", "issued" : { "date-parts" : [ [ "2001" ] ] }, "page" : "2129-2135", "title" : "Comparison of Logistic Regression and Linear Regression in Modeling Percentage Data", "type" : "article-journal", "volume" : "67" }, "uris" : [ "http://www.mendeley.com/documents/?uuid=fbbdf024-3827-4943-9562-30d35f2e9ed6" ] } ], "mendeley" : { "formattedCitation" : "&lt;sup&gt;19&lt;/sup&gt;", "plainTextFormattedCitation" : "19", "previouslyFormattedCitation" : "&lt;sup&gt;19&lt;/sup&gt;" }, "properties" : { "noteIndex" : 0 }, "schema" : "https://github.com/citation-style-language/schema/raw/master/csl-citation.json" }</w:instrText>
      </w:r>
      <w:r w:rsidRPr="00B77BD6">
        <w:rPr>
          <w:rFonts w:ascii="Times New Roman" w:hAnsi="Times New Roman"/>
          <w:sz w:val="20"/>
          <w:szCs w:val="20"/>
          <w:lang w:val="en-GB"/>
        </w:rPr>
        <w:fldChar w:fldCharType="separate"/>
      </w:r>
      <w:r w:rsidRPr="00B77BD6">
        <w:rPr>
          <w:rFonts w:ascii="Times New Roman" w:hAnsi="Times New Roman"/>
          <w:noProof/>
          <w:sz w:val="20"/>
          <w:szCs w:val="20"/>
          <w:lang w:val="en-GB"/>
        </w:rPr>
        <w:t>19</w:t>
      </w:r>
      <w:r w:rsidRPr="00B77BD6">
        <w:rPr>
          <w:rFonts w:ascii="Times New Roman" w:hAnsi="Times New Roman"/>
          <w:sz w:val="20"/>
          <w:szCs w:val="20"/>
          <w:lang w:val="en-GB"/>
        </w:rPr>
        <w:fldChar w:fldCharType="end"/>
      </w:r>
      <w:r w:rsidRPr="00B77BD6">
        <w:rPr>
          <w:rFonts w:ascii="Times New Roman" w:hAnsi="Times New Roman"/>
          <w:sz w:val="20"/>
          <w:szCs w:val="20"/>
          <w:lang w:val="en-GB"/>
        </w:rPr>
        <w:t xml:space="preserve">, </w:t>
      </w:r>
      <w:r w:rsidRPr="00B77BD6">
        <w:rPr>
          <w:rFonts w:ascii="Times New Roman" w:hAnsi="Times New Roman"/>
          <w:sz w:val="20"/>
          <w:szCs w:val="20"/>
          <w:lang w:val="en-GB"/>
        </w:rPr>
        <w:fldChar w:fldCharType="begin" w:fldLock="1"/>
      </w:r>
      <w:r w:rsidRPr="00B77BD6">
        <w:rPr>
          <w:rFonts w:ascii="Times New Roman" w:hAnsi="Times New Roman"/>
          <w:sz w:val="20"/>
          <w:szCs w:val="20"/>
          <w:lang w:val="en-GB"/>
        </w:rPr>
        <w:instrText>ADDIN CSL_CITATION { "citationItems" : [ { "id" : "ITEM-1", "itemData" : { "DOI" : "10.1111/j.1472-765X.2008.02537.x", "ISSN" : "1472-765X", "PMID" : "19187510", "abstract" : "AIMS: To determine the underlying substrate utilization mechanism in the logistic equation for batch microbial growth by revealing the relationship between the logistic and Monod kinetics. Also, to determine the logistic rate constant in terms of Monod kinetic constants.\n\nMETHODS AND RESULTS: The logistic equation used to describe batch microbial growth was related to the Monod kinetics and found to be first-order in terms of the substrate and biomass concentrations. The logistic equation constant was also related to the Monod kinetic constants. Similarly, the substrate utilization kinetic equations were derived by using the logistic growth equation and related to the Monod kinetics.\n\nCONCLUSION: It is revaled that the logistic growth equation is a special form of the Monod growth kinetics when substrate limitation is first-order with respect to the substrate concentration. The logistic rate constant (k) is directly proportional to the maximum specific growth rate constant (mu(m)) and initial substrate concentration (S(0)) and also inversely related to the saturation constant (K(s)).\n\nSIGNIFICANCE AND IMPACT OF THE STUDY: The semi-empirical logistic equation can be used instead of Monod kinetics at low substrate concentrations to describe batch microbial growth using the relationship between the logistic rate constant and the Monod kinetic constants.", "author" : [ { "dropping-particle" : "", "family" : "Kargi", "given" : "F", "non-dropping-particle" : "", "parse-names" : false, "suffix" : "" } ], "container-title" : "Letters in applied microbiology", "id" : "ITEM-1", "issue" : "4", "issued" : { "date-parts" : [ [ "2009", "4" ] ] }, "page" : "398-401", "title" : "Re-interpretation of the logistic equation for batch microbial growth in relation to Monod kinetics.", "type" : "article-journal", "volume" : "48" }, "uris" : [ "http://www.mendeley.com/documents/?uuid=7a1809d8-9b4d-474a-bcb0-3b4569abf4b9" ] } ], "mendeley" : { "formattedCitation" : "&lt;sup&gt;20&lt;/sup&gt;", "plainTextFormattedCitation" : "20", "previouslyFormattedCitation" : "&lt;sup&gt;20&lt;/sup&gt;" }, "properties" : { "noteIndex" : 0 }, "schema" : "https://github.com/citation-style-language/schema/raw/master/csl-citation.json" }</w:instrText>
      </w:r>
      <w:r w:rsidRPr="00B77BD6">
        <w:rPr>
          <w:rFonts w:ascii="Times New Roman" w:hAnsi="Times New Roman"/>
          <w:sz w:val="20"/>
          <w:szCs w:val="20"/>
          <w:lang w:val="en-GB"/>
        </w:rPr>
        <w:fldChar w:fldCharType="separate"/>
      </w:r>
      <w:r w:rsidRPr="00B77BD6">
        <w:rPr>
          <w:rFonts w:ascii="Times New Roman" w:hAnsi="Times New Roman"/>
          <w:noProof/>
          <w:sz w:val="20"/>
          <w:szCs w:val="20"/>
          <w:lang w:val="en-GB"/>
        </w:rPr>
        <w:t>20</w:t>
      </w:r>
      <w:r w:rsidRPr="00B77BD6">
        <w:rPr>
          <w:rFonts w:ascii="Times New Roman" w:hAnsi="Times New Roman"/>
          <w:sz w:val="20"/>
          <w:szCs w:val="20"/>
          <w:lang w:val="en-GB"/>
        </w:rPr>
        <w:fldChar w:fldCharType="end"/>
      </w:r>
      <w:r w:rsidRPr="00B77BD6">
        <w:rPr>
          <w:rFonts w:ascii="Times New Roman" w:hAnsi="Times New Roman"/>
          <w:sz w:val="20"/>
          <w:szCs w:val="20"/>
          <w:lang w:val="en-GB"/>
        </w:rPr>
        <w:t xml:space="preserve">, </w:t>
      </w:r>
      <w:r w:rsidRPr="00B77BD6">
        <w:rPr>
          <w:rFonts w:ascii="Times New Roman" w:hAnsi="Times New Roman"/>
          <w:sz w:val="20"/>
          <w:szCs w:val="20"/>
          <w:lang w:val="en-GB"/>
        </w:rPr>
        <w:fldChar w:fldCharType="begin" w:fldLock="1"/>
      </w:r>
      <w:r w:rsidRPr="00B77BD6">
        <w:rPr>
          <w:rFonts w:ascii="Times New Roman" w:hAnsi="Times New Roman"/>
          <w:sz w:val="20"/>
          <w:szCs w:val="20"/>
          <w:lang w:val="en-GB"/>
        </w:rPr>
        <w:instrText>ADDIN CSL_CITATION { "citationItems" : [ { "id" : "ITEM-1", "itemData" : { "DOI" : "10.1016/j.rser.2014.01.002", "ISSN" : "13640321", "abstract" : "Microalgae are fast growing organisms and have the ability to accumulate lipid, which can be converted to biofuels. Here, we review specific growth rate, population productivity, and lipid productivity based on 192 publications of the marine microalgae Nannochloropsis. Specific growth rate was reported by thirty publications often using exponential growth equations, and fourteen publications stated biomass productivity. However, direct comparison among productivity estimates is impossible due to differences in calculations or omission of equations. Less than 5% of the publications directly reported lipid productivity, the key parameter for biofuels. We extracted growth data from 30 publications using Plot Digitizer software and tested best fit with exponential and logistic equations. The logistic equation often represents growth data better than the exponential one. Furthermore, we argue that maximum sustainable yield (MSY) is a more useful measure for harvest rates than specific growth rates. Interestingly, MSY displayed closer linear relationships with carrying capacity measures (r2=0.780, p&lt;0.001 and r2=0.552, p&lt;0.001 for algae density and biomass, respectively) than growth rate (r2=0.297, p&lt;0.001 and r2=0.095, p=0.090). We propose to apply concepts of logistic growth, carrying capacity and MSY calculations to estimates of maximum lipid productivity, similar to commonly used density and biomass calculations.", "author" : [ { "dropping-particle" : "", "family" : "XU", "given" : "Yaoyang", "non-dropping-particle" : "", "parse-names" : false, "suffix" : "" }, { "dropping-particle" : "", "family" : "Boeing", "given" : "Wiebke J.", "non-dropping-particle" : "", "parse-names" : false, "suffix" : "" } ], "container-title" : "Renewable and Sustainable Energy Reviews", "id" : "ITEM-1", "issued" : { "date-parts" : [ [ "2014", "4" ] ] }, "page" : "29-39", "title" : "Modeling maximum lipid productivity of microalgae: Review and next step", "type" : "article-journal", "volume" : "32" }, "uris" : [ "http://www.mendeley.com/documents/?uuid=13d959a4-45b7-43ca-abc9-6133a820adb5" ] } ], "mendeley" : { "formattedCitation" : "&lt;sup&gt;21&lt;/sup&gt;", "plainTextFormattedCitation" : "21", "previouslyFormattedCitation" : "&lt;sup&gt;21&lt;/sup&gt;" }, "properties" : { "noteIndex" : 0 }, "schema" : "https://github.com/citation-style-language/schema/raw/master/csl-citation.json" }</w:instrText>
      </w:r>
      <w:r w:rsidRPr="00B77BD6">
        <w:rPr>
          <w:rFonts w:ascii="Times New Roman" w:hAnsi="Times New Roman"/>
          <w:sz w:val="20"/>
          <w:szCs w:val="20"/>
          <w:lang w:val="en-GB"/>
        </w:rPr>
        <w:fldChar w:fldCharType="separate"/>
      </w:r>
      <w:r w:rsidRPr="00B77BD6">
        <w:rPr>
          <w:rFonts w:ascii="Times New Roman" w:hAnsi="Times New Roman"/>
          <w:noProof/>
          <w:sz w:val="20"/>
          <w:szCs w:val="20"/>
          <w:lang w:val="en-GB"/>
        </w:rPr>
        <w:t>21</w:t>
      </w:r>
      <w:r w:rsidRPr="00B77BD6">
        <w:rPr>
          <w:rFonts w:ascii="Times New Roman" w:hAnsi="Times New Roman"/>
          <w:sz w:val="20"/>
          <w:szCs w:val="20"/>
          <w:lang w:val="en-GB"/>
        </w:rPr>
        <w:fldChar w:fldCharType="end"/>
      </w:r>
      <w:r w:rsidRPr="00B77BD6">
        <w:rPr>
          <w:rFonts w:ascii="Times New Roman" w:hAnsi="Times New Roman"/>
          <w:sz w:val="20"/>
          <w:szCs w:val="20"/>
          <w:lang w:val="en-GB"/>
        </w:rPr>
        <w:t xml:space="preserve">]. Thus, in this study, Logistic Model was used to fit the data and determined the value of </w:t>
      </w:r>
      <w:r w:rsidRPr="00B77BD6">
        <w:rPr>
          <w:rFonts w:ascii="Times New Roman" w:hAnsi="Times New Roman"/>
          <w:i/>
          <w:sz w:val="20"/>
          <w:szCs w:val="20"/>
          <w:lang w:val="en-GB"/>
        </w:rPr>
        <w:t>µ</w:t>
      </w:r>
      <w:r w:rsidRPr="00B77BD6">
        <w:rPr>
          <w:rFonts w:ascii="Times New Roman" w:hAnsi="Times New Roman"/>
          <w:sz w:val="20"/>
          <w:szCs w:val="20"/>
          <w:vertAlign w:val="subscript"/>
          <w:lang w:val="en-GB"/>
        </w:rPr>
        <w:t>max</w:t>
      </w:r>
      <w:r w:rsidRPr="00B77BD6">
        <w:rPr>
          <w:rFonts w:ascii="Times New Roman" w:hAnsi="Times New Roman"/>
          <w:sz w:val="20"/>
          <w:szCs w:val="20"/>
          <w:lang w:val="en-GB"/>
        </w:rPr>
        <w:t xml:space="preserve">. The </w:t>
      </w:r>
      <w:r w:rsidRPr="00B77BD6">
        <w:rPr>
          <w:rFonts w:ascii="Times New Roman" w:hAnsi="Times New Roman"/>
          <w:i/>
          <w:sz w:val="20"/>
          <w:szCs w:val="20"/>
          <w:lang w:val="en-GB"/>
        </w:rPr>
        <w:t>µ</w:t>
      </w:r>
      <w:r w:rsidRPr="00B77BD6">
        <w:rPr>
          <w:rFonts w:ascii="Times New Roman" w:hAnsi="Times New Roman"/>
          <w:sz w:val="20"/>
          <w:szCs w:val="20"/>
          <w:vertAlign w:val="subscript"/>
          <w:lang w:val="en-GB"/>
        </w:rPr>
        <w:t xml:space="preserve">max </w:t>
      </w:r>
      <w:r w:rsidRPr="00B77BD6">
        <w:rPr>
          <w:rFonts w:ascii="Times New Roman" w:hAnsi="Times New Roman"/>
          <w:sz w:val="20"/>
          <w:szCs w:val="20"/>
          <w:lang w:val="en-GB"/>
        </w:rPr>
        <w:t>values were calculated using Equation 1 below:</w:t>
      </w:r>
    </w:p>
    <w:p w:rsidR="00B77BD6" w:rsidRPr="00B77BD6" w:rsidRDefault="00B77BD6" w:rsidP="00B77BD6">
      <w:pPr>
        <w:spacing w:after="0" w:line="240" w:lineRule="auto"/>
        <w:jc w:val="both"/>
        <w:rPr>
          <w:rFonts w:ascii="Times New Roman" w:hAnsi="Times New Roman"/>
          <w:sz w:val="20"/>
          <w:szCs w:val="20"/>
          <w:lang w:val="en-GB"/>
        </w:rPr>
      </w:pPr>
    </w:p>
    <w:p w:rsidR="00B77BD6" w:rsidRPr="00B77BD6" w:rsidRDefault="00B77BD6" w:rsidP="00B77BD6">
      <w:pPr>
        <w:spacing w:after="0" w:line="240" w:lineRule="auto"/>
        <w:jc w:val="both"/>
        <w:rPr>
          <w:rFonts w:ascii="Times New Roman" w:hAnsi="Times New Roman"/>
          <w:sz w:val="20"/>
          <w:szCs w:val="20"/>
          <w:lang w:val="en-GB"/>
        </w:rPr>
      </w:pPr>
      <m:oMath>
        <m:r>
          <w:rPr>
            <w:rFonts w:ascii="Cambria Math" w:hAnsi="Cambria Math"/>
            <w:sz w:val="20"/>
            <w:szCs w:val="20"/>
          </w:rPr>
          <m:t xml:space="preserve">            X=</m:t>
        </m:r>
        <m:f>
          <m:fPr>
            <m:ctrlPr>
              <w:rPr>
                <w:rFonts w:ascii="Cambria Math" w:hAnsi="Cambria Math"/>
                <w:i/>
                <w:sz w:val="20"/>
                <w:szCs w:val="20"/>
              </w:rPr>
            </m:ctrlPr>
          </m:fPr>
          <m:num>
            <m:r>
              <w:rPr>
                <w:rFonts w:ascii="Cambria Math" w:hAnsi="Cambria Math"/>
                <w:sz w:val="20"/>
                <w:szCs w:val="20"/>
              </w:rPr>
              <m:t>XoXmax∙</m:t>
            </m:r>
            <m:sSup>
              <m:sSupPr>
                <m:ctrlPr>
                  <w:rPr>
                    <w:rFonts w:ascii="Cambria Math" w:hAnsi="Cambria Math"/>
                    <w:i/>
                    <w:sz w:val="20"/>
                    <w:szCs w:val="20"/>
                  </w:rPr>
                </m:ctrlPr>
              </m:sSupPr>
              <m:e>
                <m:r>
                  <w:rPr>
                    <w:rFonts w:ascii="Cambria Math" w:hAnsi="Cambria Math"/>
                    <w:sz w:val="20"/>
                    <w:szCs w:val="20"/>
                  </w:rPr>
                  <m:t>e</m:t>
                </m:r>
              </m:e>
              <m:sup>
                <m:sSub>
                  <m:sSubPr>
                    <m:ctrlPr>
                      <w:rPr>
                        <w:rFonts w:ascii="Cambria Math" w:hAnsi="Cambria Math"/>
                        <w:i/>
                        <w:sz w:val="20"/>
                        <w:szCs w:val="20"/>
                      </w:rPr>
                    </m:ctrlPr>
                  </m:sSubPr>
                  <m:e>
                    <m:r>
                      <w:rPr>
                        <w:rFonts w:ascii="Cambria Math" w:hAnsi="Cambria Math"/>
                        <w:sz w:val="20"/>
                        <w:szCs w:val="20"/>
                      </w:rPr>
                      <m:t>μ</m:t>
                    </m:r>
                  </m:e>
                  <m:sub>
                    <m:sSup>
                      <m:sSupPr>
                        <m:ctrlPr>
                          <w:rPr>
                            <w:rFonts w:ascii="Cambria Math" w:hAnsi="Cambria Math"/>
                            <w:i/>
                            <w:sz w:val="20"/>
                            <w:szCs w:val="20"/>
                          </w:rPr>
                        </m:ctrlPr>
                      </m:sSupPr>
                      <m:e>
                        <m:r>
                          <w:rPr>
                            <w:rFonts w:ascii="Cambria Math" w:hAnsi="Cambria Math"/>
                            <w:sz w:val="20"/>
                            <w:szCs w:val="20"/>
                          </w:rPr>
                          <m:t>max</m:t>
                        </m:r>
                      </m:e>
                      <m:sup>
                        <m:r>
                          <w:rPr>
                            <w:rFonts w:ascii="Cambria Math" w:hAnsi="Cambria Math"/>
                            <w:sz w:val="20"/>
                            <w:szCs w:val="20"/>
                          </w:rPr>
                          <m:t>t</m:t>
                        </m:r>
                      </m:sup>
                    </m:sSup>
                  </m:sub>
                </m:sSub>
              </m:sup>
            </m:sSup>
          </m:num>
          <m:den>
            <m:r>
              <w:rPr>
                <w:rFonts w:ascii="Cambria Math" w:hAnsi="Cambria Math"/>
                <w:sz w:val="20"/>
                <w:szCs w:val="20"/>
              </w:rPr>
              <m:t>Xmax-Xo+Xo</m:t>
            </m:r>
            <m:sSup>
              <m:sSupPr>
                <m:ctrlPr>
                  <w:rPr>
                    <w:rFonts w:ascii="Cambria Math" w:hAnsi="Cambria Math"/>
                    <w:i/>
                    <w:sz w:val="20"/>
                    <w:szCs w:val="20"/>
                  </w:rPr>
                </m:ctrlPr>
              </m:sSupPr>
              <m:e>
                <m:r>
                  <w:rPr>
                    <w:rFonts w:ascii="Cambria Math" w:hAnsi="Cambria Math"/>
                    <w:sz w:val="20"/>
                    <w:szCs w:val="20"/>
                  </w:rPr>
                  <m:t>e</m:t>
                </m:r>
              </m:e>
              <m:sup>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max</m:t>
                    </m:r>
                  </m:sub>
                </m:sSub>
                <m:r>
                  <w:rPr>
                    <w:rFonts w:ascii="Cambria Math" w:hAnsi="Cambria Math"/>
                    <w:sz w:val="20"/>
                    <w:szCs w:val="20"/>
                  </w:rPr>
                  <m:t>t</m:t>
                </m:r>
              </m:sup>
            </m:sSup>
          </m:den>
        </m:f>
      </m:oMath>
      <w:r w:rsidRPr="00B77BD6">
        <w:rPr>
          <w:rFonts w:ascii="Times New Roman" w:hAnsi="Times New Roman"/>
          <w:sz w:val="20"/>
          <w:szCs w:val="20"/>
        </w:rPr>
        <w:t xml:space="preserve">    </w:t>
      </w:r>
      <w:r w:rsidRPr="00B77BD6">
        <w:rPr>
          <w:rFonts w:ascii="Times New Roman" w:hAnsi="Times New Roman"/>
          <w:sz w:val="20"/>
          <w:szCs w:val="20"/>
        </w:rPr>
        <w:tab/>
      </w:r>
      <w:r w:rsidRPr="00B77BD6">
        <w:rPr>
          <w:rFonts w:ascii="Times New Roman" w:hAnsi="Times New Roman"/>
          <w:sz w:val="20"/>
          <w:szCs w:val="20"/>
        </w:rPr>
        <w:tab/>
      </w:r>
      <w:r w:rsidRPr="00B77BD6">
        <w:rPr>
          <w:rFonts w:ascii="Times New Roman" w:hAnsi="Times New Roman"/>
          <w:sz w:val="20"/>
          <w:szCs w:val="20"/>
        </w:rPr>
        <w:tab/>
      </w:r>
      <w:r w:rsidRPr="00B77BD6">
        <w:rPr>
          <w:rFonts w:ascii="Times New Roman" w:hAnsi="Times New Roman"/>
          <w:sz w:val="20"/>
          <w:szCs w:val="20"/>
        </w:rPr>
        <w:tab/>
      </w:r>
      <w:r w:rsidRPr="00B77BD6">
        <w:rPr>
          <w:rFonts w:ascii="Times New Roman" w:hAnsi="Times New Roman"/>
          <w:sz w:val="20"/>
          <w:szCs w:val="20"/>
        </w:rPr>
        <w:tab/>
        <w:t xml:space="preserve">                                            </w:t>
      </w:r>
      <w:r>
        <w:rPr>
          <w:rFonts w:ascii="Times New Roman" w:hAnsi="Times New Roman"/>
          <w:sz w:val="20"/>
          <w:szCs w:val="20"/>
        </w:rPr>
        <w:t xml:space="preserve">                    </w:t>
      </w:r>
      <w:r w:rsidRPr="00B77BD6">
        <w:rPr>
          <w:rFonts w:ascii="Times New Roman" w:hAnsi="Times New Roman"/>
          <w:sz w:val="20"/>
          <w:szCs w:val="20"/>
        </w:rPr>
        <w:t xml:space="preserve">  </w:t>
      </w:r>
      <w:r w:rsidRPr="00B77BD6">
        <w:rPr>
          <w:rFonts w:ascii="Times New Roman" w:hAnsi="Times New Roman"/>
          <w:sz w:val="20"/>
          <w:szCs w:val="20"/>
          <w:lang w:val="en-GB"/>
        </w:rPr>
        <w:t>(1)</w:t>
      </w:r>
    </w:p>
    <w:p w:rsidR="00B77BD6" w:rsidRPr="00B77BD6" w:rsidRDefault="00B77BD6" w:rsidP="00B77BD6">
      <w:pPr>
        <w:spacing w:after="0" w:line="240" w:lineRule="auto"/>
        <w:jc w:val="both"/>
        <w:rPr>
          <w:rFonts w:ascii="Times New Roman" w:hAnsi="Times New Roman"/>
          <w:sz w:val="20"/>
          <w:szCs w:val="20"/>
          <w:lang w:val="en-GB"/>
        </w:rPr>
      </w:pPr>
    </w:p>
    <w:p w:rsidR="00B77BD6" w:rsidRPr="00B77BD6" w:rsidRDefault="00B77BD6" w:rsidP="00B77BD6">
      <w:pPr>
        <w:spacing w:after="0" w:line="240" w:lineRule="auto"/>
        <w:jc w:val="both"/>
        <w:rPr>
          <w:rFonts w:ascii="Times New Roman" w:hAnsi="Times New Roman"/>
          <w:sz w:val="20"/>
          <w:szCs w:val="20"/>
          <w:lang w:val="en-GB"/>
        </w:rPr>
      </w:pPr>
      <w:r w:rsidRPr="00B77BD6">
        <w:rPr>
          <w:rFonts w:ascii="Times New Roman" w:hAnsi="Times New Roman"/>
          <w:sz w:val="20"/>
          <w:szCs w:val="20"/>
          <w:lang w:val="en-GB"/>
        </w:rPr>
        <w:t xml:space="preserve">where X is the value of predicted biomass achieved by the Logistic Model, </w:t>
      </w:r>
      <w:r w:rsidRPr="00B77BD6">
        <w:rPr>
          <w:rFonts w:ascii="Times New Roman" w:hAnsi="Times New Roman"/>
          <w:i/>
          <w:sz w:val="20"/>
          <w:szCs w:val="20"/>
          <w:lang w:val="en-GB"/>
        </w:rPr>
        <w:t>X</w:t>
      </w:r>
      <w:r w:rsidRPr="00B77BD6">
        <w:rPr>
          <w:rFonts w:ascii="Times New Roman" w:hAnsi="Times New Roman"/>
          <w:sz w:val="20"/>
          <w:szCs w:val="20"/>
          <w:vertAlign w:val="subscript"/>
          <w:lang w:val="en-GB"/>
        </w:rPr>
        <w:t>0</w:t>
      </w:r>
      <w:r w:rsidRPr="00B77BD6">
        <w:rPr>
          <w:rFonts w:ascii="Times New Roman" w:hAnsi="Times New Roman"/>
          <w:sz w:val="20"/>
          <w:szCs w:val="20"/>
          <w:lang w:val="en-GB"/>
        </w:rPr>
        <w:t xml:space="preserve"> is the initial biomass achieved during the experimental set up, and </w:t>
      </w:r>
      <w:r w:rsidRPr="00B77BD6">
        <w:rPr>
          <w:rFonts w:ascii="Times New Roman" w:hAnsi="Times New Roman"/>
          <w:i/>
          <w:sz w:val="20"/>
          <w:szCs w:val="20"/>
          <w:lang w:val="en-GB"/>
        </w:rPr>
        <w:t>X</w:t>
      </w:r>
      <w:r w:rsidRPr="00B77BD6">
        <w:rPr>
          <w:rFonts w:ascii="Times New Roman" w:hAnsi="Times New Roman"/>
          <w:sz w:val="20"/>
          <w:szCs w:val="20"/>
          <w:vertAlign w:val="subscript"/>
          <w:lang w:val="en-GB"/>
        </w:rPr>
        <w:t xml:space="preserve">max </w:t>
      </w:r>
      <w:r w:rsidRPr="00B77BD6">
        <w:rPr>
          <w:rFonts w:ascii="Times New Roman" w:hAnsi="Times New Roman"/>
          <w:sz w:val="20"/>
          <w:szCs w:val="20"/>
          <w:lang w:val="en-GB"/>
        </w:rPr>
        <w:t>is the maximum biomass achieved while t is the time take during the experiment.</w:t>
      </w:r>
    </w:p>
    <w:p w:rsidR="00B77BD6" w:rsidRPr="00B77BD6" w:rsidRDefault="00B77BD6" w:rsidP="00B77BD6">
      <w:pPr>
        <w:spacing w:after="0" w:line="240" w:lineRule="auto"/>
        <w:jc w:val="both"/>
        <w:rPr>
          <w:rFonts w:ascii="Times New Roman" w:hAnsi="Times New Roman"/>
          <w:sz w:val="20"/>
          <w:szCs w:val="20"/>
          <w:lang w:val="en-GB"/>
        </w:rPr>
      </w:pPr>
    </w:p>
    <w:p w:rsidR="00B77BD6" w:rsidRPr="00B77BD6" w:rsidRDefault="00B77BD6" w:rsidP="00B77BD6">
      <w:pPr>
        <w:spacing w:after="0" w:line="240" w:lineRule="auto"/>
        <w:jc w:val="both"/>
        <w:rPr>
          <w:rFonts w:ascii="Times New Roman" w:hAnsi="Times New Roman"/>
          <w:b/>
          <w:sz w:val="20"/>
          <w:szCs w:val="20"/>
          <w:lang w:val="en-GB"/>
        </w:rPr>
      </w:pPr>
      <w:r w:rsidRPr="00B77BD6">
        <w:rPr>
          <w:rFonts w:ascii="Times New Roman" w:eastAsia="SimSun" w:hAnsi="Times New Roman"/>
          <w:b/>
          <w:spacing w:val="-2"/>
          <w:sz w:val="20"/>
          <w:szCs w:val="20"/>
          <w:lang w:val="en-GB"/>
        </w:rPr>
        <w:t>Molecular identification</w:t>
      </w:r>
    </w:p>
    <w:p w:rsidR="00B77BD6" w:rsidRPr="00B77BD6" w:rsidRDefault="00B77BD6" w:rsidP="00B77BD6">
      <w:pPr>
        <w:spacing w:after="0" w:line="240" w:lineRule="auto"/>
        <w:ind w:right="27"/>
        <w:jc w:val="both"/>
        <w:rPr>
          <w:rFonts w:ascii="Times New Roman" w:hAnsi="Times New Roman"/>
          <w:spacing w:val="-2"/>
          <w:sz w:val="20"/>
          <w:szCs w:val="20"/>
          <w:lang w:val="en-GB"/>
        </w:rPr>
      </w:pPr>
      <w:r w:rsidRPr="00B77BD6">
        <w:rPr>
          <w:rFonts w:ascii="Times New Roman" w:eastAsia="SimSun" w:hAnsi="Times New Roman"/>
          <w:spacing w:val="-2"/>
          <w:sz w:val="20"/>
          <w:szCs w:val="20"/>
          <w:lang w:val="en-GB"/>
        </w:rPr>
        <w:t xml:space="preserve">Single/Pure strain of microalgae achieved in isolation process was used in molecular identification. Wet biomass of microalgae were collected and genomic DNA was extracted from it by using liquid nitrogen. Liquid nitrogen is a good agent for extraction due to the low temperature properties which it has boiling point at -196 °C and this will freeze and </w:t>
      </w:r>
      <w:r w:rsidRPr="00B77BD6">
        <w:rPr>
          <w:rFonts w:ascii="Times New Roman" w:eastAsia="SimSun" w:hAnsi="Times New Roman"/>
          <w:spacing w:val="-2"/>
          <w:sz w:val="20"/>
          <w:szCs w:val="20"/>
          <w:lang w:val="en-GB"/>
        </w:rPr>
        <w:lastRenderedPageBreak/>
        <w:t xml:space="preserve">crystalize the microalgae cells in the biomass instantly. </w:t>
      </w:r>
      <w:r w:rsidRPr="00B77BD6">
        <w:rPr>
          <w:rFonts w:ascii="Times New Roman" w:hAnsi="Times New Roman"/>
          <w:spacing w:val="-2"/>
          <w:sz w:val="20"/>
          <w:szCs w:val="20"/>
          <w:lang w:val="en-GB"/>
        </w:rPr>
        <w:t>Wet biomasses from cultivated microalgae were soaked into liquid nitrogen and homogenized with mortar and pestle for initial steps in breaking the cell wall of microalgae in order to extract the genomic DNA (gDNA).</w:t>
      </w:r>
      <w:r w:rsidRPr="00B77BD6">
        <w:rPr>
          <w:rFonts w:ascii="Times New Roman" w:eastAsia="SimSun" w:hAnsi="Times New Roman"/>
          <w:spacing w:val="-2"/>
          <w:sz w:val="20"/>
          <w:szCs w:val="20"/>
          <w:lang w:val="en-GB"/>
        </w:rPr>
        <w:t xml:space="preserve"> </w:t>
      </w:r>
      <w:r w:rsidRPr="00B77BD6">
        <w:rPr>
          <w:rFonts w:ascii="Times New Roman" w:hAnsi="Times New Roman"/>
          <w:spacing w:val="-2"/>
          <w:sz w:val="20"/>
          <w:szCs w:val="20"/>
          <w:lang w:val="en-GB"/>
        </w:rPr>
        <w:t xml:space="preserve">Next steps in achieving gDNA,  extraction kit from Promega containing nuclei lysis solution, protein precipitation solution, isopropanol, ethanol and RNase solution was used according to manual from the manufacturer. </w:t>
      </w:r>
      <w:r w:rsidRPr="00B77BD6">
        <w:rPr>
          <w:rFonts w:ascii="Times New Roman" w:eastAsia="SimSun" w:hAnsi="Times New Roman"/>
          <w:spacing w:val="-2"/>
          <w:sz w:val="20"/>
          <w:szCs w:val="20"/>
          <w:lang w:val="en-GB"/>
        </w:rPr>
        <w:t xml:space="preserve">Biomass achieved was then extracted using plant extraction kit by Promega Wizard Genomic DNA Purification Kit </w:t>
      </w:r>
      <w:r w:rsidRPr="00B77BD6">
        <w:rPr>
          <w:rFonts w:ascii="Times New Roman" w:eastAsia="SimSun" w:hAnsi="Times New Roman"/>
          <w:spacing w:val="-2"/>
          <w:sz w:val="20"/>
          <w:szCs w:val="20"/>
          <w:lang w:val="en-GB"/>
        </w:rPr>
        <w:fldChar w:fldCharType="begin" w:fldLock="1"/>
      </w:r>
      <w:r w:rsidRPr="00B77BD6">
        <w:rPr>
          <w:rFonts w:ascii="Times New Roman" w:eastAsia="SimSun" w:hAnsi="Times New Roman"/>
          <w:spacing w:val="-2"/>
          <w:sz w:val="20"/>
          <w:szCs w:val="20"/>
          <w:lang w:val="en-GB"/>
        </w:rPr>
        <w:instrText>ADDIN CSL_CITATION { "citationItems" : [ { "id" : "ITEM-1", "itemData" : { "ISBN" : "6082744330", "author" : [ { "dropping-particle" : "", "family" : "Promega", "given" : "", "non-dropping-particle" : "", "parse-names" : false, "suffix" : "" } ], "id" : "ITEM-1", "issued" : { "date-parts" : [ [ "2010" ] ] }, "page" : "1123-1126", "title" : "Wizard Genomic DNA Purification Kit Quick Protocol, FB022", "type" : "legislation" }, "uris" : [ "http://www.mendeley.com/documents/?uuid=a2450a04-6345-4ade-8b1d-075aa33e49fb" ] } ], "mendeley" : { "formattedCitation" : "&lt;sup&gt;22&lt;/sup&gt;", "manualFormatting" : "[22", "plainTextFormattedCitation" : "22", "previouslyFormattedCitation" : "&lt;sup&gt;22&lt;/sup&gt;" }, "properties" : { "noteIndex" : 0 }, "schema" : "https://github.com/citation-style-language/schema/raw/master/csl-citation.json" }</w:instrText>
      </w:r>
      <w:r w:rsidRPr="00B77BD6">
        <w:rPr>
          <w:rFonts w:ascii="Times New Roman" w:eastAsia="SimSun" w:hAnsi="Times New Roman"/>
          <w:spacing w:val="-2"/>
          <w:sz w:val="20"/>
          <w:szCs w:val="20"/>
          <w:lang w:val="en-GB"/>
        </w:rPr>
        <w:fldChar w:fldCharType="separate"/>
      </w:r>
      <w:r w:rsidRPr="00B77BD6">
        <w:rPr>
          <w:rFonts w:ascii="Times New Roman" w:eastAsia="SimSun" w:hAnsi="Times New Roman"/>
          <w:noProof/>
          <w:spacing w:val="-2"/>
          <w:sz w:val="20"/>
          <w:szCs w:val="20"/>
          <w:lang w:val="en-GB"/>
        </w:rPr>
        <w:t>[22</w:t>
      </w:r>
      <w:r w:rsidRPr="00B77BD6">
        <w:rPr>
          <w:rFonts w:ascii="Times New Roman" w:eastAsia="SimSun" w:hAnsi="Times New Roman"/>
          <w:spacing w:val="-2"/>
          <w:sz w:val="20"/>
          <w:szCs w:val="20"/>
          <w:lang w:val="en-GB"/>
        </w:rPr>
        <w:fldChar w:fldCharType="end"/>
      </w:r>
      <w:r w:rsidRPr="00B77BD6">
        <w:rPr>
          <w:rFonts w:ascii="Times New Roman" w:eastAsia="SimSun" w:hAnsi="Times New Roman"/>
          <w:spacing w:val="-2"/>
          <w:sz w:val="20"/>
          <w:szCs w:val="20"/>
          <w:lang w:val="en-GB"/>
        </w:rPr>
        <w:t>]. 18s rRNA genes Polymeric Chain Reaction (PCR) amplified using forward (50 TACTGTGAAACTGCGAATGGCTC 30) and reverse (50 TGATCCTTCCGCAGGTTCACCTA 30) primer was used in this process [</w:t>
      </w:r>
      <w:r w:rsidRPr="00B77BD6">
        <w:rPr>
          <w:rFonts w:ascii="Times New Roman" w:eastAsia="SimSun" w:hAnsi="Times New Roman"/>
          <w:spacing w:val="-2"/>
          <w:sz w:val="20"/>
          <w:szCs w:val="20"/>
          <w:lang w:val="en-GB"/>
        </w:rPr>
        <w:fldChar w:fldCharType="begin" w:fldLock="1"/>
      </w:r>
      <w:r w:rsidRPr="00B77BD6">
        <w:rPr>
          <w:rFonts w:ascii="Times New Roman" w:eastAsia="SimSun" w:hAnsi="Times New Roman"/>
          <w:spacing w:val="-2"/>
          <w:sz w:val="20"/>
          <w:szCs w:val="20"/>
          <w:lang w:val="en-GB"/>
        </w:rPr>
        <w:instrText>ADDIN CSL_CITATION { "citationItems" : [ { "id" : "ITEM-1", "itemData" : { "DOI" : "10.1111/j.1550-7408.2000.tb00014.x", "ISBN" : "4947148314", "ISSN" : "1066-5234", "PMID" : "10651300", "abstract" : "Photosynthetic pico- and nanoplankton dominate phytoplankton biomass and primary production in the oligotrophic open ocean. Species composition, community structure, and dynamics of the eukaryotic components of these size classes are poorly known primarily because of the difficulties associated with their preservation and identification. Molecular techniques utilizing 18S rRNA sequences offer a number of new and rapid means of identifying the picoplankton. From the available 18S rRNA sequence data for the algae, we designed new group-specific oligonucleotide probes for the division Chlorophyta, the division Haptophyta, and the class Pelagophyceae (division Heterokonta). Dot blot hybridization with polymerase chain reaction amplified target rDNA and whole-cell hybridization assays with fluorescence microscopy and flow cytometry were used to demonstrate probe specificity. Hybridization results with representatives from seven algal classes supported the phylogenetic affinities of the cells. Such group- or taxon-specific probes will be useful in examining community structure, for identifying new algal isolates, and for in situ detection of these three groups, which are thought to be the dominant algal taxa in the oligotrophic regions of the ocean.", "author" : [ { "dropping-particle" : "", "family" : "Simon", "given" : "N", "non-dropping-particle" : "", "parse-names" : false, "suffix" : "" }, { "dropping-particle" : "", "family" : "Campbell", "given" : "L", "non-dropping-particle" : "", "parse-names" : false, "suffix" : "" }, { "dropping-particle" : "", "family" : "Ornolfsdottir", "given" : "E", "non-dropping-particle" : "", "parse-names" : false, "suffix" : "" }, { "dropping-particle" : "", "family" : "Groben", "given" : "R", "non-dropping-particle" : "", "parse-names" : false, "suffix" : "" }, { "dropping-particle" : "", "family" : "Guillou", "given" : "L", "non-dropping-particle" : "", "parse-names" : false, "suffix" : "" }, { "dropping-particle" : "", "family" : "Lange", "given" : "M", "non-dropping-particle" : "", "parse-names" : false, "suffix" : "" }, { "dropping-particle" : "", "family" : "Medlin", "given" : "L K", "non-dropping-particle" : "", "parse-names" : false, "suffix" : "" } ], "container-title" : "The Journal of eukaryotic microbiology", "id" : "ITEM-1", "issue" : "1", "issued" : { "date-parts" : [ [ "2000" ] ] }, "page" : "76-84", "title" : "Oligonucleotide probes for the identification of three algal groups by dot blot and fluorescent whole-cell hybridization.", "type" : "article-journal", "volume" : "47" }, "uris" : [ "http://www.mendeley.com/documents/?uuid=7caf80b8-1dcd-4660-8fda-ac81d83956c5" ] } ], "mendeley" : { "formattedCitation" : "&lt;sup&gt;23&lt;/sup&gt;", "plainTextFormattedCitation" : "23", "previouslyFormattedCitation" : "&lt;sup&gt;23&lt;/sup&gt;" }, "properties" : { "noteIndex" : 0 }, "schema" : "https://github.com/citation-style-language/schema/raw/master/csl-citation.json" }</w:instrText>
      </w:r>
      <w:r w:rsidRPr="00B77BD6">
        <w:rPr>
          <w:rFonts w:ascii="Times New Roman" w:eastAsia="SimSun" w:hAnsi="Times New Roman"/>
          <w:spacing w:val="-2"/>
          <w:sz w:val="20"/>
          <w:szCs w:val="20"/>
          <w:lang w:val="en-GB"/>
        </w:rPr>
        <w:fldChar w:fldCharType="separate"/>
      </w:r>
      <w:r w:rsidRPr="00B77BD6">
        <w:rPr>
          <w:rFonts w:ascii="Times New Roman" w:eastAsia="SimSun" w:hAnsi="Times New Roman"/>
          <w:noProof/>
          <w:spacing w:val="-2"/>
          <w:sz w:val="20"/>
          <w:szCs w:val="20"/>
          <w:lang w:val="en-GB"/>
        </w:rPr>
        <w:t>23</w:t>
      </w:r>
      <w:r w:rsidRPr="00B77BD6">
        <w:rPr>
          <w:rFonts w:ascii="Times New Roman" w:eastAsia="SimSun" w:hAnsi="Times New Roman"/>
          <w:spacing w:val="-2"/>
          <w:sz w:val="20"/>
          <w:szCs w:val="20"/>
          <w:lang w:val="en-GB"/>
        </w:rPr>
        <w:fldChar w:fldCharType="end"/>
      </w:r>
      <w:r w:rsidRPr="00B77BD6">
        <w:rPr>
          <w:rFonts w:ascii="Times New Roman" w:eastAsia="SimSun" w:hAnsi="Times New Roman"/>
          <w:spacing w:val="-2"/>
          <w:sz w:val="20"/>
          <w:szCs w:val="20"/>
          <w:lang w:val="en-GB"/>
        </w:rPr>
        <w:t xml:space="preserve">, </w:t>
      </w:r>
      <w:r w:rsidRPr="00B77BD6">
        <w:rPr>
          <w:rFonts w:ascii="Times New Roman" w:eastAsia="SimSun" w:hAnsi="Times New Roman"/>
          <w:spacing w:val="-2"/>
          <w:sz w:val="20"/>
          <w:szCs w:val="20"/>
          <w:lang w:val="en-GB"/>
        </w:rPr>
        <w:fldChar w:fldCharType="begin" w:fldLock="1"/>
      </w:r>
      <w:r w:rsidRPr="00B77BD6">
        <w:rPr>
          <w:rFonts w:ascii="Times New Roman" w:eastAsia="SimSun" w:hAnsi="Times New Roman"/>
          <w:spacing w:val="-2"/>
          <w:sz w:val="20"/>
          <w:szCs w:val="20"/>
          <w:lang w:val="en-GB"/>
        </w:rPr>
        <w:instrText>ADDIN CSL_CITATION { "citationItems" : [ { "id" : "ITEM-1", "itemData" : { "DOI" : "10.1046/j.1529-8817.2001.01004.x", "ISBN" : "1529-8817", "ISSN" : "00223646", "abstract" : "Coccoid green algae of the Selenastraceae were investigated by means of light microscopy, TEM, and 18S rRNA analyses to evaluate the generic concept in this family. Phylogenetic trees inferred from the 18S rRNA gene sequences showed that the studied species of autosporic Selenastraceae formed a well-resolved monophyletic clade within the DO group of Chlorophyceae. Several morphological characteristics that are traditionally used as generic features were investigated, especially the arrangement of autospores in the mother cells, colony formation, and pyrenoid structure. The parallel arrangement of autospores was confirmed for the genera Ankistrodesmus, Podohedriella, and Quadrigula. In mother cells of Monoraphidium and Kirchneriella, the autospores were arranged serially. Colony formation was either stable (Quadrigula) or variable (Ankistrodesmus, Podohedriella) within genera. All strains studied possessed naked or starch-covered pyrenoids within the chloroplast. The pyrenoid matrix was homogenous or penetrated by thylakoids. In contrast to considerations of traditional systematics, the present study showed that the presence and structure of pyrenoids are unsuitable for differentiation of genera in Selenastraceae. Furthermore, the molecular analyses showed that any morphological criterion considered so far is not significant for the systematics of the Selenastraceae on the generic level. Species assigned to different genera such as Ankistrodesmus and Monoraphidium were not monophyletic and therefore not distinguishable as separate genera. Species of Monoraphidium appeared in four different lineages of the Selenastraceae. Our phylogenetic analyses support earlier discussions to abandon the common practice of conceiving \u201csmall\u201d genera (i.e. genera that are differentiated from other genera by only a few diacritic characteristics and that contain only a small number of species) and to reestablish \u201clarge\u201d genera of Selenastraceae such as Ankistrodesmus.", "author" : [ { "dropping-particle" : "", "family" : "Krienitz", "given" : "Lothar", "non-dropping-particle" : "", "parse-names" : false, "suffix" : "" }, { "dropping-particle" : "", "family" : "Ustinova", "given" : "Iana", "non-dropping-particle" : "", "parse-names" : false, "suffix" : "" }, { "dropping-particle" : "", "family" : "Friedl", "given" : "Thomas", "non-dropping-particle" : "", "parse-names" : false, "suffix" : "" }, { "dropping-particle" : "", "family" : "Huss", "given" : "V. a R", "non-dropping-particle" : "", "parse-names" : false, "suffix" : "" } ], "container-title" : "Journal of Phycology", "id" : "ITEM-1", "issue" : "5", "issued" : { "date-parts" : [ [ "2001" ] ] }, "page" : "852-865", "title" : "Traditional generic concepts versus 18S rRNA gene phylogeny in the green algal family Selenastraceae (Chlorophyceae, Chlorophyta)", "type" : "article-journal", "volume" : "37" }, "uris" : [ "http://www.mendeley.com/documents/?uuid=3c7f0864-2eac-45c8-85df-781821cf38fe" ] } ], "mendeley" : { "formattedCitation" : "&lt;sup&gt;24&lt;/sup&gt;", "plainTextFormattedCitation" : "24", "previouslyFormattedCitation" : "&lt;sup&gt;24&lt;/sup&gt;" }, "properties" : { "noteIndex" : 0 }, "schema" : "https://github.com/citation-style-language/schema/raw/master/csl-citation.json" }</w:instrText>
      </w:r>
      <w:r w:rsidRPr="00B77BD6">
        <w:rPr>
          <w:rFonts w:ascii="Times New Roman" w:eastAsia="SimSun" w:hAnsi="Times New Roman"/>
          <w:spacing w:val="-2"/>
          <w:sz w:val="20"/>
          <w:szCs w:val="20"/>
          <w:lang w:val="en-GB"/>
        </w:rPr>
        <w:fldChar w:fldCharType="separate"/>
      </w:r>
      <w:r w:rsidRPr="00B77BD6">
        <w:rPr>
          <w:rFonts w:ascii="Times New Roman" w:eastAsia="SimSun" w:hAnsi="Times New Roman"/>
          <w:noProof/>
          <w:spacing w:val="-2"/>
          <w:sz w:val="20"/>
          <w:szCs w:val="20"/>
          <w:lang w:val="en-GB"/>
        </w:rPr>
        <w:t>24</w:t>
      </w:r>
      <w:r w:rsidRPr="00B77BD6">
        <w:rPr>
          <w:rFonts w:ascii="Times New Roman" w:eastAsia="SimSun" w:hAnsi="Times New Roman"/>
          <w:spacing w:val="-2"/>
          <w:sz w:val="20"/>
          <w:szCs w:val="20"/>
          <w:lang w:val="en-GB"/>
        </w:rPr>
        <w:fldChar w:fldCharType="end"/>
      </w:r>
      <w:r w:rsidRPr="00B77BD6">
        <w:rPr>
          <w:rFonts w:ascii="Times New Roman" w:eastAsia="SimSun" w:hAnsi="Times New Roman"/>
          <w:spacing w:val="-2"/>
          <w:sz w:val="20"/>
          <w:szCs w:val="20"/>
          <w:lang w:val="en-GB"/>
        </w:rPr>
        <w:t xml:space="preserve">]. The primer was design by FirstBase Sdn Bhd. </w:t>
      </w:r>
      <w:r w:rsidRPr="00B77BD6">
        <w:rPr>
          <w:rFonts w:ascii="Times New Roman" w:hAnsi="Times New Roman"/>
          <w:spacing w:val="-2"/>
          <w:sz w:val="20"/>
          <w:szCs w:val="20"/>
          <w:lang w:val="en-GB"/>
        </w:rPr>
        <w:t>Purified and single cultured microalgae from the coal-fired power plant were further identified using molecular identification.</w:t>
      </w:r>
    </w:p>
    <w:p w:rsidR="00B77BD6" w:rsidRPr="00B77BD6" w:rsidRDefault="00B77BD6" w:rsidP="00B77BD6">
      <w:pPr>
        <w:spacing w:after="0" w:line="240" w:lineRule="auto"/>
        <w:ind w:right="27"/>
        <w:jc w:val="both"/>
        <w:rPr>
          <w:rFonts w:ascii="Times New Roman" w:hAnsi="Times New Roman"/>
          <w:spacing w:val="-2"/>
          <w:sz w:val="20"/>
          <w:szCs w:val="20"/>
          <w:lang w:val="en-GB"/>
        </w:rPr>
      </w:pP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r w:rsidRPr="00B77BD6">
        <w:rPr>
          <w:rFonts w:ascii="Times New Roman" w:hAnsi="Times New Roman"/>
          <w:spacing w:val="-2"/>
          <w:sz w:val="20"/>
          <w:szCs w:val="20"/>
          <w:lang w:val="en-GB"/>
        </w:rPr>
        <w:t>PCR products were sequenced by Life Technologies (China). The sequenced products were compared with NCBI data bank using the BLAST Program. (NCBI BLAST, USA). Top ten similar results were achieved and compared for the similarity in the percentage value.</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p>
    <w:p w:rsidR="00B77BD6" w:rsidRPr="00B77BD6" w:rsidRDefault="00B77BD6" w:rsidP="00B77BD6">
      <w:pPr>
        <w:spacing w:after="0" w:line="240" w:lineRule="auto"/>
        <w:ind w:right="27"/>
        <w:jc w:val="both"/>
        <w:rPr>
          <w:rFonts w:ascii="Times New Roman" w:eastAsia="SimSun" w:hAnsi="Times New Roman"/>
          <w:b/>
          <w:spacing w:val="-2"/>
          <w:sz w:val="20"/>
          <w:szCs w:val="20"/>
          <w:lang w:val="en-GB"/>
        </w:rPr>
      </w:pPr>
      <w:r w:rsidRPr="00B77BD6">
        <w:rPr>
          <w:rFonts w:ascii="Times New Roman" w:eastAsia="SimSun" w:hAnsi="Times New Roman"/>
          <w:b/>
          <w:spacing w:val="-2"/>
          <w:sz w:val="20"/>
          <w:szCs w:val="20"/>
          <w:lang w:val="en-GB"/>
        </w:rPr>
        <w:t>Carbon dioxide sequestration</w:t>
      </w: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Single/Pure strain of microalgae were then cultivated in 2L Schott Duran Bottle with 3 outlets on the top of the cap; 1) used for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sparging inlet point, 2) used for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sampling outlet, 3) used for secondary outlet as shown in Figure 1. Different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concentration at ambient air condition, 1%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and 5% CO</w:t>
      </w:r>
      <w:r w:rsidRPr="00B77BD6">
        <w:rPr>
          <w:rFonts w:ascii="Times New Roman" w:hAnsi="Times New Roman"/>
          <w:spacing w:val="-2"/>
          <w:sz w:val="20"/>
          <w:szCs w:val="20"/>
          <w:vertAlign w:val="subscript"/>
          <w:lang w:val="en-GB"/>
        </w:rPr>
        <w:t xml:space="preserve">2 </w:t>
      </w:r>
      <w:r w:rsidRPr="00B77BD6">
        <w:rPr>
          <w:rFonts w:ascii="Times New Roman" w:hAnsi="Times New Roman"/>
          <w:spacing w:val="-2"/>
          <w:sz w:val="20"/>
          <w:szCs w:val="20"/>
          <w:lang w:val="en-GB"/>
        </w:rPr>
        <w:t>were tested to determine the preliminary result for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sequestration rate.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analyzer (Quantek, Model902D) was used in this run where infra-red sensor read the CO</w:t>
      </w:r>
      <w:r w:rsidRPr="00B77BD6">
        <w:rPr>
          <w:rFonts w:ascii="Times New Roman" w:hAnsi="Times New Roman"/>
          <w:spacing w:val="-2"/>
          <w:sz w:val="20"/>
          <w:szCs w:val="20"/>
          <w:vertAlign w:val="subscript"/>
          <w:lang w:val="en-GB"/>
        </w:rPr>
        <w:t>2</w:t>
      </w:r>
      <w:r w:rsidRPr="00B77BD6">
        <w:rPr>
          <w:rFonts w:ascii="Times New Roman" w:hAnsi="Times New Roman"/>
          <w:spacing w:val="-2"/>
          <w:sz w:val="20"/>
          <w:szCs w:val="20"/>
          <w:lang w:val="en-GB"/>
        </w:rPr>
        <w:t xml:space="preserve"> concentration continuously. Continuous data were collected using data logger.</w:t>
      </w:r>
    </w:p>
    <w:p w:rsid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spacing w:after="0" w:line="240" w:lineRule="auto"/>
        <w:jc w:val="center"/>
        <w:rPr>
          <w:rFonts w:ascii="Times New Roman" w:hAnsi="Times New Roman"/>
          <w:spacing w:val="-2"/>
          <w:sz w:val="20"/>
          <w:szCs w:val="20"/>
          <w:lang w:val="en-GB"/>
        </w:rPr>
      </w:pPr>
      <w:r w:rsidRPr="00B77BD6">
        <w:rPr>
          <w:rFonts w:ascii="Times New Roman" w:hAnsi="Times New Roman"/>
          <w:noProof/>
          <w:spacing w:val="-2"/>
          <w:sz w:val="20"/>
          <w:szCs w:val="20"/>
          <w:lang w:bidi="ar-SA"/>
        </w:rPr>
        <w:drawing>
          <wp:inline distT="0" distB="0" distL="0" distR="0" wp14:anchorId="37A9913E" wp14:editId="7F35CB97">
            <wp:extent cx="2381250" cy="1701800"/>
            <wp:effectExtent l="19050" t="19050" r="19050" b="12700"/>
            <wp:docPr id="2" name="Picture 2" descr="picture for som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for somch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701800"/>
                    </a:xfrm>
                    <a:prstGeom prst="rect">
                      <a:avLst/>
                    </a:prstGeom>
                    <a:noFill/>
                    <a:ln w="6350" cmpd="sng">
                      <a:solidFill>
                        <a:srgbClr val="000000"/>
                      </a:solidFill>
                      <a:miter lim="800000"/>
                      <a:headEnd/>
                      <a:tailEnd/>
                    </a:ln>
                    <a:effectLst/>
                  </pic:spPr>
                </pic:pic>
              </a:graphicData>
            </a:graphic>
          </wp:inline>
        </w:drawing>
      </w:r>
    </w:p>
    <w:p w:rsidR="00B77BD6" w:rsidRPr="00B77BD6" w:rsidRDefault="00B77BD6" w:rsidP="00B77BD6">
      <w:pPr>
        <w:spacing w:after="0" w:line="240" w:lineRule="auto"/>
        <w:ind w:firstLine="450"/>
        <w:jc w:val="both"/>
        <w:rPr>
          <w:rFonts w:ascii="Times New Roman" w:hAnsi="Times New Roman"/>
          <w:spacing w:val="-2"/>
          <w:sz w:val="20"/>
          <w:szCs w:val="20"/>
          <w:lang w:val="en-GB"/>
        </w:rPr>
      </w:pPr>
    </w:p>
    <w:p w:rsidR="00B77BD6" w:rsidRPr="00B77BD6" w:rsidRDefault="00B77BD6" w:rsidP="006433EA">
      <w:pPr>
        <w:pStyle w:val="JESTECAbstract"/>
        <w:spacing w:before="0"/>
        <w:ind w:left="851" w:right="-29" w:hanging="851"/>
        <w:rPr>
          <w:spacing w:val="-2"/>
          <w:sz w:val="20"/>
          <w:szCs w:val="20"/>
        </w:rPr>
      </w:pPr>
      <w:r w:rsidRPr="00B77BD6">
        <w:rPr>
          <w:spacing w:val="-2"/>
          <w:sz w:val="20"/>
          <w:szCs w:val="20"/>
        </w:rPr>
        <w:t xml:space="preserve">Figure 1. </w:t>
      </w:r>
      <w:r>
        <w:rPr>
          <w:spacing w:val="-2"/>
          <w:sz w:val="20"/>
          <w:szCs w:val="20"/>
        </w:rPr>
        <w:tab/>
      </w:r>
      <w:r w:rsidRPr="00B77BD6">
        <w:rPr>
          <w:spacing w:val="-2"/>
          <w:sz w:val="20"/>
          <w:szCs w:val="20"/>
        </w:rPr>
        <w:t>Schematic of cultivation in 2L Schott Duran for CO</w:t>
      </w:r>
      <w:r w:rsidRPr="00B77BD6">
        <w:rPr>
          <w:spacing w:val="-2"/>
          <w:sz w:val="20"/>
          <w:szCs w:val="20"/>
          <w:vertAlign w:val="subscript"/>
        </w:rPr>
        <w:t>2</w:t>
      </w:r>
      <w:r w:rsidRPr="00B77BD6">
        <w:rPr>
          <w:spacing w:val="-2"/>
          <w:sz w:val="20"/>
          <w:szCs w:val="20"/>
        </w:rPr>
        <w:t xml:space="preserve"> sequestration experiments; 1) air outlet, 2) gas mixing system inlet and 3) CO</w:t>
      </w:r>
      <w:r w:rsidRPr="00B77BD6">
        <w:rPr>
          <w:spacing w:val="-2"/>
          <w:sz w:val="20"/>
          <w:szCs w:val="20"/>
          <w:vertAlign w:val="subscript"/>
        </w:rPr>
        <w:t>2</w:t>
      </w:r>
      <w:r w:rsidRPr="00B77BD6">
        <w:rPr>
          <w:spacing w:val="-2"/>
          <w:sz w:val="20"/>
          <w:szCs w:val="20"/>
        </w:rPr>
        <w:t xml:space="preserve"> analyzer outlet</w:t>
      </w:r>
    </w:p>
    <w:p w:rsidR="006768E9" w:rsidRDefault="006768E9" w:rsidP="00B77BD6">
      <w:pPr>
        <w:spacing w:after="0" w:line="240" w:lineRule="auto"/>
        <w:jc w:val="center"/>
        <w:rPr>
          <w:rFonts w:ascii="Times New Roman" w:hAnsi="Times New Roman"/>
          <w:noProof/>
          <w:sz w:val="20"/>
          <w:szCs w:val="20"/>
          <w:lang w:bidi="ar-SA"/>
        </w:rPr>
      </w:pPr>
    </w:p>
    <w:p w:rsidR="00B77BD6" w:rsidRPr="00F447A7" w:rsidRDefault="00B77BD6" w:rsidP="00B77BD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77BD6" w:rsidRPr="00B77BD6" w:rsidRDefault="00B77BD6" w:rsidP="00B77BD6">
      <w:pPr>
        <w:spacing w:after="0" w:line="240" w:lineRule="auto"/>
        <w:ind w:right="27"/>
        <w:jc w:val="both"/>
        <w:rPr>
          <w:rFonts w:ascii="Times New Roman" w:eastAsia="SimSun" w:hAnsi="Times New Roman"/>
          <w:b/>
          <w:spacing w:val="-2"/>
          <w:sz w:val="20"/>
          <w:szCs w:val="20"/>
          <w:lang w:val="en-GB"/>
        </w:rPr>
      </w:pPr>
      <w:r w:rsidRPr="00B77BD6">
        <w:rPr>
          <w:rFonts w:ascii="Times New Roman" w:eastAsia="SimSun" w:hAnsi="Times New Roman"/>
          <w:b/>
          <w:spacing w:val="-2"/>
          <w:sz w:val="20"/>
          <w:szCs w:val="20"/>
          <w:lang w:val="en-GB"/>
        </w:rPr>
        <w:t>Isolation of microalgae</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r w:rsidRPr="00B77BD6">
        <w:rPr>
          <w:rFonts w:ascii="Times New Roman" w:eastAsia="SimSun" w:hAnsi="Times New Roman"/>
          <w:spacing w:val="-2"/>
          <w:sz w:val="20"/>
          <w:szCs w:val="20"/>
          <w:lang w:val="en-GB"/>
        </w:rPr>
        <w:t xml:space="preserve">The samples that were collected have a pH ranging around 7.0 to 8.5. This alkalinity can be explained due to the sample of the water; usage water containing isolated microalgae source was used as a cooling water for the coal-fired power plant which ash from the burning coal contribute to this phenomena </w:t>
      </w:r>
      <w:r w:rsidRPr="00B77BD6">
        <w:rPr>
          <w:rFonts w:ascii="Times New Roman" w:eastAsia="SimSun" w:hAnsi="Times New Roman"/>
          <w:spacing w:val="-2"/>
          <w:sz w:val="20"/>
          <w:szCs w:val="20"/>
          <w:lang w:val="en-GB"/>
        </w:rPr>
        <w:fldChar w:fldCharType="begin" w:fldLock="1"/>
      </w:r>
      <w:r w:rsidRPr="00B77BD6">
        <w:rPr>
          <w:rFonts w:ascii="Times New Roman" w:eastAsia="SimSun" w:hAnsi="Times New Roman"/>
          <w:spacing w:val="-2"/>
          <w:sz w:val="20"/>
          <w:szCs w:val="20"/>
          <w:lang w:val="en-GB"/>
        </w:rPr>
        <w:instrText>ADDIN CSL_CITATION { "citationItems" : [ { "id" : "ITEM-1", "itemData" : { "DOI" : "10.1016/j.egypro.2011.02.002", "ISSN" : "18766102", "abstract" : "A chemical absorption using three different solvent blends based on piperazine promoted potassium carbonate has been conducted with the simulation program Aspen Plus. In addition, a coal-fired power plant has been modelled in EbsilonProfessional. Different operating conditions within the system were considered for sensitivity analyses. These include the variation of: Initial solvent lean loading, two temperature approaches within cross heat exchanger and desorber pressure. Representative results helped to determine dependencies within the scrubbing process that directly affect a power plant.", "author" : [ { "dropping-particle" : "", "family" : "Heischkamp", "given" : "Elizabeth", "non-dropping-particle" : "", "parse-names" : false, "suffix" : "" }, { "dropping-particle" : "", "family" : "Varlik", "given" : "Muzaffer", "non-dropping-particle" : "", "parse-names" : false, "suffix" : "" }, { "dropping-particle" : "", "family" : "Korkmaz", "given" : "\u00d6zg\u00fcr", "non-dropping-particle" : "", "parse-names" : false, "suffix" : "" }, { "dropping-particle" : "", "family" : "Oeljeklaus", "given" : "Gerd", "non-dropping-particle" : "", "parse-names" : false, "suffix" : "" }, { "dropping-particle" : "", "family" : "G\u00f6rner", "given" : "Klaus", "non-dropping-particle" : "", "parse-names" : false, "suffix" : "" } ], "container-title" : "Energy Procedia", "id" : "ITEM-1", "issued" : { "date-parts" : [ [ "2011" ] ] }, "page" : "1377-1384", "title" : "Analysis of operating conditions of a flue gas scrubbing process for CO2 separation in a coal-fired power plant", "type" : "article-journal", "volume" : "4" }, "uris" : [ "http://www.mendeley.com/documents/?uuid=ab3473b5-184d-4046-a89d-fd17197acedf" ] }, { "id" : "ITEM-2", "itemData" : { "DOI" : "10.1016/j.rser.2014.05.048", "ISSN" : "13640321", "abstract" : "With the deepening of carbon capture research using ammonia solution, CO2 disposal problem after carbon capture has become an important limiting factor affecting the industrial applications of carbon capture technology. It can be seen that CO2 not only controls as a greenhouse gas, but also it is a valuable carbon resource at the same time, CO2 resource recycling has a very good market prospects in near future. Two viable paths for CO2 resource utilization based on carbon capture using ammonia solution are divided in the paper. One path is regenerative resource utilization, i.e., rich liquid regenerates after the decarbonization reaction; the desorbed CO2 is sequestrated under geological layer or reused in other fields. Another path is transformed resource utilization; flue gas decarbonization combines with chemical production, and the ingredients produced from the reaction of ammonia with CO2 are transformed, carbon is fixed into nitrogen fertilizer or other chemical products, such as soda. The existing problems and the economic performance of CO2 resource utilization in power plants were reviewed in the paper. CO2 resource utilization based on carbon capture using ammonia solution is beneficial to the carbon emission reduction in coal-fired power plants; especially transformed resource utilization has economic advantage and good application prospects.", "author" : [ { "dropping-particle" : "", "family" : "Ma", "given" : "Shuangchen", "non-dropping-particle" : "", "parse-names" : false, "suffix" : "" }, { "dropping-particle" : "", "family" : "Chen", "given" : "Gongda", "non-dropping-particle" : "", "parse-names" : false, "suffix" : "" }, { "dropping-particle" : "", "family" : "Guo", "given" : "Meng", "non-dropping-particle" : "", "parse-names" : false, "suffix" : "" }, { "dropping-particle" : "", "family" : "Zhao", "given" : "Li", "non-dropping-particle" : "", "parse-names" : false, "suffix" : "" }, { "dropping-particle" : "", "family" : "Han", "given" : "Tinting", "non-dropping-particle" : "", "parse-names" : false, "suffix" : "" }, { "dropping-particle" : "", "family" : "Zhu", "given" : "Sijie", "non-dropping-particle" : "", "parse-names" : false, "suffix" : "" } ], "container-title" : "Renewable and Sustainable Energy Reviews", "id" : "ITEM-2", "issued" : { "date-parts" : [ [ "2014", "9" ] ] }, "page" : "687-697", "title" : "Path analysis on CO2 resource utilization based on carbon capture using ammonia method in coal-fired power Plants", "type" : "article-journal", "volume" : "37" }, "uris" : [ "http://www.mendeley.com/documents/?uuid=d0e8b09e-c68d-4d51-a9c0-dc360c5c7313" ] } ], "mendeley" : { "formattedCitation" : "&lt;sup&gt;25,26&lt;/sup&gt;", "manualFormatting" : "[25,26]", "plainTextFormattedCitation" : "25,26", "previouslyFormattedCitation" : "&lt;sup&gt;25,26&lt;/sup&gt;" }, "properties" : { "noteIndex" : 0 }, "schema" : "https://github.com/citation-style-language/schema/raw/master/csl-citation.json" }</w:instrText>
      </w:r>
      <w:r w:rsidRPr="00B77BD6">
        <w:rPr>
          <w:rFonts w:ascii="Times New Roman" w:eastAsia="SimSun" w:hAnsi="Times New Roman"/>
          <w:spacing w:val="-2"/>
          <w:sz w:val="20"/>
          <w:szCs w:val="20"/>
          <w:lang w:val="en-GB"/>
        </w:rPr>
        <w:fldChar w:fldCharType="separate"/>
      </w:r>
      <w:r w:rsidRPr="00B77BD6">
        <w:rPr>
          <w:rFonts w:ascii="Times New Roman" w:eastAsia="SimSun" w:hAnsi="Times New Roman"/>
          <w:noProof/>
          <w:spacing w:val="-2"/>
          <w:sz w:val="20"/>
          <w:szCs w:val="20"/>
          <w:lang w:val="en-GB"/>
        </w:rPr>
        <w:t>[25, 26]</w:t>
      </w:r>
      <w:r w:rsidRPr="00B77BD6">
        <w:rPr>
          <w:rFonts w:ascii="Times New Roman" w:eastAsia="SimSun" w:hAnsi="Times New Roman"/>
          <w:spacing w:val="-2"/>
          <w:sz w:val="20"/>
          <w:szCs w:val="20"/>
          <w:lang w:val="en-GB"/>
        </w:rPr>
        <w:fldChar w:fldCharType="end"/>
      </w:r>
      <w:r w:rsidRPr="00B77BD6">
        <w:rPr>
          <w:rFonts w:ascii="Times New Roman" w:eastAsia="SimSun" w:hAnsi="Times New Roman"/>
          <w:spacing w:val="-2"/>
          <w:sz w:val="20"/>
          <w:szCs w:val="20"/>
          <w:lang w:val="en-GB"/>
        </w:rPr>
        <w:t>.</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r w:rsidRPr="00B77BD6">
        <w:rPr>
          <w:rFonts w:ascii="Times New Roman" w:hAnsi="Times New Roman"/>
          <w:spacing w:val="-2"/>
          <w:sz w:val="20"/>
          <w:szCs w:val="20"/>
          <w:lang w:val="en-GB"/>
        </w:rPr>
        <w:t>Isolation process of microalgae with both liquid medium and 1.25% agar plate showed that microalgae only survived in the F/2 Medium and TNBR medium. Isolation using BBM in liquid medium and agar plate showed lower growth in liquid medium cultivation, while in agar plate there was no colony detected. This can be explained due to higher salinity of F/2 medium and TNBR medium which both used artificial seawater as a component of the medium, while BBM has much lower salinity [</w:t>
      </w:r>
      <w:r w:rsidRPr="00B77BD6">
        <w:rPr>
          <w:rFonts w:ascii="Times New Roman" w:hAnsi="Times New Roman"/>
          <w:spacing w:val="-2"/>
          <w:sz w:val="20"/>
          <w:szCs w:val="20"/>
          <w:lang w:val="en-GB"/>
        </w:rPr>
        <w:fldChar w:fldCharType="begin" w:fldLock="1"/>
      </w:r>
      <w:r w:rsidRPr="00B77BD6">
        <w:rPr>
          <w:rFonts w:ascii="Times New Roman" w:hAnsi="Times New Roman"/>
          <w:spacing w:val="-2"/>
          <w:sz w:val="20"/>
          <w:szCs w:val="20"/>
          <w:lang w:val="en-GB"/>
        </w:rPr>
        <w:instrText>ADDIN CSL_CITATION { "citationItems" : [ { "id" : "ITEM-1", "itemData" : { "DOI" : "10.1016/j.biortech.2015.06.050", "ISSN" : "09608524", "abstract" : "Chlorella vulgaris, a marine microalgae strain adaptable to 0\u201350gL\u22121 of salinity, was selected for studying the coupling system of saline wastewater treatment and lipid accumulation. The effect of total nitrogen (TN) concentration was investigated on algal growth, nutrients removal as well as lipid accumulation. The removal efficiencies of TN and total phosphorus (TP) were found to be 92.2\u201396.6% and over 99%, respectively, after a batch cultivation of 20days. To illustrate the response of lipid accumulation to nutrients removal, C. vulgaris was further cultivated in the recycling experiment of tidal saline water within the photobioreactor. The lipid accumulation was triggered upon the almost depletion of nitrate (&lt;5mgL\u22121), till the final highest lipid content of 40%. The nitrogen conversion in the sequence of nitrate, nitrite, and then to ammonium in the effluents was finally integrated with previous discussions on metabolic pathways of algal cell under nitrogen deficiency.", "author" : [ { "dropping-particle" : "", "family" : "Shen", "given" : "Qiao-Hui", "non-dropping-particle" : "", "parse-names" : false, "suffix" : "" }, { "dropping-particle" : "", "family" : "Gong", "given" : "Yu-Peng", "non-dropping-particle" : "", "parse-names" : false, "suffix" : "" }, { "dropping-particle" : "", "family" : "Fang", "given" : "Wen-Zhe", "non-dropping-particle" : "", "parse-names" : false, "suffix" : "" }, { "dropping-particle" : "", "family" : "Bi", "given" : "Zi-Cheng", "non-dropping-particle" : "", "parse-names" : false, "suffix" : "" }, { "dropping-particle" : "", "family" : "Cheng", "given" : "Li-Hua", "non-dropping-particle" : "", "parse-names" : false, "suffix" : "" }, { "dropping-particle" : "", "family" : "Xu", "given" : "Xin-Hua", "non-dropping-particle" : "", "parse-names" : false, "suffix" : "" }, { "dropping-particle" : "", "family" : "Chen", "given" : "Huan-Lin", "non-dropping-particle" : "", "parse-names" : false, "suffix" : "" } ], "container-title" : "Bioresource Technology", "id" : "ITEM-1", "issued" : { "date-parts" : [ [ "2015", "6" ] ] }, "page" : "68-75", "title" : "Saline wastewater treatment by Chlorella vulgaris with simultaneous algal lipid accumulation triggered by nitrate deficiency", "type" : "article-journal", "volume" : "193" }, "uris" : [ "http://www.mendeley.com/documents/?uuid=6b67ef63-0624-48a8-92df-b64c1bc79a07" ] } ], "mendeley" : { "formattedCitation" : "&lt;sup&gt;27&lt;/sup&gt;", "plainTextFormattedCitation" : "27", "previouslyFormattedCitation" : "&lt;sup&gt;27&lt;/sup&gt;" }, "properties" : { "noteIndex" : 0 }, "schema" : "https://github.com/citation-style-language/schema/raw/master/csl-citation.json" }</w:instrText>
      </w:r>
      <w:r w:rsidRPr="00B77BD6">
        <w:rPr>
          <w:rFonts w:ascii="Times New Roman" w:hAnsi="Times New Roman"/>
          <w:spacing w:val="-2"/>
          <w:sz w:val="20"/>
          <w:szCs w:val="20"/>
          <w:lang w:val="en-GB"/>
        </w:rPr>
        <w:fldChar w:fldCharType="separate"/>
      </w:r>
      <w:r w:rsidRPr="00B77BD6">
        <w:rPr>
          <w:rFonts w:ascii="Times New Roman" w:hAnsi="Times New Roman"/>
          <w:spacing w:val="-2"/>
          <w:sz w:val="20"/>
          <w:szCs w:val="20"/>
          <w:lang w:val="en-GB"/>
        </w:rPr>
        <w:t>27</w:t>
      </w:r>
      <w:r w:rsidRPr="00B77BD6">
        <w:rPr>
          <w:rFonts w:ascii="Times New Roman" w:hAnsi="Times New Roman"/>
          <w:spacing w:val="-2"/>
          <w:sz w:val="20"/>
          <w:szCs w:val="20"/>
          <w:lang w:val="en-GB"/>
        </w:rPr>
        <w:fldChar w:fldCharType="end"/>
      </w:r>
      <w:r w:rsidRPr="00B77BD6">
        <w:rPr>
          <w:rFonts w:ascii="Times New Roman" w:hAnsi="Times New Roman"/>
          <w:spacing w:val="-2"/>
          <w:sz w:val="20"/>
          <w:szCs w:val="20"/>
          <w:lang w:val="en-GB"/>
        </w:rPr>
        <w:t xml:space="preserve">].  Microalgae which has been collected from the source has been exposed and acclimatized to the higher salinity environment for long period of time. From this finding, it can be determined that F/2 medium and TNBR medium is the most suitable medium compare to BBM. Thus, only F/2 medium and TNBR medium was chosen for the next experiment on purification and identification process.  Besides sea water as the main </w:t>
      </w:r>
      <w:r w:rsidRPr="00B77BD6">
        <w:rPr>
          <w:rFonts w:ascii="Times New Roman" w:hAnsi="Times New Roman"/>
          <w:spacing w:val="-2"/>
          <w:sz w:val="20"/>
          <w:szCs w:val="20"/>
          <w:lang w:val="en-GB"/>
        </w:rPr>
        <w:lastRenderedPageBreak/>
        <w:t>factor for higher salinity, higher alkalinity of the water at the source of isolation place was effected by the ash produced by the coal-fired power plant. Result also showed that at pH more than 7, isolated microalgae start to pick up the higher phase of growth.</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p>
    <w:p w:rsidR="00B77BD6" w:rsidRPr="00B77BD6" w:rsidRDefault="00B77BD6" w:rsidP="00B77BD6">
      <w:pPr>
        <w:spacing w:after="0" w:line="240" w:lineRule="auto"/>
        <w:ind w:right="27"/>
        <w:jc w:val="both"/>
        <w:rPr>
          <w:rFonts w:ascii="Times New Roman" w:eastAsia="SimSun" w:hAnsi="Times New Roman"/>
          <w:b/>
          <w:spacing w:val="-2"/>
          <w:sz w:val="20"/>
          <w:szCs w:val="20"/>
          <w:lang w:val="en-GB"/>
        </w:rPr>
      </w:pPr>
      <w:r w:rsidRPr="00B77BD6">
        <w:rPr>
          <w:rFonts w:ascii="Times New Roman" w:eastAsia="SimSun" w:hAnsi="Times New Roman"/>
          <w:b/>
          <w:spacing w:val="-2"/>
          <w:sz w:val="20"/>
          <w:szCs w:val="20"/>
          <w:lang w:val="en-GB"/>
        </w:rPr>
        <w:t>Cultivation and morphological identification of microalgae</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r w:rsidRPr="00B77BD6">
        <w:rPr>
          <w:rFonts w:ascii="Times New Roman" w:eastAsia="SimSun" w:hAnsi="Times New Roman"/>
          <w:spacing w:val="-2"/>
          <w:sz w:val="20"/>
          <w:szCs w:val="20"/>
          <w:lang w:val="en-GB"/>
        </w:rPr>
        <w:t>Isolated and purified microalgae were cultivated in F/2 medium and TNBR medium. Growth profiles of the microalgae were determined by biomass accumulation in both F/2 and TNBR medium. Figure 2 showed the growth curve of isolated microalgae in TNBR medium (ambient air, 1% and 5% CO</w:t>
      </w:r>
      <w:r w:rsidRPr="00B77BD6">
        <w:rPr>
          <w:rFonts w:ascii="Times New Roman" w:eastAsia="SimSun" w:hAnsi="Times New Roman"/>
          <w:spacing w:val="-2"/>
          <w:sz w:val="20"/>
          <w:szCs w:val="20"/>
          <w:vertAlign w:val="subscript"/>
          <w:lang w:val="en-GB"/>
        </w:rPr>
        <w:t>2</w:t>
      </w:r>
      <w:r w:rsidRPr="00B77BD6">
        <w:rPr>
          <w:rFonts w:ascii="Times New Roman" w:eastAsia="SimSun" w:hAnsi="Times New Roman"/>
          <w:spacing w:val="-2"/>
          <w:sz w:val="20"/>
          <w:szCs w:val="20"/>
          <w:lang w:val="en-GB"/>
        </w:rPr>
        <w:t>) and Figure 3 showed the growth curve of isolated in F/2 medium (ambient air and 5% CO</w:t>
      </w:r>
      <w:r w:rsidRPr="00B77BD6">
        <w:rPr>
          <w:rFonts w:ascii="Times New Roman" w:eastAsia="SimSun" w:hAnsi="Times New Roman"/>
          <w:spacing w:val="-2"/>
          <w:sz w:val="20"/>
          <w:szCs w:val="20"/>
          <w:vertAlign w:val="subscript"/>
          <w:lang w:val="en-GB"/>
        </w:rPr>
        <w:t>2</w:t>
      </w:r>
      <w:r w:rsidRPr="00B77BD6">
        <w:rPr>
          <w:rFonts w:ascii="Times New Roman" w:eastAsia="SimSun" w:hAnsi="Times New Roman"/>
          <w:spacing w:val="-2"/>
          <w:sz w:val="20"/>
          <w:szCs w:val="20"/>
          <w:lang w:val="en-GB"/>
        </w:rPr>
        <w:t>). From the growth profile, the specific maximum growth rate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of each cultivation was determined by using MathLab 9.0 version software. Logistic model was used for the curve fitting in for the microalgae growth curve. Population and productivity of microalgae has been widely using Logistic Model for curve fitting since the Logistic equation often represent growth data better than the exponential one [</w:t>
      </w:r>
      <w:r w:rsidRPr="00B77BD6">
        <w:rPr>
          <w:rFonts w:ascii="Times New Roman" w:eastAsia="SimSun" w:hAnsi="Times New Roman"/>
          <w:spacing w:val="-2"/>
          <w:sz w:val="20"/>
          <w:szCs w:val="20"/>
          <w:lang w:val="en-GB"/>
        </w:rPr>
        <w:fldChar w:fldCharType="begin" w:fldLock="1"/>
      </w:r>
      <w:r w:rsidRPr="00B77BD6">
        <w:rPr>
          <w:rFonts w:ascii="Times New Roman" w:eastAsia="SimSun" w:hAnsi="Times New Roman"/>
          <w:spacing w:val="-2"/>
          <w:sz w:val="20"/>
          <w:szCs w:val="20"/>
          <w:lang w:val="en-GB"/>
        </w:rPr>
        <w:instrText>ADDIN CSL_CITATION { "citationItems" : [ { "id" : "ITEM-1", "itemData" : { "DOI" : "10.1016/j.rser.2014.01.002", "ISSN" : "13640321", "abstract" : "Microalgae are fast growing organisms and have the ability to accumulate lipid, which can be converted to biofuels. Here, we review specific growth rate, population productivity, and lipid productivity based on 192 publications of the marine microalgae Nannochloropsis. Specific growth rate was reported by thirty publications often using exponential growth equations, and fourteen publications stated biomass productivity. However, direct comparison among productivity estimates is impossible due to differences in calculations or omission of equations. Less than 5% of the publications directly reported lipid productivity, the key parameter for biofuels. We extracted growth data from 30 publications using Plot Digitizer software and tested best fit with exponential and logistic equations. The logistic equation often represents growth data better than the exponential one. Furthermore, we argue that maximum sustainable yield (MSY) is a more useful measure for harvest rates than specific growth rates. Interestingly, MSY displayed closer linear relationships with carrying capacity measures (r2=0.780, p&lt;0.001 and r2=0.552, p&lt;0.001 for algae density and biomass, respectively) than growth rate (r2=0.297, p&lt;0.001 and r2=0.095, p=0.090). We propose to apply concepts of logistic growth, carrying capacity and MSY calculations to estimates of maximum lipid productivity, similar to commonly used density and biomass calculations.", "author" : [ { "dropping-particle" : "", "family" : "XU", "given" : "Yaoyang", "non-dropping-particle" : "", "parse-names" : false, "suffix" : "" }, { "dropping-particle" : "", "family" : "Boeing", "given" : "Wiebke J.", "non-dropping-particle" : "", "parse-names" : false, "suffix" : "" } ], "container-title" : "Renewable and Sustainable Energy Reviews", "id" : "ITEM-1", "issued" : { "date-parts" : [ [ "2014", "4" ] ] }, "page" : "29-39", "title" : "Modeling maximum lipid productivity of microalgae: Review and next step", "type" : "article-journal", "volume" : "32" }, "uris" : [ "http://www.mendeley.com/documents/?uuid=13d959a4-45b7-43ca-abc9-6133a820adb5" ] } ], "mendeley" : { "formattedCitation" : "&lt;sup&gt;21&lt;/sup&gt;", "plainTextFormattedCitation" : "21", "previouslyFormattedCitation" : "&lt;sup&gt;21&lt;/sup&gt;" }, "properties" : { "noteIndex" : 0 }, "schema" : "https://github.com/citation-style-language/schema/raw/master/csl-citation.json" }</w:instrText>
      </w:r>
      <w:r w:rsidRPr="00B77BD6">
        <w:rPr>
          <w:rFonts w:ascii="Times New Roman" w:eastAsia="SimSun" w:hAnsi="Times New Roman"/>
          <w:spacing w:val="-2"/>
          <w:sz w:val="20"/>
          <w:szCs w:val="20"/>
          <w:lang w:val="en-GB"/>
        </w:rPr>
        <w:fldChar w:fldCharType="separate"/>
      </w:r>
      <w:r w:rsidRPr="00B77BD6">
        <w:rPr>
          <w:rFonts w:ascii="Times New Roman" w:eastAsia="SimSun" w:hAnsi="Times New Roman"/>
          <w:spacing w:val="-2"/>
          <w:sz w:val="20"/>
          <w:szCs w:val="20"/>
          <w:lang w:val="en-GB"/>
        </w:rPr>
        <w:t>21</w:t>
      </w:r>
      <w:r w:rsidRPr="00B77BD6">
        <w:rPr>
          <w:rFonts w:ascii="Times New Roman" w:eastAsia="SimSun" w:hAnsi="Times New Roman"/>
          <w:spacing w:val="-2"/>
          <w:sz w:val="20"/>
          <w:szCs w:val="20"/>
          <w:lang w:val="en-GB"/>
        </w:rPr>
        <w:fldChar w:fldCharType="end"/>
      </w:r>
      <w:r w:rsidRPr="00B77BD6">
        <w:rPr>
          <w:rFonts w:ascii="Times New Roman" w:eastAsia="SimSun" w:hAnsi="Times New Roman"/>
          <w:spacing w:val="-2"/>
          <w:sz w:val="20"/>
          <w:szCs w:val="20"/>
          <w:lang w:val="en-GB"/>
        </w:rPr>
        <w:t xml:space="preserve">]. The value of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 xml:space="preserve">max </w:t>
      </w:r>
      <w:r w:rsidRPr="00B77BD6">
        <w:rPr>
          <w:rFonts w:ascii="Times New Roman" w:eastAsia="SimSun" w:hAnsi="Times New Roman"/>
          <w:spacing w:val="-2"/>
          <w:sz w:val="20"/>
          <w:szCs w:val="20"/>
          <w:lang w:val="en-GB"/>
        </w:rPr>
        <w:t>was calculated according to the Equation 1.</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r w:rsidRPr="00B77BD6">
        <w:rPr>
          <w:rFonts w:ascii="Times New Roman" w:eastAsia="SimSun" w:hAnsi="Times New Roman"/>
          <w:spacing w:val="-2"/>
          <w:sz w:val="20"/>
          <w:szCs w:val="20"/>
          <w:lang w:val="en-GB"/>
        </w:rPr>
        <w:t xml:space="preserve">Result of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xml:space="preserve"> showed that TNBR medium promote better growth by producing higher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xml:space="preserve"> value compare to F/2 medium. By using TNBR medium the value of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xml:space="preserve">  achieved were 0.4046 day</w:t>
      </w:r>
      <w:r w:rsidRPr="00B77BD6">
        <w:rPr>
          <w:rFonts w:ascii="Times New Roman" w:eastAsia="SimSun" w:hAnsi="Times New Roman"/>
          <w:spacing w:val="-2"/>
          <w:sz w:val="20"/>
          <w:szCs w:val="20"/>
          <w:vertAlign w:val="superscript"/>
          <w:lang w:val="en-GB"/>
        </w:rPr>
        <w:t>-1</w:t>
      </w:r>
      <w:r w:rsidRPr="00B77BD6">
        <w:rPr>
          <w:rFonts w:ascii="Times New Roman" w:eastAsia="SimSun" w:hAnsi="Times New Roman"/>
          <w:spacing w:val="-2"/>
          <w:sz w:val="20"/>
          <w:szCs w:val="20"/>
          <w:lang w:val="en-GB"/>
        </w:rPr>
        <w:t>, 0.4288 day</w:t>
      </w:r>
      <w:r w:rsidRPr="00B77BD6">
        <w:rPr>
          <w:rFonts w:ascii="Times New Roman" w:eastAsia="SimSun" w:hAnsi="Times New Roman"/>
          <w:spacing w:val="-2"/>
          <w:sz w:val="20"/>
          <w:szCs w:val="20"/>
          <w:vertAlign w:val="superscript"/>
          <w:lang w:val="en-GB"/>
        </w:rPr>
        <w:t>-1</w:t>
      </w:r>
      <w:r w:rsidRPr="00B77BD6">
        <w:rPr>
          <w:rFonts w:ascii="Times New Roman" w:eastAsia="SimSun" w:hAnsi="Times New Roman"/>
          <w:spacing w:val="-2"/>
          <w:sz w:val="20"/>
          <w:szCs w:val="20"/>
          <w:lang w:val="en-GB"/>
        </w:rPr>
        <w:t xml:space="preserve"> and 0.4908 day</w:t>
      </w:r>
      <w:r w:rsidRPr="00B77BD6">
        <w:rPr>
          <w:rFonts w:ascii="Times New Roman" w:eastAsia="SimSun" w:hAnsi="Times New Roman"/>
          <w:spacing w:val="-2"/>
          <w:sz w:val="20"/>
          <w:szCs w:val="20"/>
          <w:vertAlign w:val="superscript"/>
          <w:lang w:val="en-GB"/>
        </w:rPr>
        <w:t>-1</w:t>
      </w:r>
      <w:r w:rsidRPr="00B77BD6">
        <w:rPr>
          <w:rFonts w:ascii="Times New Roman" w:eastAsia="SimSun" w:hAnsi="Times New Roman"/>
          <w:spacing w:val="-2"/>
          <w:sz w:val="20"/>
          <w:szCs w:val="20"/>
          <w:lang w:val="en-GB"/>
        </w:rPr>
        <w:t xml:space="preserve">  for ambient air, 1 % CO</w:t>
      </w:r>
      <w:r w:rsidRPr="00B77BD6">
        <w:rPr>
          <w:rFonts w:ascii="Times New Roman" w:eastAsia="SimSun" w:hAnsi="Times New Roman"/>
          <w:spacing w:val="-2"/>
          <w:sz w:val="20"/>
          <w:szCs w:val="20"/>
          <w:vertAlign w:val="subscript"/>
          <w:lang w:val="en-GB"/>
        </w:rPr>
        <w:t>2</w:t>
      </w:r>
      <w:r w:rsidRPr="00B77BD6">
        <w:rPr>
          <w:rFonts w:ascii="Times New Roman" w:eastAsia="SimSun" w:hAnsi="Times New Roman"/>
          <w:spacing w:val="-2"/>
          <w:sz w:val="20"/>
          <w:szCs w:val="20"/>
          <w:lang w:val="en-GB"/>
        </w:rPr>
        <w:t xml:space="preserve"> and 5% CO</w:t>
      </w:r>
      <w:r w:rsidRPr="00B77BD6">
        <w:rPr>
          <w:rFonts w:ascii="Times New Roman" w:eastAsia="SimSun" w:hAnsi="Times New Roman"/>
          <w:spacing w:val="-2"/>
          <w:sz w:val="20"/>
          <w:szCs w:val="20"/>
          <w:vertAlign w:val="subscript"/>
          <w:lang w:val="en-GB"/>
        </w:rPr>
        <w:t>2</w:t>
      </w:r>
      <w:r w:rsidRPr="00B77BD6">
        <w:rPr>
          <w:rFonts w:ascii="Times New Roman" w:eastAsia="SimSun" w:hAnsi="Times New Roman"/>
          <w:spacing w:val="-2"/>
          <w:sz w:val="20"/>
          <w:szCs w:val="20"/>
          <w:lang w:val="en-GB"/>
        </w:rPr>
        <w:t xml:space="preserve"> respectively. Result of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xml:space="preserve"> from F/2 medium achieved were 0.2784 day</w:t>
      </w:r>
      <w:r w:rsidRPr="00B77BD6">
        <w:rPr>
          <w:rFonts w:ascii="Times New Roman" w:eastAsia="SimSun" w:hAnsi="Times New Roman"/>
          <w:spacing w:val="-2"/>
          <w:sz w:val="20"/>
          <w:szCs w:val="20"/>
          <w:vertAlign w:val="superscript"/>
          <w:lang w:val="en-GB"/>
        </w:rPr>
        <w:t>-1</w:t>
      </w:r>
      <w:r w:rsidRPr="00B77BD6">
        <w:rPr>
          <w:rFonts w:ascii="Times New Roman" w:eastAsia="SimSun" w:hAnsi="Times New Roman"/>
          <w:spacing w:val="-2"/>
          <w:sz w:val="20"/>
          <w:szCs w:val="20"/>
          <w:lang w:val="en-GB"/>
        </w:rPr>
        <w:t xml:space="preserve"> and 0.3937day</w:t>
      </w:r>
      <w:r w:rsidRPr="00B77BD6">
        <w:rPr>
          <w:rFonts w:ascii="Times New Roman" w:eastAsia="SimSun" w:hAnsi="Times New Roman"/>
          <w:spacing w:val="-2"/>
          <w:sz w:val="20"/>
          <w:szCs w:val="20"/>
          <w:vertAlign w:val="superscript"/>
          <w:lang w:val="en-GB"/>
        </w:rPr>
        <w:t>-1</w:t>
      </w:r>
      <w:r w:rsidRPr="00B77BD6">
        <w:rPr>
          <w:rFonts w:ascii="Times New Roman" w:eastAsia="SimSun" w:hAnsi="Times New Roman"/>
          <w:spacing w:val="-2"/>
          <w:sz w:val="20"/>
          <w:szCs w:val="20"/>
          <w:lang w:val="en-GB"/>
        </w:rPr>
        <w:t xml:space="preserve"> for ambient air and 5% CO</w:t>
      </w:r>
      <w:r w:rsidRPr="00B77BD6">
        <w:rPr>
          <w:rFonts w:ascii="Times New Roman" w:eastAsia="SimSun" w:hAnsi="Times New Roman"/>
          <w:spacing w:val="-2"/>
          <w:sz w:val="20"/>
          <w:szCs w:val="20"/>
          <w:vertAlign w:val="subscript"/>
          <w:lang w:val="en-GB"/>
        </w:rPr>
        <w:t>2</w:t>
      </w:r>
      <w:r w:rsidRPr="00B77BD6">
        <w:rPr>
          <w:rFonts w:ascii="Times New Roman" w:eastAsia="SimSun" w:hAnsi="Times New Roman"/>
          <w:spacing w:val="-2"/>
          <w:sz w:val="20"/>
          <w:szCs w:val="20"/>
          <w:lang w:val="en-GB"/>
        </w:rPr>
        <w:t xml:space="preserve"> respectively. Higher value of </w:t>
      </w:r>
      <w:r w:rsidRPr="00B77BD6">
        <w:rPr>
          <w:rFonts w:ascii="Times New Roman" w:eastAsia="SimSun" w:hAnsi="Times New Roman"/>
          <w:i/>
          <w:spacing w:val="-2"/>
          <w:sz w:val="20"/>
          <w:szCs w:val="20"/>
          <w:lang w:val="en-GB"/>
        </w:rPr>
        <w:t>µ</w:t>
      </w:r>
      <w:r w:rsidRPr="00B77BD6">
        <w:rPr>
          <w:rFonts w:ascii="Times New Roman" w:eastAsia="SimSun" w:hAnsi="Times New Roman"/>
          <w:spacing w:val="-2"/>
          <w:sz w:val="20"/>
          <w:szCs w:val="20"/>
          <w:vertAlign w:val="subscript"/>
          <w:lang w:val="en-GB"/>
        </w:rPr>
        <w:t>max</w:t>
      </w:r>
      <w:r w:rsidRPr="00B77BD6">
        <w:rPr>
          <w:rFonts w:ascii="Times New Roman" w:eastAsia="SimSun" w:hAnsi="Times New Roman"/>
          <w:spacing w:val="-2"/>
          <w:sz w:val="20"/>
          <w:szCs w:val="20"/>
          <w:lang w:val="en-GB"/>
        </w:rPr>
        <w:t xml:space="preserve"> achieved by TNBR medium cultivated microalgae was due to high nutrients content compare to the F/2 medium. TNBR medium used in this experiment is an optimized medium from F/2 medium.</w:t>
      </w:r>
    </w:p>
    <w:p w:rsidR="00B77BD6" w:rsidRPr="00B77BD6" w:rsidRDefault="00B77BD6" w:rsidP="00B77BD6">
      <w:pPr>
        <w:spacing w:after="0" w:line="240" w:lineRule="auto"/>
        <w:ind w:right="27"/>
        <w:jc w:val="both"/>
        <w:rPr>
          <w:rFonts w:ascii="Times New Roman" w:eastAsia="SimSun" w:hAnsi="Times New Roman"/>
          <w:spacing w:val="-2"/>
          <w:sz w:val="20"/>
          <w:szCs w:val="20"/>
          <w:lang w:val="en-GB"/>
        </w:rPr>
      </w:pPr>
    </w:p>
    <w:p w:rsidR="00B77BD6" w:rsidRPr="00B77BD6" w:rsidRDefault="00B77BD6" w:rsidP="00B77BD6">
      <w:pPr>
        <w:spacing w:after="0" w:line="240" w:lineRule="auto"/>
        <w:jc w:val="both"/>
        <w:outlineLvl w:val="0"/>
        <w:rPr>
          <w:rFonts w:ascii="Times New Roman" w:hAnsi="Times New Roman"/>
          <w:spacing w:val="-2"/>
          <w:sz w:val="20"/>
          <w:szCs w:val="20"/>
          <w:lang w:val="en-GB"/>
        </w:rPr>
      </w:pPr>
    </w:p>
    <w:p w:rsidR="00B77BD6" w:rsidRDefault="00B77BD6" w:rsidP="00B77BD6">
      <w:pPr>
        <w:spacing w:after="0" w:line="240" w:lineRule="auto"/>
        <w:jc w:val="center"/>
        <w:outlineLvl w:val="0"/>
        <w:rPr>
          <w:rFonts w:ascii="Times New Roman" w:hAnsi="Times New Roman"/>
          <w:sz w:val="20"/>
          <w:szCs w:val="20"/>
        </w:rPr>
      </w:pPr>
      <w:r w:rsidRPr="00B77BD6">
        <w:rPr>
          <w:rFonts w:ascii="Times New Roman" w:hAnsi="Times New Roman"/>
          <w:noProof/>
          <w:spacing w:val="-2"/>
          <w:sz w:val="20"/>
          <w:szCs w:val="20"/>
          <w:lang w:bidi="ar-SA"/>
        </w:rPr>
        <w:drawing>
          <wp:inline distT="0" distB="0" distL="0" distR="0" wp14:anchorId="3313D66D" wp14:editId="1B15D098">
            <wp:extent cx="2567880" cy="1510747"/>
            <wp:effectExtent l="19050" t="19050" r="23495" b="13335"/>
            <wp:docPr id="3" name="Picture 3" descr="TNBR medium C1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BR medium C1 ai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5660" cy="1521207"/>
                    </a:xfrm>
                    <a:prstGeom prst="rect">
                      <a:avLst/>
                    </a:prstGeom>
                    <a:noFill/>
                    <a:ln>
                      <a:solidFill>
                        <a:schemeClr val="accent1"/>
                      </a:solidFill>
                    </a:ln>
                  </pic:spPr>
                </pic:pic>
              </a:graphicData>
            </a:graphic>
          </wp:inline>
        </w:drawing>
      </w:r>
      <w:r>
        <w:rPr>
          <w:rFonts w:ascii="Times New Roman" w:hAnsi="Times New Roman"/>
          <w:sz w:val="20"/>
          <w:szCs w:val="20"/>
        </w:rPr>
        <w:t xml:space="preserve">    </w:t>
      </w:r>
      <w:r w:rsidRPr="00B77BD6">
        <w:rPr>
          <w:rFonts w:ascii="Times New Roman" w:hAnsi="Times New Roman"/>
          <w:noProof/>
          <w:spacing w:val="-2"/>
          <w:sz w:val="20"/>
          <w:szCs w:val="20"/>
          <w:lang w:bidi="ar-SA"/>
        </w:rPr>
        <w:drawing>
          <wp:inline distT="0" distB="0" distL="0" distR="0" wp14:anchorId="2EF00527" wp14:editId="490269E8">
            <wp:extent cx="2558333" cy="1510665"/>
            <wp:effectExtent l="19050" t="19050" r="13970" b="13335"/>
            <wp:docPr id="4" name="Picture 4" descr="TNBR medium C1 1%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NBR medium C1 1% CO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4223" cy="1537762"/>
                    </a:xfrm>
                    <a:prstGeom prst="rect">
                      <a:avLst/>
                    </a:prstGeom>
                    <a:noFill/>
                    <a:ln>
                      <a:solidFill>
                        <a:schemeClr val="accent1"/>
                      </a:solidFill>
                    </a:ln>
                  </pic:spPr>
                </pic:pic>
              </a:graphicData>
            </a:graphic>
          </wp:inline>
        </w:drawing>
      </w:r>
    </w:p>
    <w:p w:rsidR="00B77BD6" w:rsidRPr="00B77BD6" w:rsidRDefault="00B77BD6" w:rsidP="00B77BD6">
      <w:pPr>
        <w:spacing w:after="0" w:line="240" w:lineRule="auto"/>
        <w:jc w:val="center"/>
        <w:outlineLvl w:val="0"/>
        <w:rPr>
          <w:rFonts w:ascii="Times New Roman" w:hAnsi="Times New Roman"/>
          <w:sz w:val="20"/>
          <w:szCs w:val="20"/>
        </w:rPr>
      </w:pPr>
    </w:p>
    <w:p w:rsidR="00B77BD6" w:rsidRPr="00B77BD6" w:rsidRDefault="00B77BD6" w:rsidP="00B77BD6">
      <w:pPr>
        <w:spacing w:after="0" w:line="240" w:lineRule="auto"/>
        <w:jc w:val="center"/>
        <w:outlineLvl w:val="0"/>
        <w:rPr>
          <w:rFonts w:ascii="Times New Roman" w:hAnsi="Times New Roman"/>
          <w:sz w:val="20"/>
          <w:szCs w:val="20"/>
        </w:rPr>
      </w:pPr>
      <w:r w:rsidRPr="00B77BD6">
        <w:rPr>
          <w:rFonts w:ascii="Times New Roman" w:hAnsi="Times New Roman"/>
          <w:noProof/>
          <w:spacing w:val="-2"/>
          <w:sz w:val="20"/>
          <w:szCs w:val="20"/>
          <w:lang w:bidi="ar-SA"/>
        </w:rPr>
        <w:drawing>
          <wp:inline distT="0" distB="0" distL="0" distR="0" wp14:anchorId="7CA5C0B8" wp14:editId="7DDF5212">
            <wp:extent cx="2520529" cy="1518699"/>
            <wp:effectExtent l="19050" t="19050" r="13335" b="24765"/>
            <wp:docPr id="5" name="Picture 5" descr="TNBR medium C1 5%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NBR medium C1 5% CO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2731" cy="1544127"/>
                    </a:xfrm>
                    <a:prstGeom prst="rect">
                      <a:avLst/>
                    </a:prstGeom>
                    <a:noFill/>
                    <a:ln>
                      <a:solidFill>
                        <a:schemeClr val="accent1"/>
                      </a:solidFill>
                    </a:ln>
                  </pic:spPr>
                </pic:pic>
              </a:graphicData>
            </a:graphic>
          </wp:inline>
        </w:drawing>
      </w:r>
    </w:p>
    <w:p w:rsidR="00B77BD6" w:rsidRPr="00B77BD6" w:rsidRDefault="00B77BD6" w:rsidP="00B77BD6">
      <w:pPr>
        <w:spacing w:after="0" w:line="240" w:lineRule="auto"/>
        <w:jc w:val="both"/>
        <w:outlineLvl w:val="0"/>
        <w:rPr>
          <w:rFonts w:ascii="Times New Roman" w:hAnsi="Times New Roman"/>
          <w:sz w:val="20"/>
          <w:szCs w:val="20"/>
        </w:rPr>
      </w:pPr>
    </w:p>
    <w:p w:rsidR="00B77BD6" w:rsidRPr="00B77BD6" w:rsidRDefault="00B77BD6" w:rsidP="00B77BD6">
      <w:pPr>
        <w:spacing w:after="0" w:line="240" w:lineRule="auto"/>
        <w:jc w:val="center"/>
        <w:outlineLvl w:val="0"/>
        <w:rPr>
          <w:rFonts w:ascii="Times New Roman" w:hAnsi="Times New Roman"/>
          <w:noProof/>
          <w:spacing w:val="-2"/>
          <w:sz w:val="20"/>
          <w:szCs w:val="20"/>
          <w:vertAlign w:val="subscript"/>
          <w:lang w:val="en-MY" w:eastAsia="en-MY"/>
        </w:rPr>
      </w:pPr>
      <w:r w:rsidRPr="00B77BD6">
        <w:rPr>
          <w:rFonts w:ascii="Times New Roman" w:hAnsi="Times New Roman"/>
          <w:noProof/>
          <w:spacing w:val="-2"/>
          <w:sz w:val="20"/>
          <w:szCs w:val="20"/>
          <w:lang w:val="en-MY" w:eastAsia="en-MY"/>
        </w:rPr>
        <w:t xml:space="preserve">Figure 2. </w:t>
      </w:r>
      <w:r>
        <w:rPr>
          <w:rFonts w:ascii="Times New Roman" w:hAnsi="Times New Roman"/>
          <w:noProof/>
          <w:spacing w:val="-2"/>
          <w:sz w:val="20"/>
          <w:szCs w:val="20"/>
          <w:lang w:val="en-MY" w:eastAsia="en-MY"/>
        </w:rPr>
        <w:t xml:space="preserve"> </w:t>
      </w:r>
      <w:r w:rsidRPr="00B77BD6">
        <w:rPr>
          <w:rFonts w:ascii="Times New Roman" w:hAnsi="Times New Roman"/>
          <w:noProof/>
          <w:spacing w:val="-2"/>
          <w:sz w:val="20"/>
          <w:szCs w:val="20"/>
          <w:lang w:val="en-MY" w:eastAsia="en-MY"/>
        </w:rPr>
        <w:t xml:space="preserve">Growth curve of  isolated </w:t>
      </w:r>
      <w:r w:rsidRPr="00B77BD6">
        <w:rPr>
          <w:rFonts w:ascii="Times New Roman" w:hAnsi="Times New Roman"/>
          <w:i/>
          <w:noProof/>
          <w:spacing w:val="-2"/>
          <w:sz w:val="20"/>
          <w:szCs w:val="20"/>
          <w:lang w:val="en-MY" w:eastAsia="en-MY"/>
        </w:rPr>
        <w:t>Chlorella</w:t>
      </w:r>
      <w:r w:rsidRPr="00B77BD6">
        <w:rPr>
          <w:rFonts w:ascii="Times New Roman" w:hAnsi="Times New Roman"/>
          <w:noProof/>
          <w:spacing w:val="-2"/>
          <w:sz w:val="20"/>
          <w:szCs w:val="20"/>
          <w:lang w:val="en-MY" w:eastAsia="en-MY"/>
        </w:rPr>
        <w:t xml:space="preserve"> sp. with TNBR medium at ambient air, 1%and 5% CO</w:t>
      </w:r>
      <w:r w:rsidRPr="00B77BD6">
        <w:rPr>
          <w:rFonts w:ascii="Times New Roman" w:hAnsi="Times New Roman"/>
          <w:noProof/>
          <w:spacing w:val="-2"/>
          <w:sz w:val="20"/>
          <w:szCs w:val="20"/>
          <w:vertAlign w:val="subscript"/>
          <w:lang w:val="en-MY" w:eastAsia="en-MY"/>
        </w:rPr>
        <w:t>2</w:t>
      </w:r>
    </w:p>
    <w:p w:rsidR="00B77BD6" w:rsidRPr="00B77BD6" w:rsidRDefault="00B77BD6" w:rsidP="00B77BD6">
      <w:pPr>
        <w:spacing w:after="0" w:line="240" w:lineRule="auto"/>
        <w:jc w:val="both"/>
        <w:outlineLvl w:val="0"/>
        <w:rPr>
          <w:rFonts w:ascii="Times New Roman" w:hAnsi="Times New Roman"/>
          <w:noProof/>
          <w:spacing w:val="-2"/>
          <w:sz w:val="20"/>
          <w:szCs w:val="20"/>
          <w:vertAlign w:val="subscript"/>
          <w:lang w:val="en-MY" w:eastAsia="en-MY"/>
        </w:rPr>
      </w:pPr>
    </w:p>
    <w:p w:rsidR="00B77BD6" w:rsidRPr="00B77BD6" w:rsidRDefault="00B77BD6" w:rsidP="00B77BD6">
      <w:pPr>
        <w:spacing w:after="0" w:line="240" w:lineRule="auto"/>
        <w:jc w:val="center"/>
        <w:outlineLvl w:val="0"/>
        <w:rPr>
          <w:rFonts w:ascii="Times New Roman" w:hAnsi="Times New Roman"/>
          <w:sz w:val="20"/>
          <w:szCs w:val="20"/>
        </w:rPr>
      </w:pPr>
      <w:r w:rsidRPr="00B77BD6">
        <w:rPr>
          <w:rFonts w:ascii="Times New Roman" w:hAnsi="Times New Roman"/>
          <w:noProof/>
          <w:spacing w:val="-2"/>
          <w:sz w:val="20"/>
          <w:szCs w:val="20"/>
          <w:lang w:bidi="ar-SA"/>
        </w:rPr>
        <w:lastRenderedPageBreak/>
        <w:drawing>
          <wp:inline distT="0" distB="0" distL="0" distR="0" wp14:anchorId="7B5C66B6" wp14:editId="22DD3CCB">
            <wp:extent cx="2527594" cy="1622066"/>
            <wp:effectExtent l="19050" t="19050" r="25400" b="16510"/>
            <wp:docPr id="6" name="Picture 6" descr="F2 medium C1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 medium C1 a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5830" cy="1633769"/>
                    </a:xfrm>
                    <a:prstGeom prst="rect">
                      <a:avLst/>
                    </a:prstGeom>
                    <a:noFill/>
                    <a:ln>
                      <a:solidFill>
                        <a:schemeClr val="accent1"/>
                      </a:solidFill>
                    </a:ln>
                  </pic:spPr>
                </pic:pic>
              </a:graphicData>
            </a:graphic>
          </wp:inline>
        </w:drawing>
      </w:r>
      <w:r>
        <w:rPr>
          <w:rFonts w:ascii="Times New Roman" w:hAnsi="Times New Roman"/>
          <w:sz w:val="20"/>
          <w:szCs w:val="20"/>
        </w:rPr>
        <w:t xml:space="preserve">   </w:t>
      </w:r>
      <w:r w:rsidRPr="00B77BD6">
        <w:rPr>
          <w:rFonts w:ascii="Times New Roman" w:hAnsi="Times New Roman"/>
          <w:noProof/>
          <w:spacing w:val="-2"/>
          <w:sz w:val="20"/>
          <w:szCs w:val="20"/>
          <w:lang w:bidi="ar-SA"/>
        </w:rPr>
        <w:drawing>
          <wp:inline distT="0" distB="0" distL="0" distR="0" wp14:anchorId="1C720826" wp14:editId="5DAF4975">
            <wp:extent cx="2451735" cy="1608517"/>
            <wp:effectExtent l="19050" t="19050" r="24765" b="10795"/>
            <wp:docPr id="9" name="Picture 9" descr="F2 medium C1 5%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2 medium C1 5%CO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2261" cy="1621984"/>
                    </a:xfrm>
                    <a:prstGeom prst="rect">
                      <a:avLst/>
                    </a:prstGeom>
                    <a:noFill/>
                    <a:ln>
                      <a:solidFill>
                        <a:schemeClr val="accent1"/>
                      </a:solidFill>
                    </a:ln>
                  </pic:spPr>
                </pic:pic>
              </a:graphicData>
            </a:graphic>
          </wp:inline>
        </w:drawing>
      </w:r>
    </w:p>
    <w:p w:rsidR="00B77BD6" w:rsidRPr="00B77BD6" w:rsidRDefault="00B77BD6" w:rsidP="00B77BD6">
      <w:pPr>
        <w:pStyle w:val="JESTECAbstract"/>
        <w:spacing w:before="0"/>
        <w:ind w:left="0" w:right="27"/>
        <w:rPr>
          <w:noProof/>
          <w:spacing w:val="-2"/>
          <w:sz w:val="20"/>
          <w:szCs w:val="20"/>
          <w:lang w:val="en-MY" w:eastAsia="en-MY"/>
        </w:rPr>
      </w:pPr>
    </w:p>
    <w:p w:rsidR="00B77BD6" w:rsidRPr="00B77BD6" w:rsidRDefault="00B77BD6" w:rsidP="00B77BD6">
      <w:pPr>
        <w:pStyle w:val="JESTECAbstract"/>
        <w:spacing w:before="0"/>
        <w:ind w:left="0" w:right="27"/>
        <w:jc w:val="center"/>
        <w:rPr>
          <w:noProof/>
          <w:spacing w:val="-2"/>
          <w:sz w:val="20"/>
          <w:szCs w:val="20"/>
          <w:vertAlign w:val="subscript"/>
          <w:lang w:val="en-MY" w:eastAsia="en-MY"/>
        </w:rPr>
      </w:pPr>
      <w:r w:rsidRPr="00B77BD6">
        <w:rPr>
          <w:noProof/>
          <w:spacing w:val="-2"/>
          <w:sz w:val="20"/>
          <w:szCs w:val="20"/>
          <w:lang w:val="en-MY" w:eastAsia="en-MY"/>
        </w:rPr>
        <w:t xml:space="preserve">Figure 3. </w:t>
      </w:r>
      <w:r>
        <w:rPr>
          <w:noProof/>
          <w:spacing w:val="-2"/>
          <w:sz w:val="20"/>
          <w:szCs w:val="20"/>
          <w:lang w:val="en-MY" w:eastAsia="en-MY"/>
        </w:rPr>
        <w:t xml:space="preserve"> </w:t>
      </w:r>
      <w:r w:rsidRPr="00B77BD6">
        <w:rPr>
          <w:noProof/>
          <w:spacing w:val="-2"/>
          <w:sz w:val="20"/>
          <w:szCs w:val="20"/>
          <w:lang w:val="en-MY" w:eastAsia="en-MY"/>
        </w:rPr>
        <w:t>Growth curve of Chlorella sp. with F/2 medium at ambient air, and 5% CO</w:t>
      </w:r>
      <w:r w:rsidRPr="00B77BD6">
        <w:rPr>
          <w:noProof/>
          <w:spacing w:val="-2"/>
          <w:sz w:val="20"/>
          <w:szCs w:val="20"/>
          <w:vertAlign w:val="subscript"/>
          <w:lang w:val="en-MY" w:eastAsia="en-MY"/>
        </w:rPr>
        <w:t>2</w:t>
      </w:r>
    </w:p>
    <w:p w:rsidR="00B77BD6" w:rsidRDefault="00B77BD6" w:rsidP="00B77BD6">
      <w:pPr>
        <w:spacing w:after="0" w:line="240" w:lineRule="auto"/>
        <w:jc w:val="both"/>
        <w:outlineLvl w:val="0"/>
        <w:rPr>
          <w:rFonts w:ascii="Times New Roman" w:eastAsia="SimSun" w:hAnsi="Times New Roman"/>
          <w:noProof/>
          <w:spacing w:val="-2"/>
          <w:sz w:val="20"/>
          <w:szCs w:val="20"/>
          <w:vertAlign w:val="subscript"/>
          <w:lang w:val="en-MY" w:eastAsia="en-MY"/>
        </w:rPr>
      </w:pPr>
    </w:p>
    <w:p w:rsidR="00B77BD6" w:rsidRPr="00B77BD6" w:rsidRDefault="00B77BD6" w:rsidP="00B77BD6">
      <w:pPr>
        <w:spacing w:after="0" w:line="240" w:lineRule="auto"/>
        <w:jc w:val="both"/>
        <w:outlineLvl w:val="0"/>
        <w:rPr>
          <w:rFonts w:ascii="Times New Roman" w:eastAsia="SimSun" w:hAnsi="Times New Roman"/>
          <w:noProof/>
          <w:spacing w:val="-2"/>
          <w:sz w:val="20"/>
          <w:szCs w:val="20"/>
          <w:vertAlign w:val="subscript"/>
          <w:lang w:val="en-MY" w:eastAsia="en-MY"/>
        </w:rPr>
      </w:pPr>
    </w:p>
    <w:p w:rsidR="00B77BD6" w:rsidRPr="00B77BD6" w:rsidRDefault="00B77BD6" w:rsidP="00B77BD6">
      <w:pPr>
        <w:spacing w:after="0" w:line="240" w:lineRule="auto"/>
        <w:jc w:val="both"/>
        <w:outlineLvl w:val="0"/>
        <w:rPr>
          <w:rFonts w:ascii="Times New Roman" w:hAnsi="Times New Roman"/>
          <w:spacing w:val="-2"/>
          <w:sz w:val="20"/>
          <w:szCs w:val="20"/>
        </w:rPr>
      </w:pPr>
      <w:r w:rsidRPr="00B77BD6">
        <w:rPr>
          <w:rFonts w:ascii="Times New Roman" w:hAnsi="Times New Roman"/>
          <w:spacing w:val="-2"/>
          <w:sz w:val="20"/>
          <w:szCs w:val="20"/>
          <w:lang w:val="en-GB"/>
        </w:rPr>
        <w:t>Morphological identification was conducted by characterization of microalgae. Under microscopic observation, the size of the purified microalgae is ranging around 4.24 ~10 µm with the area around 56.48 µm</w:t>
      </w:r>
      <w:r w:rsidRPr="00B77BD6">
        <w:rPr>
          <w:rFonts w:ascii="Times New Roman" w:hAnsi="Times New Roman"/>
          <w:spacing w:val="-2"/>
          <w:sz w:val="20"/>
          <w:szCs w:val="20"/>
          <w:vertAlign w:val="superscript"/>
          <w:lang w:val="en-GB"/>
        </w:rPr>
        <w:t>2</w:t>
      </w:r>
      <w:r w:rsidRPr="00B77BD6">
        <w:rPr>
          <w:rFonts w:ascii="Times New Roman" w:hAnsi="Times New Roman"/>
          <w:spacing w:val="-2"/>
          <w:sz w:val="20"/>
          <w:szCs w:val="20"/>
          <w:lang w:val="en-GB"/>
        </w:rPr>
        <w:t xml:space="preserve">. The visible characteristic that can be observed was round shape with transparent outer membrane. </w:t>
      </w:r>
      <w:r w:rsidRPr="00B77BD6">
        <w:rPr>
          <w:rFonts w:ascii="Times New Roman" w:hAnsi="Times New Roman"/>
          <w:spacing w:val="-2"/>
          <w:sz w:val="20"/>
          <w:szCs w:val="20"/>
        </w:rPr>
        <w:t>All the purified microalgae showed round or ellipsoidal shape with a thin layer of membrane without any extension of flagella.  The purified microalgae also have gridle shape of chloroplast. The chloroplast occupies most of periphery except for the cell ends. It also has the tendency to clump together into big colonies with a slow movement [</w:t>
      </w:r>
      <w:r w:rsidRPr="00B77BD6">
        <w:rPr>
          <w:rFonts w:ascii="Times New Roman" w:hAnsi="Times New Roman"/>
          <w:spacing w:val="-2"/>
          <w:sz w:val="20"/>
          <w:szCs w:val="20"/>
        </w:rPr>
        <w:fldChar w:fldCharType="begin" w:fldLock="1"/>
      </w:r>
      <w:r w:rsidRPr="00B77BD6">
        <w:rPr>
          <w:rFonts w:ascii="Times New Roman" w:hAnsi="Times New Roman"/>
          <w:spacing w:val="-2"/>
          <w:sz w:val="20"/>
          <w:szCs w:val="20"/>
        </w:rPr>
        <w:instrText>ADDIN CSL_CITATION { "citationItems" : [ { "id" : "ITEM-1", "itemData" : { "DOI" : "10.1007/s00425-012-1765-0", "ISBN" : "0032-0935", "ISSN" : "00320935", "PMID" : "23011569", "abstract" : "Cell walls of microalgae consist of a polysaccharide and glycoprotein matrix providing the cells with a formidable defense against its environment. We characterized enzymes that can digest the cell wall and weaken this defense for the purpose of protoplasting or lipid extraction. A growth inhibition screen demonstrated that chitinase, lysozyme, pectinase, sulfatase, \u03b2-glucuronidase, and laminarinase had the broadest effect across the various Chlorella strains tested and also inhibited Nannochloropsis and Nannochloris strains. Chlorella is typically most sensitive to chitinases and lysozymes, both enzymes that degrade polymers containing N-acetylglucosamine. Using a fluorescent DNA stain, we developed rapid methodology to quantify changes in permeability in response to enzyme digestion and found that treatment with lysozyme in conjunction with other enzymes has a drastic effect on cell permeability. Transmission electron microscopy of enzymatically treated Chlorella vulgaris indicates that lysozyme degrades the outer surface of the cell wall and removes hair-like fibers protruding from the surface, which differs from the activity of chitinase. This action on the outer surface of the cell causes visible protuberances on the cell surface and presumably leads to the increased settling rate when cells are treated with lysozyme. We demonstrate radical ultrastructural changes to the cell wall in response to treatment with various enzyme combinations which, in some cases, causes a greater than twofold increase in the thickness of the cell wall. The enzymes characterized in this study should prove useful in the engineering and extraction of oils from microalgae.", "author" : [ { "dropping-particle" : "", "family" : "Gerken", "given" : "Henri G.", "non-dropping-particle" : "", "parse-names" : false, "suffix" : "" }, { "dropping-particle" : "", "family" : "Donohoe", "given" : "Bryon", "non-dropping-particle" : "", "parse-names" : false, "suffix" : "" }, { "dropping-particle" : "", "family" : "Knoshaug", "given" : "Eric P.", "non-dropping-particle" : "", "parse-names" : false, "suffix" : "" } ], "container-title" : "Planta", "id" : "ITEM-1", "issue" : "1", "issued" : { "date-parts" : [ [ "2013" ] ] }, "page" : "239-253", "title" : "Enzymatic cell wall degradation of Chlorella vulgaris and other microalgae for biofuels production", "type" : "article-journal", "volume" : "237" }, "uris" : [ "http://www.mendeley.com/documents/?uuid=897504b6-0cad-4e14-917f-a828f1d7c0be" ] } ], "mendeley" : { "formattedCitation" : "&lt;sup&gt;28&lt;/sup&gt;", "plainTextFormattedCitation" : "28", "previouslyFormattedCitation" : "&lt;sup&gt;28&lt;/sup&gt;" }, "properties" : { "noteIndex" : 0 }, "schema" : "https://github.com/citation-style-language/schema/raw/master/csl-citation.json" }</w:instrText>
      </w:r>
      <w:r w:rsidRPr="00B77BD6">
        <w:rPr>
          <w:rFonts w:ascii="Times New Roman" w:hAnsi="Times New Roman"/>
          <w:spacing w:val="-2"/>
          <w:sz w:val="20"/>
          <w:szCs w:val="20"/>
        </w:rPr>
        <w:fldChar w:fldCharType="separate"/>
      </w:r>
      <w:r w:rsidRPr="00B77BD6">
        <w:rPr>
          <w:rFonts w:ascii="Times New Roman" w:hAnsi="Times New Roman"/>
          <w:noProof/>
          <w:spacing w:val="-2"/>
          <w:sz w:val="20"/>
          <w:szCs w:val="20"/>
        </w:rPr>
        <w:t>28</w:t>
      </w:r>
      <w:r w:rsidRPr="00B77BD6">
        <w:rPr>
          <w:rFonts w:ascii="Times New Roman" w:hAnsi="Times New Roman"/>
          <w:spacing w:val="-2"/>
          <w:sz w:val="20"/>
          <w:szCs w:val="20"/>
        </w:rPr>
        <w:fldChar w:fldCharType="end"/>
      </w:r>
      <w:r w:rsidRPr="00B77BD6">
        <w:rPr>
          <w:rFonts w:ascii="Times New Roman" w:hAnsi="Times New Roman"/>
          <w:spacing w:val="-2"/>
          <w:sz w:val="20"/>
          <w:szCs w:val="20"/>
        </w:rPr>
        <w:t xml:space="preserve">]. By assessment of all the morphological characteristic of the isolated microalgae, the suspected species was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 Figure 4 shows the morphological view under 400x magnifications with comparison from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 from UTEX (1000x magnification). Microalgae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species is blue-green algae which is belongs to phylum chlorophyta division. Most of Chlorella species survived and cultivated in freshwater conditions. However, several reports and studies on isolation showed the versatility and the availability of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species to adapt and survive in marine environment [</w:t>
      </w:r>
      <w:r w:rsidRPr="00B77BD6">
        <w:rPr>
          <w:rFonts w:ascii="Times New Roman" w:hAnsi="Times New Roman"/>
          <w:spacing w:val="-2"/>
          <w:sz w:val="20"/>
          <w:szCs w:val="20"/>
        </w:rPr>
        <w:fldChar w:fldCharType="begin" w:fldLock="1"/>
      </w:r>
      <w:r w:rsidRPr="00B77BD6">
        <w:rPr>
          <w:rFonts w:ascii="Times New Roman" w:hAnsi="Times New Roman"/>
          <w:spacing w:val="-2"/>
          <w:sz w:val="20"/>
          <w:szCs w:val="20"/>
        </w:rPr>
        <w:instrText>ADDIN CSL_CITATION { "citationItems" : [ { "id" : "ITEM-1", "itemData" : { "DOI" : "10.1016/j.algal.2015.04.009", "ISSN" : "22119264", "abstract" : "To understand the potential for cultivating tropical marine Chlorella sp. PP1 to produce photosynthetic pigments, particularly \u03b2-carotene (\u03b2-Car), we investigated the growth characteristics and pigment properties of Chlorella sp. PP1 under three different irradiances and properties of solar cells sensitized by \u03b2-Car. Chlorella sp. PP1 cells that were cultured under fluorescent lamp irradiance (12:12-h photoperiods) showed better cell development and density. However, photoinhibition of cell growth was observed in the cells under both continuous fluorescent lamp irradiance and direct natural sunlight exposure. Photosynthetic pigments of Chlorella sp. PP1 were identified as chlorophylls and carotenoids, and carotenoids were produced more dominantly under light stress conditions. The solar cells that only used \u03b2-Car adsorbed by a nanocrystalline TiO2 film electrode exhibited photovoltaic effects, indicating that \u03b2-Car was capable of performing as an antenna of the solar cells.", "author" : [ { "dropping-particle" : "", "family" : "Nurachman", "given" : "Zeily", "non-dropping-particle" : "", "parse-names" : false, "suffix" : "" }, { "dropping-particle" : "", "family" : "H", "given" : "Hartini", "non-dropping-particle" : "", "parse-names" : false, "suffix" : "" }, { "dropping-particle" : "", "family" : "Rahmaniyah", "given" : "Wiwit Ridhani", "non-dropping-particle" : "", "parse-names" : false, "suffix" : "" }, { "dropping-particle" : "", "family" : "Kurnia", "given" : "Dewi", "non-dropping-particle" : "", "parse-names" : false, "suffix" : "" }, { "dropping-particle" : "", "family" : "Hidayat", "given" : "Rahmat", "non-dropping-particle" : "", "parse-names" : false, "suffix" : "" }, { "dropping-particle" : "", "family" : "Prijamboedi", "given" : "Bambang", "non-dropping-particle" : "", "parse-names" : false, "suffix" : "" }, { "dropping-particle" : "", "family" : "Suendo", "given" : "Veinardi", "non-dropping-particle" : "", "parse-names" : false, "suffix" : "" }, { "dropping-particle" : "", "family" : "Ratnaningsih", "given" : "Enny", "non-dropping-particle" : "", "parse-names" : false, "suffix" : "" }, { "dropping-particle" : "", "family" : "Panggabean", "given" : "Lily Maria Goretty", "non-dropping-particle" : "", "parse-names" : false, "suffix" : "" }, { "dropping-particle" : "", "family" : "Nurbaiti", "given" : "Santi", "non-dropping-particle" : "", "parse-names" : false, "suffix" : "" } ], "container-title" : "Algal Research", "id" : "ITEM-1", "issued" : { "date-parts" : [ [ "2015", "7" ] ] }, "page" : "25-32", "title" : "Tropical marine Chlorella sp. PP1 as a source of photosynthetic pigments for dye-sensitized solar cells", "type" : "article-journal", "volume" : "10" }, "uris" : [ "http://www.mendeley.com/documents/?uuid=f2d96bf5-a2b3-4f6c-9747-920166050c6f" ] }, { "id" : "ITEM-2", "itemData" : { "DOI" : "10.1016/j.renene.2015.03.059", "ISSN" : "09601481", "abstract" : "An efficient lipid transesterification method for marine microalga Chlorella sp. BDUG 91771 has been ascertained. Among the homogeneous alkali (NaOH), homogeneous acid (H2SO4), heterogeneous alkali (CaO), heterogeneous acid (Fe2(SO4)3) and two-step transesterification methods (NaOH and H2SO4 or H2SO4 and NaOH) tested with 100\u00a0mg lipid, 12-ml methanol, 2-h reaction time, reaction temperature 65\u00a0\u00b1\u00a01\u00a0\u00b0C with stirring for 2\u00a0h, homogeneous acid catalysis was graded the best and its biodiesel yield was determined to be 45%. Of the different homogeneous acids tested, H2SO4 was regarded seamless. A maximum methyl ester yield of 60% was observed with 3.5% H2SO4, 2.5-h reaction time, which correlated well with the central composite design. Evidently, the spectra of 1H NMR, 13C NMR, FTIR and GC-FID unveiled that biodiesel from Chlorella sp. BDUG 91771 encompasses fatty acid methyl esters (FAMEs). Gas chromatographic analysis revealed abundant palmitic acid, oleic acid and palmitoleic acid and it also had the desired Degree of Unsaturation (DU) of 56.33, Long Chain Saturated Factor (LCSF) of 1.97 and Cold Filter Plugging Point (CFPP) of\u00a0\u221210.51. Further, density, viscosity, specific gravity, pour point, calorific value, acid value, total glycerol and ash content of algal biodiesel accords with the prescribed ASTM and European standard.", "author" : [ { "dropping-particle" : "", "family" : "Mathimani", "given" : "Thangavel", "non-dropping-particle" : "", "parse-names" : false, "suffix" : "" }, { "dropping-particle" : "", "family" : "Uma", "given" : "Lakshmanan", "non-dropping-particle" : "", "parse-names" : false, "suffix" : "" }, { "dropping-particle" : "", "family" : "Prabaharan", "given" : "Dharmar", "non-dropping-particle" : "", "parse-names" : false, "suffix" : "" } ], "container-title" : "Renewable Energy", "id" : "ITEM-2", "issued" : { "date-parts" : [ [ "2015", "9" ] ] }, "note" : "marine chlorella", "page" : "523-533", "title" : "Homogeneous acid catalysed transesterification of marine microalga Chlorella sp. BDUG 91771 lipid \u2013 An efficient biodiesel yield and its characterization", "type" : "article-journal", "volume" : "81" }, "uris" : [ "http://www.mendeley.com/documents/?uuid=8f4fe642-cc1a-43e9-a644-458fdeddfbe2" ] } ], "mendeley" : { "formattedCitation" : "&lt;sup&gt;29,30&lt;/sup&gt;", "plainTextFormattedCitation" : "29,30", "previouslyFormattedCitation" : "&lt;sup&gt;29,30&lt;/sup&gt;" }, "properties" : { "noteIndex" : 0 }, "schema" : "https://github.com/citation-style-language/schema/raw/master/csl-citation.json" }</w:instrText>
      </w:r>
      <w:r w:rsidRPr="00B77BD6">
        <w:rPr>
          <w:rFonts w:ascii="Times New Roman" w:hAnsi="Times New Roman"/>
          <w:spacing w:val="-2"/>
          <w:sz w:val="20"/>
          <w:szCs w:val="20"/>
        </w:rPr>
        <w:fldChar w:fldCharType="separate"/>
      </w:r>
      <w:r w:rsidRPr="00B77BD6">
        <w:rPr>
          <w:rFonts w:ascii="Times New Roman" w:hAnsi="Times New Roman"/>
          <w:noProof/>
          <w:spacing w:val="-2"/>
          <w:sz w:val="20"/>
          <w:szCs w:val="20"/>
        </w:rPr>
        <w:t>29, 30</w:t>
      </w:r>
      <w:r w:rsidRPr="00B77BD6">
        <w:rPr>
          <w:rFonts w:ascii="Times New Roman" w:hAnsi="Times New Roman"/>
          <w:spacing w:val="-2"/>
          <w:sz w:val="20"/>
          <w:szCs w:val="20"/>
        </w:rPr>
        <w:fldChar w:fldCharType="end"/>
      </w:r>
      <w:r w:rsidRPr="00B77BD6">
        <w:rPr>
          <w:rFonts w:ascii="Times New Roman" w:hAnsi="Times New Roman"/>
          <w:spacing w:val="-2"/>
          <w:sz w:val="20"/>
          <w:szCs w:val="20"/>
        </w:rPr>
        <w:t xml:space="preserve">]. Other result from NCBI also showed that several microalgae which were isolated from South China Sea were confirmed to be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species. Thus, it make the morphological identification of this experiment valid to be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  Further identification was confirmed with molecular identification with genes sequencing. </w:t>
      </w:r>
    </w:p>
    <w:p w:rsidR="00B77BD6" w:rsidRPr="00B77BD6" w:rsidRDefault="00B77BD6" w:rsidP="00B77BD6">
      <w:pPr>
        <w:spacing w:after="0" w:line="240" w:lineRule="auto"/>
        <w:ind w:firstLine="720"/>
        <w:jc w:val="both"/>
        <w:outlineLvl w:val="0"/>
        <w:rPr>
          <w:rFonts w:ascii="Times New Roman" w:hAnsi="Times New Roman"/>
          <w:spacing w:val="-2"/>
          <w:sz w:val="20"/>
          <w:szCs w:val="20"/>
          <w:lang w:val="en-GB"/>
        </w:rPr>
      </w:pPr>
    </w:p>
    <w:p w:rsidR="00B77BD6" w:rsidRPr="00B77BD6" w:rsidRDefault="00B77BD6" w:rsidP="00B77BD6">
      <w:pPr>
        <w:pStyle w:val="JESTECAbstract"/>
        <w:spacing w:before="0"/>
        <w:ind w:left="0" w:right="27"/>
        <w:rPr>
          <w:rFonts w:eastAsia="Times New Roman"/>
          <w:spacing w:val="-2"/>
          <w:sz w:val="20"/>
          <w:szCs w:val="20"/>
        </w:rPr>
      </w:pPr>
    </w:p>
    <w:p w:rsidR="00B77BD6" w:rsidRPr="00B77BD6" w:rsidRDefault="00B77BD6" w:rsidP="00B77BD6">
      <w:pPr>
        <w:pStyle w:val="JESTECAbstract"/>
        <w:spacing w:before="0"/>
        <w:ind w:left="0" w:right="27"/>
        <w:jc w:val="center"/>
        <w:rPr>
          <w:sz w:val="20"/>
          <w:szCs w:val="20"/>
        </w:rPr>
      </w:pPr>
      <w:r w:rsidRPr="00B77BD6">
        <w:rPr>
          <w:noProof/>
          <w:sz w:val="20"/>
          <w:szCs w:val="20"/>
          <w:lang w:val="en-US"/>
        </w:rPr>
        <mc:AlternateContent>
          <mc:Choice Requires="wps">
            <w:drawing>
              <wp:anchor distT="0" distB="0" distL="114300" distR="114300" simplePos="0" relativeHeight="251662848" behindDoc="0" locked="0" layoutInCell="1" allowOverlap="1" wp14:anchorId="5352839C" wp14:editId="1F8FCF6A">
                <wp:simplePos x="0" y="0"/>
                <wp:positionH relativeFrom="column">
                  <wp:posOffset>5334000</wp:posOffset>
                </wp:positionH>
                <wp:positionV relativeFrom="paragraph">
                  <wp:posOffset>50800</wp:posOffset>
                </wp:positionV>
                <wp:extent cx="419100" cy="262255"/>
                <wp:effectExtent l="0" t="0" r="19050" b="23495"/>
                <wp:wrapNone/>
                <wp:docPr id="15" name="Text Box 15"/>
                <wp:cNvGraphicFramePr/>
                <a:graphic xmlns:a="http://schemas.openxmlformats.org/drawingml/2006/main">
                  <a:graphicData uri="http://schemas.microsoft.com/office/word/2010/wordprocessingShape">
                    <wps:wsp>
                      <wps:cNvSpPr txBox="1"/>
                      <wps:spPr>
                        <a:xfrm>
                          <a:off x="0" y="0"/>
                          <a:ext cx="419100" cy="262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77BD6" w:rsidRPr="00BB230F" w:rsidRDefault="00B77BD6" w:rsidP="00B77BD6">
                            <w:pPr>
                              <w:rPr>
                                <w:rFonts w:ascii="Times New Roman" w:hAnsi="Times New Roman"/>
                              </w:rPr>
                            </w:pPr>
                            <w:r>
                              <w:rPr>
                                <w:rFonts w:ascii="Times New Roman" w:hAnsi="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7" type="#_x0000_t202" style="position:absolute;left:0;text-align:left;margin-left:420pt;margin-top:4pt;width:33pt;height:20.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" fillcolor="white [3201]" strokeweight=".5pt">
                <v:textbox>
                  <w:txbxContent>
                    <w:p w:rsidR="00B77BD6" w:rsidRPr="00BB230F" w:rsidRDefault="00B77BD6" w:rsidP="00B77BD6">
                      <w:pPr>
                        <w:rPr>
                          <w:rFonts w:ascii="Times New Roman" w:hAnsi="Times New Roman"/>
                        </w:rPr>
                      </w:pPr>
                      <w:r>
                        <w:rPr>
                          <w:rFonts w:ascii="Times New Roman" w:hAnsi="Times New Roman"/>
                        </w:rPr>
                        <w:t>(c</w:t>
                      </w:r>
                      <w:r>
                        <w:rPr>
                          <w:rFonts w:ascii="Times New Roman" w:hAnsi="Times New Roman"/>
                        </w:rPr>
                        <w:t>)</w:t>
                      </w:r>
                    </w:p>
                  </w:txbxContent>
                </v:textbox>
              </v:shape>
            </w:pict>
          </mc:Fallback>
        </mc:AlternateContent>
      </w:r>
      <w:r w:rsidRPr="00B77BD6">
        <w:rPr>
          <w:noProof/>
          <w:sz w:val="20"/>
          <w:szCs w:val="20"/>
          <w:lang w:val="en-US"/>
        </w:rPr>
        <mc:AlternateContent>
          <mc:Choice Requires="wps">
            <w:drawing>
              <wp:anchor distT="0" distB="0" distL="114300" distR="114300" simplePos="0" relativeHeight="251661824" behindDoc="0" locked="0" layoutInCell="1" allowOverlap="1" wp14:anchorId="43F05DFE" wp14:editId="7752BF19">
                <wp:simplePos x="0" y="0"/>
                <wp:positionH relativeFrom="column">
                  <wp:posOffset>3418840</wp:posOffset>
                </wp:positionH>
                <wp:positionV relativeFrom="paragraph">
                  <wp:posOffset>50800</wp:posOffset>
                </wp:positionV>
                <wp:extent cx="390525" cy="262255"/>
                <wp:effectExtent l="0" t="0" r="28575" b="23495"/>
                <wp:wrapNone/>
                <wp:docPr id="8" name="Text Box 8"/>
                <wp:cNvGraphicFramePr/>
                <a:graphic xmlns:a="http://schemas.openxmlformats.org/drawingml/2006/main">
                  <a:graphicData uri="http://schemas.microsoft.com/office/word/2010/wordprocessingShape">
                    <wps:wsp>
                      <wps:cNvSpPr txBox="1"/>
                      <wps:spPr>
                        <a:xfrm>
                          <a:off x="0" y="0"/>
                          <a:ext cx="390525" cy="262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77BD6" w:rsidRPr="00BB230F" w:rsidRDefault="00B77BD6" w:rsidP="00B77BD6">
                            <w:pPr>
                              <w:rPr>
                                <w:rFonts w:ascii="Times New Roman" w:hAnsi="Times New Roman"/>
                              </w:rPr>
                            </w:pPr>
                            <w:r>
                              <w:rPr>
                                <w:rFonts w:ascii="Times New Roman" w:hAnsi="Times New Roman"/>
                              </w:rPr>
                              <w:t>(b)</w:t>
                            </w:r>
                            <w:r w:rsidRPr="00BB230F">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269.2pt;margin-top:4pt;width:30.75pt;height:20.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" fillcolor="white [3201]" strokeweight=".5pt">
                <v:textbox>
                  <w:txbxContent>
                    <w:p w:rsidR="00B77BD6" w:rsidRPr="00BB230F" w:rsidRDefault="00B77BD6" w:rsidP="00B77BD6">
                      <w:pPr>
                        <w:rPr>
                          <w:rFonts w:ascii="Times New Roman" w:hAnsi="Times New Roman"/>
                        </w:rPr>
                      </w:pPr>
                      <w:r>
                        <w:rPr>
                          <w:rFonts w:ascii="Times New Roman" w:hAnsi="Times New Roman"/>
                        </w:rPr>
                        <w:t>(b</w:t>
                      </w:r>
                      <w:r>
                        <w:rPr>
                          <w:rFonts w:ascii="Times New Roman" w:hAnsi="Times New Roman"/>
                        </w:rPr>
                        <w:t>)</w:t>
                      </w:r>
                      <w:r w:rsidRPr="00BB230F">
                        <w:rPr>
                          <w:rFonts w:ascii="Times New Roman" w:hAnsi="Times New Roman"/>
                        </w:rPr>
                        <w:t>)</w:t>
                      </w:r>
                    </w:p>
                  </w:txbxContent>
                </v:textbox>
              </v:shape>
            </w:pict>
          </mc:Fallback>
        </mc:AlternateContent>
      </w:r>
      <w:r w:rsidRPr="00B77BD6">
        <w:rPr>
          <w:noProof/>
          <w:sz w:val="20"/>
          <w:szCs w:val="20"/>
          <w:lang w:val="en-US"/>
        </w:rPr>
        <mc:AlternateContent>
          <mc:Choice Requires="wps">
            <w:drawing>
              <wp:anchor distT="0" distB="0" distL="114300" distR="114300" simplePos="0" relativeHeight="251660800" behindDoc="0" locked="0" layoutInCell="1" allowOverlap="1" wp14:anchorId="3C7A1C84" wp14:editId="33A4C627">
                <wp:simplePos x="0" y="0"/>
                <wp:positionH relativeFrom="column">
                  <wp:posOffset>1485265</wp:posOffset>
                </wp:positionH>
                <wp:positionV relativeFrom="paragraph">
                  <wp:posOffset>50800</wp:posOffset>
                </wp:positionV>
                <wp:extent cx="390525" cy="262255"/>
                <wp:effectExtent l="0" t="0" r="28575" b="23495"/>
                <wp:wrapNone/>
                <wp:docPr id="7" name="Text Box 7"/>
                <wp:cNvGraphicFramePr/>
                <a:graphic xmlns:a="http://schemas.openxmlformats.org/drawingml/2006/main">
                  <a:graphicData uri="http://schemas.microsoft.com/office/word/2010/wordprocessingShape">
                    <wps:wsp>
                      <wps:cNvSpPr txBox="1"/>
                      <wps:spPr>
                        <a:xfrm>
                          <a:off x="0" y="0"/>
                          <a:ext cx="390525" cy="262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77BD6" w:rsidRPr="00BB230F" w:rsidRDefault="00B77BD6" w:rsidP="00B77BD6">
                            <w:pPr>
                              <w:rPr>
                                <w:rFonts w:ascii="Times New Roman" w:hAnsi="Times New Roman"/>
                              </w:rPr>
                            </w:pPr>
                            <w:r w:rsidRPr="00BB230F">
                              <w:rPr>
                                <w:rFonts w:ascii="Times New Roman" w:hAnsi="Times New Roman"/>
                              </w:rPr>
                              <w:t>(a</w:t>
                            </w:r>
                            <w:r>
                              <w:rPr>
                                <w:rFonts w:ascii="Times New Roman" w:hAnsi="Times New Roman"/>
                              </w:rPr>
                              <w:t>)</w:t>
                            </w:r>
                            <w:r w:rsidRPr="00BB230F">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16.95pt;margin-top:4pt;width:30.75pt;height:20.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" fillcolor="white [3201]" strokeweight=".5pt">
                <v:textbox>
                  <w:txbxContent>
                    <w:p w:rsidR="00B77BD6" w:rsidRPr="00BB230F" w:rsidRDefault="00B77BD6" w:rsidP="00B77BD6">
                      <w:pPr>
                        <w:rPr>
                          <w:rFonts w:ascii="Times New Roman" w:hAnsi="Times New Roman"/>
                        </w:rPr>
                      </w:pPr>
                      <w:r w:rsidRPr="00BB230F">
                        <w:rPr>
                          <w:rFonts w:ascii="Times New Roman" w:hAnsi="Times New Roman"/>
                        </w:rPr>
                        <w:t>(a</w:t>
                      </w:r>
                      <w:r>
                        <w:rPr>
                          <w:rFonts w:ascii="Times New Roman" w:hAnsi="Times New Roman"/>
                        </w:rPr>
                        <w:t>)</w:t>
                      </w:r>
                      <w:r w:rsidRPr="00BB230F">
                        <w:rPr>
                          <w:rFonts w:ascii="Times New Roman" w:hAnsi="Times New Roman"/>
                        </w:rPr>
                        <w:t>)</w:t>
                      </w:r>
                    </w:p>
                  </w:txbxContent>
                </v:textbox>
              </v:shape>
            </w:pict>
          </mc:Fallback>
        </mc:AlternateContent>
      </w:r>
      <w:r w:rsidRPr="00B77BD6">
        <w:rPr>
          <w:noProof/>
          <w:sz w:val="20"/>
          <w:szCs w:val="20"/>
          <w:lang w:val="en-US"/>
        </w:rPr>
        <w:drawing>
          <wp:inline distT="0" distB="0" distL="0" distR="0" wp14:anchorId="5A0B493C" wp14:editId="7E055703">
            <wp:extent cx="5722620" cy="1630017"/>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40479" cy="1635104"/>
                    </a:xfrm>
                    <a:prstGeom prst="rect">
                      <a:avLst/>
                    </a:prstGeom>
                    <a:noFill/>
                    <a:ln>
                      <a:noFill/>
                    </a:ln>
                  </pic:spPr>
                </pic:pic>
              </a:graphicData>
            </a:graphic>
          </wp:inline>
        </w:drawing>
      </w:r>
    </w:p>
    <w:p w:rsidR="00B77BD6" w:rsidRPr="00B77BD6" w:rsidRDefault="00B77BD6" w:rsidP="00B77BD6">
      <w:pPr>
        <w:pStyle w:val="JESTECAbstract"/>
        <w:spacing w:before="0"/>
        <w:ind w:right="27"/>
        <w:rPr>
          <w:sz w:val="20"/>
          <w:szCs w:val="20"/>
        </w:rPr>
      </w:pPr>
      <w:r w:rsidRPr="00B77BD6">
        <w:rPr>
          <w:sz w:val="20"/>
          <w:szCs w:val="20"/>
        </w:rPr>
        <w:t xml:space="preserve">   </w:t>
      </w:r>
      <w:r w:rsidRPr="00B77BD6">
        <w:rPr>
          <w:sz w:val="20"/>
          <w:szCs w:val="20"/>
        </w:rPr>
        <w:tab/>
      </w:r>
      <w:r w:rsidRPr="00B77BD6">
        <w:rPr>
          <w:sz w:val="20"/>
          <w:szCs w:val="20"/>
        </w:rPr>
        <w:tab/>
      </w:r>
      <w:r w:rsidRPr="00B77BD6">
        <w:rPr>
          <w:sz w:val="20"/>
          <w:szCs w:val="20"/>
        </w:rPr>
        <w:tab/>
        <w:t xml:space="preserve">   </w:t>
      </w:r>
      <w:r w:rsidRPr="00B77BD6">
        <w:rPr>
          <w:sz w:val="20"/>
          <w:szCs w:val="20"/>
        </w:rPr>
        <w:tab/>
      </w:r>
      <w:r w:rsidRPr="00B77BD6">
        <w:rPr>
          <w:sz w:val="20"/>
          <w:szCs w:val="20"/>
        </w:rPr>
        <w:tab/>
      </w:r>
      <w:r w:rsidRPr="00B77BD6">
        <w:rPr>
          <w:sz w:val="20"/>
          <w:szCs w:val="20"/>
        </w:rPr>
        <w:tab/>
        <w:t xml:space="preserve">           </w:t>
      </w:r>
    </w:p>
    <w:p w:rsidR="00B77BD6" w:rsidRPr="00B77BD6" w:rsidRDefault="00B77BD6" w:rsidP="00B77BD6">
      <w:pPr>
        <w:pStyle w:val="JESTECAbstract"/>
        <w:spacing w:before="0"/>
        <w:ind w:left="851" w:right="27" w:hanging="851"/>
        <w:rPr>
          <w:spacing w:val="-2"/>
          <w:sz w:val="20"/>
          <w:szCs w:val="20"/>
        </w:rPr>
      </w:pPr>
      <w:r w:rsidRPr="00B77BD6">
        <w:rPr>
          <w:sz w:val="20"/>
          <w:szCs w:val="20"/>
        </w:rPr>
        <w:t xml:space="preserve">Figure 4. </w:t>
      </w:r>
      <w:r>
        <w:rPr>
          <w:sz w:val="20"/>
          <w:szCs w:val="20"/>
        </w:rPr>
        <w:tab/>
      </w:r>
      <w:r w:rsidRPr="00B77BD6">
        <w:rPr>
          <w:sz w:val="20"/>
          <w:szCs w:val="20"/>
        </w:rPr>
        <w:t xml:space="preserve">Morphological observation of (1)isolated microalgae (40x magnification) with comparison from (2) Imase et al. and (3) </w:t>
      </w:r>
      <w:r w:rsidRPr="00B77BD6">
        <w:rPr>
          <w:i/>
          <w:sz w:val="20"/>
          <w:szCs w:val="20"/>
        </w:rPr>
        <w:t>Chlorella</w:t>
      </w:r>
      <w:r w:rsidRPr="00B77BD6">
        <w:rPr>
          <w:sz w:val="20"/>
          <w:szCs w:val="20"/>
        </w:rPr>
        <w:t xml:space="preserve"> sp. of UTEX (1000x magnification) </w:t>
      </w:r>
      <w:r w:rsidRPr="00B77BD6">
        <w:rPr>
          <w:spacing w:val="-2"/>
          <w:sz w:val="20"/>
          <w:szCs w:val="20"/>
        </w:rPr>
        <w:t>[</w:t>
      </w:r>
      <w:r w:rsidRPr="00B77BD6">
        <w:rPr>
          <w:spacing w:val="-2"/>
          <w:sz w:val="20"/>
          <w:szCs w:val="20"/>
        </w:rPr>
        <w:fldChar w:fldCharType="begin" w:fldLock="1"/>
      </w:r>
      <w:r w:rsidRPr="00B77BD6">
        <w:rPr>
          <w:spacing w:val="-2"/>
          <w:sz w:val="20"/>
          <w:szCs w:val="20"/>
        </w:rPr>
        <w:instrText>ADDIN CSL_CITATION { "citationItems" : [ { "id" : "ITEM-1", "itemData" : { "DOI" : "10.1111/j.1574-6941.2007.00434.x", "ISSN" : "01686496", "PMID" : "18269632", "abstract" : "Chlorella sorokiniana IAM C-212 produces a polysaccharide gel, termed a sheath, under photoautotrophic conditions. The C. sorokiniana sheath is a suitable habitat for several symbiotic microorganisms because it ensures close proximity between the C. sorokiniana and symbionts. In this study, we established a method for increasing the volume of the sheath produced by C. sorokiniana, and proposed a method for constructing artificial communities of Chlorella and symbiotic microorganisms. The C. sorokiniana sheath was increased by addition of calcium chloride solution. The sheath resulted in coflocculation of C. sorokiniana and the associated symbiotic bacteria, thus strengthening the bacterial-Chlorella symbiotic association. An application of this technique was demonstrated by constructing a complex of C. sorokiniana and a propionate-degrading bacterium (PDS1). Although propionate inhibited the growth of axenic C. sorokiniana, the C. sorokiniana-PDS1 complex showed good growth in a medium containing a high concentration of propionate.", "author" : [ { "dropping-particle" : "", "family" : "Imase", "given" : "Masato", "non-dropping-particle" : "", "parse-names" : false, "suffix" : "" }, { "dropping-particle" : "", "family" : "Watanabe", "given" : "Keiji", "non-dropping-particle" : "", "parse-names" : false, "suffix" : "" }, { "dropping-particle" : "", "family" : "Aoyagi", "given" : "Hideki", "non-dropping-particle" : "", "parse-names" : false, "suffix" : "" }, { "dropping-particle" : "", "family" : "Tanaka", "given" : "Hideo", "non-dropping-particle" : "", "parse-names" : false, "suffix" : "" } ], "container-title" : "FEMS Microbiology Ecology", "id" : "ITEM-1", "issue" : "3", "issued" : { "date-parts" : [ [ "2008" ] ] }, "page" : "273-282", "title" : "Construction of an artificial symbiotic community using a Chlorella-symbiont association as a model", "type" : "article-journal", "volume" : "63" }, "uris" : [ "http://www.mendeley.com/documents/?uuid=683bf9d7-d6b8-4074-bc3e-63c780d88883" ] } ], "mendeley" : { "formattedCitation" : "&lt;sup&gt;31&lt;/sup&gt;", "plainTextFormattedCitation" : "31", "previouslyFormattedCitation" : "&lt;sup&gt;31&lt;/sup&gt;" }, "properties" : { "noteIndex" : 0 }, "schema" : "https://github.com/citation-style-language/schema/raw/master/csl-citation.json" }</w:instrText>
      </w:r>
      <w:r w:rsidRPr="00B77BD6">
        <w:rPr>
          <w:spacing w:val="-2"/>
          <w:sz w:val="20"/>
          <w:szCs w:val="20"/>
        </w:rPr>
        <w:fldChar w:fldCharType="separate"/>
      </w:r>
      <w:r w:rsidRPr="00B77BD6">
        <w:rPr>
          <w:spacing w:val="-2"/>
          <w:sz w:val="20"/>
          <w:szCs w:val="20"/>
        </w:rPr>
        <w:t>31</w:t>
      </w:r>
      <w:r w:rsidRPr="00B77BD6">
        <w:rPr>
          <w:spacing w:val="-2"/>
          <w:sz w:val="20"/>
          <w:szCs w:val="20"/>
        </w:rPr>
        <w:fldChar w:fldCharType="end"/>
      </w:r>
      <w:r w:rsidRPr="00B77BD6">
        <w:rPr>
          <w:spacing w:val="-2"/>
          <w:sz w:val="20"/>
          <w:szCs w:val="20"/>
        </w:rPr>
        <w:t>]</w:t>
      </w:r>
    </w:p>
    <w:p w:rsidR="00B77BD6" w:rsidRDefault="00B77BD6" w:rsidP="00B77BD6">
      <w:pPr>
        <w:pStyle w:val="JESTECAbstract"/>
        <w:spacing w:before="0"/>
        <w:ind w:left="0" w:right="27"/>
        <w:rPr>
          <w:noProof/>
          <w:spacing w:val="-2"/>
          <w:sz w:val="20"/>
          <w:szCs w:val="20"/>
          <w:lang w:val="en-MY" w:eastAsia="en-MY"/>
        </w:rPr>
      </w:pPr>
      <w:r w:rsidRPr="00B77BD6">
        <w:rPr>
          <w:noProof/>
          <w:spacing w:val="-2"/>
          <w:sz w:val="20"/>
          <w:szCs w:val="20"/>
          <w:lang w:val="en-MY" w:eastAsia="en-MY"/>
        </w:rPr>
        <w:t xml:space="preserve"> </w:t>
      </w:r>
    </w:p>
    <w:p w:rsidR="00B77BD6" w:rsidRPr="00B77BD6" w:rsidRDefault="00B77BD6" w:rsidP="00B77BD6">
      <w:pPr>
        <w:pStyle w:val="JESTECAbstract"/>
        <w:spacing w:before="0"/>
        <w:ind w:left="0" w:right="27"/>
        <w:rPr>
          <w:noProof/>
          <w:spacing w:val="-2"/>
          <w:sz w:val="20"/>
          <w:szCs w:val="20"/>
          <w:lang w:val="en-MY" w:eastAsia="en-MY"/>
        </w:rPr>
      </w:pPr>
    </w:p>
    <w:p w:rsidR="00B77BD6" w:rsidRPr="00B77BD6" w:rsidRDefault="00B77BD6" w:rsidP="00B77BD6">
      <w:pPr>
        <w:spacing w:after="0" w:line="240" w:lineRule="auto"/>
        <w:ind w:right="27"/>
        <w:jc w:val="both"/>
        <w:rPr>
          <w:rFonts w:ascii="Times New Roman" w:eastAsia="SimSun" w:hAnsi="Times New Roman"/>
          <w:b/>
          <w:spacing w:val="-2"/>
          <w:sz w:val="20"/>
          <w:szCs w:val="20"/>
          <w:lang w:val="en-GB"/>
        </w:rPr>
      </w:pPr>
      <w:r w:rsidRPr="00B77BD6">
        <w:rPr>
          <w:rFonts w:ascii="Times New Roman" w:eastAsia="SimSun" w:hAnsi="Times New Roman"/>
          <w:b/>
          <w:spacing w:val="-2"/>
          <w:sz w:val="20"/>
          <w:szCs w:val="20"/>
          <w:lang w:val="en-GB"/>
        </w:rPr>
        <w:t>Molecular identification of microalgae</w:t>
      </w: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lang w:val="en-GB"/>
        </w:rPr>
        <w:t>Extraction and Purification of gDNA was conducted with a procedure suggested by the manual form the manufacturer (Promega) as mention in methodology section. Extracted gDNA then amplified using PCR with 18s rRNA primer before it is sequenced. Figure 5 showed that PCR product were run into gel for confirmations before the PCR product undergoes sequencing process.</w:t>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B77BD6">
      <w:pPr>
        <w:pStyle w:val="JESTECAbstract"/>
        <w:spacing w:before="0"/>
        <w:ind w:left="0" w:right="27"/>
        <w:rPr>
          <w:rFonts w:eastAsia="Times New Roman"/>
          <w:spacing w:val="-2"/>
          <w:sz w:val="20"/>
          <w:szCs w:val="20"/>
        </w:rPr>
      </w:pPr>
      <w:r w:rsidRPr="00B77BD6">
        <w:rPr>
          <w:rFonts w:eastAsia="Times New Roman"/>
          <w:spacing w:val="-2"/>
          <w:sz w:val="20"/>
          <w:szCs w:val="20"/>
        </w:rPr>
        <w:lastRenderedPageBreak/>
        <w:tab/>
        <w:t xml:space="preserve"> </w:t>
      </w:r>
    </w:p>
    <w:p w:rsidR="00B77BD6" w:rsidRPr="00B77BD6" w:rsidRDefault="00B77BD6" w:rsidP="00B77BD6">
      <w:pPr>
        <w:pStyle w:val="JESTECAbstract"/>
        <w:spacing w:before="0"/>
        <w:ind w:left="0" w:right="27"/>
        <w:jc w:val="center"/>
        <w:rPr>
          <w:noProof/>
          <w:spacing w:val="-2"/>
          <w:sz w:val="20"/>
          <w:szCs w:val="20"/>
          <w:lang w:val="en-MY" w:eastAsia="en-MY"/>
        </w:rPr>
      </w:pPr>
      <w:r w:rsidRPr="00B77BD6">
        <w:rPr>
          <w:noProof/>
          <w:spacing w:val="-2"/>
          <w:sz w:val="20"/>
          <w:szCs w:val="20"/>
          <w:lang w:val="en-US"/>
        </w:rPr>
        <w:drawing>
          <wp:inline distT="0" distB="0" distL="0" distR="0" wp14:anchorId="2DE81496" wp14:editId="3B6A9A21">
            <wp:extent cx="2080260" cy="26593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0260" cy="2659380"/>
                    </a:xfrm>
                    <a:prstGeom prst="rect">
                      <a:avLst/>
                    </a:prstGeom>
                    <a:noFill/>
                    <a:ln>
                      <a:noFill/>
                    </a:ln>
                  </pic:spPr>
                </pic:pic>
              </a:graphicData>
            </a:graphic>
          </wp:inline>
        </w:drawing>
      </w:r>
      <w:r w:rsidRPr="00B77BD6">
        <w:rPr>
          <w:noProof/>
          <w:spacing w:val="-2"/>
          <w:sz w:val="20"/>
          <w:szCs w:val="20"/>
          <w:lang w:val="en-US"/>
        </w:rPr>
        <w:drawing>
          <wp:inline distT="0" distB="0" distL="0" distR="0" wp14:anchorId="03A7C373" wp14:editId="5601D5FD">
            <wp:extent cx="952500" cy="23393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2339340"/>
                    </a:xfrm>
                    <a:prstGeom prst="rect">
                      <a:avLst/>
                    </a:prstGeom>
                    <a:noFill/>
                    <a:ln>
                      <a:noFill/>
                    </a:ln>
                  </pic:spPr>
                </pic:pic>
              </a:graphicData>
            </a:graphic>
          </wp:inline>
        </w:drawing>
      </w:r>
    </w:p>
    <w:p w:rsidR="00B77BD6" w:rsidRPr="00B77BD6" w:rsidRDefault="00B77BD6" w:rsidP="00B77BD6">
      <w:pPr>
        <w:pStyle w:val="JESTECAbstract"/>
        <w:spacing w:before="0"/>
        <w:ind w:left="0" w:right="27"/>
        <w:rPr>
          <w:noProof/>
          <w:spacing w:val="-2"/>
          <w:sz w:val="20"/>
          <w:szCs w:val="20"/>
          <w:lang w:val="en-MY" w:eastAsia="en-MY"/>
        </w:rPr>
      </w:pPr>
    </w:p>
    <w:p w:rsidR="00B77BD6" w:rsidRPr="00B77BD6" w:rsidRDefault="00B77BD6" w:rsidP="00B77BD6">
      <w:pPr>
        <w:pStyle w:val="JESTECAbstract"/>
        <w:spacing w:before="0"/>
        <w:ind w:left="900" w:right="27" w:hanging="900"/>
        <w:rPr>
          <w:spacing w:val="-2"/>
          <w:sz w:val="20"/>
          <w:szCs w:val="20"/>
        </w:rPr>
      </w:pPr>
      <w:r w:rsidRPr="00B77BD6">
        <w:rPr>
          <w:spacing w:val="-2"/>
          <w:sz w:val="20"/>
          <w:szCs w:val="20"/>
        </w:rPr>
        <w:t xml:space="preserve">Figure 5. </w:t>
      </w:r>
      <w:r>
        <w:rPr>
          <w:spacing w:val="-2"/>
          <w:sz w:val="20"/>
          <w:szCs w:val="20"/>
        </w:rPr>
        <w:t xml:space="preserve"> </w:t>
      </w:r>
      <w:r>
        <w:rPr>
          <w:spacing w:val="-2"/>
          <w:sz w:val="20"/>
          <w:szCs w:val="20"/>
        </w:rPr>
        <w:tab/>
      </w:r>
      <w:r w:rsidRPr="00B77BD6">
        <w:rPr>
          <w:spacing w:val="-2"/>
          <w:sz w:val="20"/>
          <w:szCs w:val="20"/>
        </w:rPr>
        <w:t>Result of PCR gel run on the ladder. Negative (-) was the PCR non-tem</w:t>
      </w:r>
      <w:r>
        <w:rPr>
          <w:spacing w:val="-2"/>
          <w:sz w:val="20"/>
          <w:szCs w:val="20"/>
        </w:rPr>
        <w:t xml:space="preserve">plate control (water only), and </w:t>
      </w:r>
      <w:r w:rsidRPr="00B77BD6">
        <w:rPr>
          <w:spacing w:val="-2"/>
          <w:sz w:val="20"/>
          <w:szCs w:val="20"/>
        </w:rPr>
        <w:t>positive (+) is positive control using DNA extracted from human blood sample as a template</w:t>
      </w:r>
    </w:p>
    <w:p w:rsidR="00B77BD6" w:rsidRDefault="00B77BD6" w:rsidP="00B77BD6">
      <w:pPr>
        <w:pStyle w:val="JESTECAbstract"/>
        <w:spacing w:before="0"/>
        <w:ind w:left="0" w:right="27"/>
        <w:rPr>
          <w:noProof/>
          <w:spacing w:val="-2"/>
          <w:sz w:val="20"/>
          <w:szCs w:val="20"/>
          <w:lang w:val="en-MY" w:eastAsia="en-MY"/>
        </w:rPr>
      </w:pPr>
    </w:p>
    <w:p w:rsidR="00B77BD6" w:rsidRPr="00B77BD6" w:rsidRDefault="00B77BD6" w:rsidP="00B77BD6">
      <w:pPr>
        <w:pStyle w:val="JESTECAbstract"/>
        <w:spacing w:before="0"/>
        <w:ind w:left="0" w:right="27"/>
        <w:rPr>
          <w:noProof/>
          <w:spacing w:val="-2"/>
          <w:sz w:val="20"/>
          <w:szCs w:val="20"/>
          <w:lang w:val="en-MY" w:eastAsia="en-MY"/>
        </w:rPr>
      </w:pPr>
    </w:p>
    <w:p w:rsidR="00B77BD6" w:rsidRPr="00B77BD6" w:rsidRDefault="00B77BD6" w:rsidP="00B77BD6">
      <w:pPr>
        <w:spacing w:after="0" w:line="240" w:lineRule="auto"/>
        <w:jc w:val="both"/>
        <w:rPr>
          <w:rFonts w:ascii="Times New Roman" w:hAnsi="Times New Roman"/>
          <w:spacing w:val="-2"/>
          <w:sz w:val="20"/>
          <w:szCs w:val="20"/>
          <w:lang w:val="en-GB"/>
        </w:rPr>
      </w:pPr>
      <w:r w:rsidRPr="00B77BD6">
        <w:rPr>
          <w:rFonts w:ascii="Times New Roman" w:hAnsi="Times New Roman"/>
          <w:spacing w:val="-2"/>
          <w:sz w:val="20"/>
          <w:szCs w:val="20"/>
        </w:rPr>
        <w:t xml:space="preserve">PCR product which has been successfully sequenced has the size of 1792bp. Full sequenced by 18s rRNA gave full sequenced of the isolated microalgae. Full sequenced obtained from sequencing process was blast into the NCBI BLAST software to compare the obtained result with the gene bank for the identification purpose. Top ten hits blast result were observed and showed in the Figure 6 in the form of phylogenetic tree where most of the result showed the similarity to the isolated microalgae from the coal-fired power plant. Result from the list of showed seven out of ten confirm up to 99% that an isolated, purified and sequenced microalgae is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 Thus, from molecular result plus with similar characteristic by morphological identification, it was confirm that isolated microalgae were </w:t>
      </w:r>
      <w:r w:rsidRPr="00B77BD6">
        <w:rPr>
          <w:rFonts w:ascii="Times New Roman" w:hAnsi="Times New Roman"/>
          <w:i/>
          <w:spacing w:val="-2"/>
          <w:sz w:val="20"/>
          <w:szCs w:val="20"/>
        </w:rPr>
        <w:t>Chlorella</w:t>
      </w:r>
      <w:r w:rsidRPr="00B77BD6">
        <w:rPr>
          <w:rFonts w:ascii="Times New Roman" w:hAnsi="Times New Roman"/>
          <w:spacing w:val="-2"/>
          <w:sz w:val="20"/>
          <w:szCs w:val="20"/>
        </w:rPr>
        <w:t xml:space="preserve"> sp.</w:t>
      </w:r>
    </w:p>
    <w:p w:rsidR="00B77BD6" w:rsidRPr="00B77BD6" w:rsidRDefault="00B77BD6" w:rsidP="00B77BD6">
      <w:pPr>
        <w:pStyle w:val="JESTECAbstract"/>
        <w:spacing w:before="0"/>
        <w:ind w:left="0" w:right="27"/>
        <w:rPr>
          <w:spacing w:val="-2"/>
          <w:sz w:val="20"/>
          <w:szCs w:val="20"/>
        </w:rPr>
      </w:pPr>
      <w:r w:rsidRPr="00B77BD6">
        <w:rPr>
          <w:spacing w:val="-2"/>
          <w:sz w:val="20"/>
          <w:szCs w:val="20"/>
        </w:rPr>
        <w:t xml:space="preserve"> </w:t>
      </w:r>
      <w:r w:rsidRPr="00B77BD6">
        <w:rPr>
          <w:spacing w:val="-2"/>
          <w:sz w:val="20"/>
          <w:szCs w:val="20"/>
        </w:rPr>
        <w:tab/>
      </w:r>
    </w:p>
    <w:p w:rsidR="00B77BD6" w:rsidRPr="00B77BD6" w:rsidRDefault="00B77BD6" w:rsidP="00B77BD6">
      <w:pPr>
        <w:pStyle w:val="JESTECAbstract"/>
        <w:spacing w:before="0"/>
        <w:ind w:left="0" w:right="27"/>
        <w:rPr>
          <w:spacing w:val="-2"/>
          <w:sz w:val="20"/>
          <w:szCs w:val="20"/>
        </w:rPr>
      </w:pPr>
    </w:p>
    <w:p w:rsidR="00B77BD6" w:rsidRPr="00B77BD6" w:rsidRDefault="00B77BD6" w:rsidP="007724A0">
      <w:pPr>
        <w:pStyle w:val="JESTECAbstract"/>
        <w:spacing w:before="0"/>
        <w:ind w:left="0" w:right="27"/>
        <w:jc w:val="center"/>
        <w:rPr>
          <w:noProof/>
          <w:spacing w:val="-2"/>
          <w:sz w:val="20"/>
          <w:szCs w:val="20"/>
          <w:lang w:val="en-MY" w:eastAsia="en-MY"/>
        </w:rPr>
      </w:pPr>
      <w:r w:rsidRPr="00B77BD6">
        <w:rPr>
          <w:noProof/>
          <w:spacing w:val="-2"/>
          <w:sz w:val="20"/>
          <w:szCs w:val="20"/>
          <w:lang w:val="en-US"/>
        </w:rPr>
        <w:drawing>
          <wp:inline distT="0" distB="0" distL="0" distR="0" wp14:anchorId="1F7B2221" wp14:editId="51D90FF3">
            <wp:extent cx="2376054" cy="2376054"/>
            <wp:effectExtent l="19050" t="19050" r="24765" b="24765"/>
            <wp:docPr id="17" name="Picture 17" descr="C:\Users\User\Pictures\CI TNBR phylogenetic 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Pictures\CI TNBR phylogenetic tre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7541" cy="2377541"/>
                    </a:xfrm>
                    <a:prstGeom prst="rect">
                      <a:avLst/>
                    </a:prstGeom>
                    <a:noFill/>
                    <a:ln w="3175">
                      <a:solidFill>
                        <a:schemeClr val="tx1"/>
                      </a:solidFill>
                    </a:ln>
                  </pic:spPr>
                </pic:pic>
              </a:graphicData>
            </a:graphic>
          </wp:inline>
        </w:drawing>
      </w: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B77BD6" w:rsidP="007724A0">
      <w:pPr>
        <w:spacing w:after="0" w:line="240" w:lineRule="auto"/>
        <w:jc w:val="center"/>
        <w:rPr>
          <w:rFonts w:ascii="Times New Roman" w:hAnsi="Times New Roman"/>
          <w:spacing w:val="-2"/>
          <w:sz w:val="20"/>
          <w:szCs w:val="20"/>
          <w:lang w:val="en-GB"/>
        </w:rPr>
      </w:pPr>
      <w:r w:rsidRPr="00B77BD6">
        <w:rPr>
          <w:rFonts w:ascii="Times New Roman" w:hAnsi="Times New Roman"/>
          <w:spacing w:val="-2"/>
          <w:sz w:val="20"/>
          <w:szCs w:val="20"/>
          <w:lang w:val="en-GB"/>
        </w:rPr>
        <w:t xml:space="preserve">Figure 6. </w:t>
      </w:r>
      <w:r w:rsidR="007724A0">
        <w:rPr>
          <w:rFonts w:ascii="Times New Roman" w:hAnsi="Times New Roman"/>
          <w:spacing w:val="-2"/>
          <w:sz w:val="20"/>
          <w:szCs w:val="20"/>
          <w:lang w:val="en-GB"/>
        </w:rPr>
        <w:t xml:space="preserve"> </w:t>
      </w:r>
      <w:r w:rsidRPr="00B77BD6">
        <w:rPr>
          <w:rFonts w:ascii="Times New Roman" w:hAnsi="Times New Roman"/>
          <w:spacing w:val="-2"/>
          <w:sz w:val="20"/>
          <w:szCs w:val="20"/>
          <w:lang w:val="en-GB"/>
        </w:rPr>
        <w:t xml:space="preserve">Top ten of phylogenetic tree of isolated microalgae; </w:t>
      </w:r>
      <w:r w:rsidRPr="00B77BD6">
        <w:rPr>
          <w:rFonts w:ascii="Times New Roman" w:hAnsi="Times New Roman"/>
          <w:i/>
          <w:spacing w:val="-2"/>
          <w:sz w:val="20"/>
          <w:szCs w:val="20"/>
          <w:lang w:val="en-GB"/>
        </w:rPr>
        <w:t>Chlorella</w:t>
      </w:r>
      <w:r w:rsidRPr="00B77BD6">
        <w:rPr>
          <w:rFonts w:ascii="Times New Roman" w:hAnsi="Times New Roman"/>
          <w:spacing w:val="-2"/>
          <w:sz w:val="20"/>
          <w:szCs w:val="20"/>
          <w:lang w:val="en-GB"/>
        </w:rPr>
        <w:t xml:space="preserve"> sp. from NCBI genes bank database</w:t>
      </w:r>
    </w:p>
    <w:p w:rsidR="007724A0" w:rsidRPr="00B77BD6" w:rsidRDefault="007724A0" w:rsidP="007724A0">
      <w:pPr>
        <w:pStyle w:val="JESTECAbstract"/>
        <w:spacing w:before="0"/>
        <w:ind w:left="0" w:right="27"/>
        <w:rPr>
          <w:rFonts w:eastAsia="Times New Roman"/>
          <w:spacing w:val="-2"/>
          <w:sz w:val="20"/>
          <w:szCs w:val="20"/>
        </w:rPr>
      </w:pPr>
      <w:r w:rsidRPr="00B77BD6">
        <w:rPr>
          <w:rFonts w:eastAsia="Times New Roman"/>
          <w:spacing w:val="-2"/>
          <w:sz w:val="20"/>
          <w:szCs w:val="20"/>
        </w:rPr>
        <w:lastRenderedPageBreak/>
        <w:t xml:space="preserve">Among the similar result from the phylogenetic tree, </w:t>
      </w:r>
      <w:r w:rsidRPr="00B77BD6">
        <w:rPr>
          <w:rFonts w:eastAsia="Times New Roman"/>
          <w:i/>
          <w:spacing w:val="-2"/>
          <w:sz w:val="20"/>
          <w:szCs w:val="20"/>
        </w:rPr>
        <w:t>Chlorella</w:t>
      </w:r>
      <w:r w:rsidRPr="00B77BD6">
        <w:rPr>
          <w:rFonts w:eastAsia="Times New Roman"/>
          <w:spacing w:val="-2"/>
          <w:sz w:val="20"/>
          <w:szCs w:val="20"/>
        </w:rPr>
        <w:t xml:space="preserve"> sp. SAG 211-18 showed similarity almost to 99%.  According to the data base from the Experimental Phycology and Culture Collection of Algae at the University of Goettingen (EPSAG), this microalgae which was formally called as </w:t>
      </w:r>
      <w:r w:rsidRPr="00B77BD6">
        <w:rPr>
          <w:rFonts w:eastAsia="Times New Roman"/>
          <w:i/>
          <w:spacing w:val="-2"/>
          <w:sz w:val="20"/>
          <w:szCs w:val="20"/>
        </w:rPr>
        <w:t>Chlorella sorokiniana</w:t>
      </w:r>
      <w:r w:rsidRPr="00B77BD6">
        <w:rPr>
          <w:rFonts w:eastAsia="Times New Roman"/>
          <w:spacing w:val="-2"/>
          <w:sz w:val="20"/>
          <w:szCs w:val="20"/>
        </w:rPr>
        <w:t xml:space="preserve"> was isolated from Sweden. The source of the microalgae was from freshwater habitat which is surrounded by the Baltic Sea. Similar to the isolated microalgae in this study, the species was exposed to harsh environment surrounding of coal-fired power plant and closed proximity to the marine environment.</w:t>
      </w:r>
    </w:p>
    <w:p w:rsidR="00B77BD6" w:rsidRPr="00B77BD6" w:rsidRDefault="00B77BD6" w:rsidP="007724A0">
      <w:pPr>
        <w:spacing w:after="0" w:line="240" w:lineRule="auto"/>
        <w:jc w:val="both"/>
        <w:rPr>
          <w:rFonts w:ascii="Times New Roman" w:hAnsi="Times New Roman"/>
          <w:spacing w:val="-2"/>
          <w:sz w:val="20"/>
          <w:szCs w:val="20"/>
          <w:lang w:val="en-GB"/>
        </w:rPr>
      </w:pPr>
    </w:p>
    <w:p w:rsidR="00B77BD6" w:rsidRPr="00B77BD6" w:rsidRDefault="00B77BD6" w:rsidP="00B77BD6">
      <w:pPr>
        <w:pStyle w:val="JESTECAbstract"/>
        <w:spacing w:before="0"/>
        <w:ind w:left="0" w:right="27"/>
        <w:rPr>
          <w:b/>
          <w:spacing w:val="-2"/>
          <w:sz w:val="20"/>
          <w:szCs w:val="20"/>
        </w:rPr>
      </w:pPr>
      <w:r w:rsidRPr="00B77BD6">
        <w:rPr>
          <w:b/>
          <w:spacing w:val="-2"/>
          <w:sz w:val="20"/>
          <w:szCs w:val="20"/>
        </w:rPr>
        <w:t>CO</w:t>
      </w:r>
      <w:r w:rsidRPr="00B77BD6">
        <w:rPr>
          <w:b/>
          <w:spacing w:val="-2"/>
          <w:sz w:val="20"/>
          <w:szCs w:val="20"/>
          <w:vertAlign w:val="subscript"/>
        </w:rPr>
        <w:t xml:space="preserve">2 </w:t>
      </w:r>
      <w:r w:rsidRPr="00B77BD6">
        <w:rPr>
          <w:b/>
          <w:spacing w:val="-2"/>
          <w:sz w:val="20"/>
          <w:szCs w:val="20"/>
        </w:rPr>
        <w:t>sequestration</w:t>
      </w:r>
    </w:p>
    <w:p w:rsidR="00B77BD6" w:rsidRPr="00B77BD6" w:rsidRDefault="00B77BD6" w:rsidP="00B77BD6">
      <w:pPr>
        <w:pStyle w:val="JESTECAbstract"/>
        <w:spacing w:before="0"/>
        <w:ind w:left="0" w:right="27"/>
        <w:rPr>
          <w:rFonts w:eastAsia="Times New Roman"/>
          <w:spacing w:val="-2"/>
          <w:sz w:val="20"/>
          <w:szCs w:val="20"/>
        </w:rPr>
      </w:pPr>
      <w:r w:rsidRPr="00B77BD6">
        <w:rPr>
          <w:spacing w:val="-2"/>
          <w:sz w:val="20"/>
          <w:szCs w:val="20"/>
        </w:rPr>
        <w:t>Isolated native microalgae were tested for its capability in performing carbon capture and storage (CCS) by sequestration of CO</w:t>
      </w:r>
      <w:r w:rsidRPr="00B77BD6">
        <w:rPr>
          <w:spacing w:val="-2"/>
          <w:sz w:val="20"/>
          <w:szCs w:val="20"/>
          <w:vertAlign w:val="subscript"/>
        </w:rPr>
        <w:t>2</w:t>
      </w:r>
      <w:r w:rsidRPr="00B77BD6">
        <w:rPr>
          <w:spacing w:val="-2"/>
          <w:sz w:val="20"/>
          <w:szCs w:val="20"/>
        </w:rPr>
        <w:t xml:space="preserve">. Result from the </w:t>
      </w:r>
      <w:r w:rsidRPr="00B77BD6">
        <w:rPr>
          <w:i/>
          <w:spacing w:val="-2"/>
          <w:sz w:val="20"/>
          <w:szCs w:val="20"/>
        </w:rPr>
        <w:t>µ</w:t>
      </w:r>
      <w:r w:rsidRPr="00B77BD6">
        <w:rPr>
          <w:spacing w:val="-2"/>
          <w:sz w:val="20"/>
          <w:szCs w:val="20"/>
          <w:vertAlign w:val="subscript"/>
        </w:rPr>
        <w:t>max</w:t>
      </w:r>
      <w:r w:rsidRPr="00B77BD6">
        <w:rPr>
          <w:spacing w:val="-2"/>
          <w:sz w:val="20"/>
          <w:szCs w:val="20"/>
        </w:rPr>
        <w:t xml:space="preserve"> value, showed that TNBR medium gave better result in the growth profile of microalgae. Thus in the CO</w:t>
      </w:r>
      <w:r w:rsidRPr="00B77BD6">
        <w:rPr>
          <w:spacing w:val="-2"/>
          <w:sz w:val="20"/>
          <w:szCs w:val="20"/>
          <w:vertAlign w:val="subscript"/>
        </w:rPr>
        <w:t>2</w:t>
      </w:r>
      <w:r w:rsidRPr="00B77BD6">
        <w:rPr>
          <w:spacing w:val="-2"/>
          <w:sz w:val="20"/>
          <w:szCs w:val="20"/>
        </w:rPr>
        <w:t xml:space="preserve"> sequestration test, TNBR medium was used as the main medium for microalgae cultivation.  CO</w:t>
      </w:r>
      <w:r w:rsidRPr="00B77BD6">
        <w:rPr>
          <w:spacing w:val="-2"/>
          <w:sz w:val="20"/>
          <w:szCs w:val="20"/>
          <w:vertAlign w:val="subscript"/>
        </w:rPr>
        <w:t>2</w:t>
      </w:r>
      <w:r w:rsidRPr="00B77BD6">
        <w:rPr>
          <w:spacing w:val="-2"/>
          <w:sz w:val="20"/>
          <w:szCs w:val="20"/>
        </w:rPr>
        <w:t xml:space="preserve"> was supplied by mixing the 95% purity of CO</w:t>
      </w:r>
      <w:r w:rsidRPr="00B77BD6">
        <w:rPr>
          <w:spacing w:val="-2"/>
          <w:sz w:val="20"/>
          <w:szCs w:val="20"/>
          <w:vertAlign w:val="subscript"/>
        </w:rPr>
        <w:t>2</w:t>
      </w:r>
      <w:r w:rsidRPr="00B77BD6">
        <w:rPr>
          <w:spacing w:val="-2"/>
          <w:sz w:val="20"/>
          <w:szCs w:val="20"/>
        </w:rPr>
        <w:t xml:space="preserve"> with compress air. At 1% and 5 % concentration, CO</w:t>
      </w:r>
      <w:r w:rsidRPr="00B77BD6">
        <w:rPr>
          <w:spacing w:val="-2"/>
          <w:sz w:val="20"/>
          <w:szCs w:val="20"/>
          <w:vertAlign w:val="subscript"/>
        </w:rPr>
        <w:t>2</w:t>
      </w:r>
      <w:r w:rsidRPr="00B77BD6">
        <w:rPr>
          <w:spacing w:val="-2"/>
          <w:sz w:val="20"/>
          <w:szCs w:val="20"/>
        </w:rPr>
        <w:t xml:space="preserve"> were fixed for the run and the percentage was set using volume/volume ratio (v/v).</w:t>
      </w:r>
      <w:r w:rsidRPr="00B77BD6">
        <w:rPr>
          <w:rFonts w:eastAsia="Times New Roman"/>
          <w:spacing w:val="-2"/>
          <w:sz w:val="20"/>
          <w:szCs w:val="20"/>
        </w:rPr>
        <w:t>Results of CO</w:t>
      </w:r>
      <w:r w:rsidRPr="00B77BD6">
        <w:rPr>
          <w:rFonts w:eastAsia="Times New Roman"/>
          <w:spacing w:val="-2"/>
          <w:sz w:val="20"/>
          <w:szCs w:val="20"/>
          <w:vertAlign w:val="subscript"/>
        </w:rPr>
        <w:t xml:space="preserve">2 </w:t>
      </w:r>
      <w:r w:rsidRPr="00B77BD6">
        <w:rPr>
          <w:rFonts w:eastAsia="Times New Roman"/>
          <w:spacing w:val="-2"/>
          <w:sz w:val="20"/>
          <w:szCs w:val="20"/>
        </w:rPr>
        <w:t xml:space="preserve">sequestration by isolated </w:t>
      </w:r>
      <w:r w:rsidRPr="00B77BD6">
        <w:rPr>
          <w:rFonts w:eastAsia="Times New Roman"/>
          <w:i/>
          <w:spacing w:val="-2"/>
          <w:sz w:val="20"/>
          <w:szCs w:val="20"/>
        </w:rPr>
        <w:t>Chlorella</w:t>
      </w:r>
      <w:r w:rsidRPr="00B77BD6">
        <w:rPr>
          <w:rFonts w:eastAsia="Times New Roman"/>
          <w:spacing w:val="-2"/>
          <w:sz w:val="20"/>
          <w:szCs w:val="20"/>
        </w:rPr>
        <w:t xml:space="preserve"> sp. are shown in Figure 7a and 7b.  Result from 1% and 5% of CO</w:t>
      </w:r>
      <w:r w:rsidRPr="00B77BD6">
        <w:rPr>
          <w:rFonts w:eastAsia="Times New Roman"/>
          <w:spacing w:val="-2"/>
          <w:sz w:val="20"/>
          <w:szCs w:val="20"/>
          <w:vertAlign w:val="subscript"/>
        </w:rPr>
        <w:t>2</w:t>
      </w:r>
      <w:r w:rsidRPr="00B77BD6">
        <w:rPr>
          <w:rFonts w:eastAsia="Times New Roman"/>
          <w:spacing w:val="-2"/>
          <w:sz w:val="20"/>
          <w:szCs w:val="20"/>
        </w:rPr>
        <w:t xml:space="preserve"> input showed that isolated </w:t>
      </w:r>
      <w:r w:rsidRPr="00B77BD6">
        <w:rPr>
          <w:rFonts w:eastAsia="Times New Roman"/>
          <w:i/>
          <w:spacing w:val="-2"/>
          <w:sz w:val="20"/>
          <w:szCs w:val="20"/>
        </w:rPr>
        <w:t>Chlorella</w:t>
      </w:r>
      <w:r w:rsidRPr="00B77BD6">
        <w:rPr>
          <w:rFonts w:eastAsia="Times New Roman"/>
          <w:spacing w:val="-2"/>
          <w:sz w:val="20"/>
          <w:szCs w:val="20"/>
        </w:rPr>
        <w:t xml:space="preserve"> sp. manage to sequester CO</w:t>
      </w:r>
      <w:r w:rsidRPr="00B77BD6">
        <w:rPr>
          <w:rFonts w:eastAsia="Times New Roman"/>
          <w:spacing w:val="-2"/>
          <w:sz w:val="20"/>
          <w:szCs w:val="20"/>
          <w:vertAlign w:val="subscript"/>
        </w:rPr>
        <w:t>2</w:t>
      </w:r>
      <w:r w:rsidRPr="00B77BD6">
        <w:rPr>
          <w:rFonts w:eastAsia="Times New Roman"/>
          <w:spacing w:val="-2"/>
          <w:sz w:val="20"/>
          <w:szCs w:val="20"/>
        </w:rPr>
        <w:t xml:space="preserve"> up to 4.3% and 4.5% respectively. Comparison with previous result showed that marine </w:t>
      </w:r>
      <w:r w:rsidRPr="00B77BD6">
        <w:rPr>
          <w:rFonts w:eastAsia="Times New Roman"/>
          <w:i/>
          <w:spacing w:val="-2"/>
          <w:sz w:val="20"/>
          <w:szCs w:val="20"/>
        </w:rPr>
        <w:t>Chlorella</w:t>
      </w:r>
      <w:r w:rsidRPr="00B77BD6">
        <w:rPr>
          <w:rFonts w:eastAsia="Times New Roman"/>
          <w:spacing w:val="-2"/>
          <w:sz w:val="20"/>
          <w:szCs w:val="20"/>
        </w:rPr>
        <w:t xml:space="preserve"> sp. showed lower CO</w:t>
      </w:r>
      <w:r w:rsidRPr="00B77BD6">
        <w:rPr>
          <w:rFonts w:eastAsia="Times New Roman"/>
          <w:spacing w:val="-2"/>
          <w:sz w:val="20"/>
          <w:szCs w:val="20"/>
          <w:vertAlign w:val="subscript"/>
        </w:rPr>
        <w:t>2</w:t>
      </w:r>
      <w:r w:rsidRPr="00B77BD6">
        <w:rPr>
          <w:rFonts w:eastAsia="Times New Roman"/>
          <w:spacing w:val="-2"/>
          <w:sz w:val="20"/>
          <w:szCs w:val="20"/>
        </w:rPr>
        <w:t xml:space="preserve"> sequestration uptake compare to the </w:t>
      </w:r>
      <w:r w:rsidRPr="00B77BD6">
        <w:rPr>
          <w:rFonts w:eastAsia="Times New Roman"/>
          <w:i/>
          <w:spacing w:val="-2"/>
          <w:sz w:val="20"/>
          <w:szCs w:val="20"/>
        </w:rPr>
        <w:t>Chlorella</w:t>
      </w:r>
      <w:r w:rsidRPr="00B77BD6">
        <w:rPr>
          <w:rFonts w:eastAsia="Times New Roman"/>
          <w:spacing w:val="-2"/>
          <w:sz w:val="20"/>
          <w:szCs w:val="20"/>
        </w:rPr>
        <w:t xml:space="preserve"> sp. which has been reported previously which is ranging from the 15% to 30% ability to absorb the CO2 into the biomass form [</w:t>
      </w:r>
      <w:r w:rsidRPr="00B77BD6">
        <w:rPr>
          <w:rFonts w:eastAsia="Times New Roman"/>
          <w:spacing w:val="-2"/>
          <w:sz w:val="20"/>
          <w:szCs w:val="20"/>
        </w:rPr>
        <w:fldChar w:fldCharType="begin" w:fldLock="1"/>
      </w:r>
      <w:r w:rsidRPr="00B77BD6">
        <w:rPr>
          <w:rFonts w:eastAsia="Times New Roman"/>
          <w:spacing w:val="-2"/>
          <w:sz w:val="20"/>
          <w:szCs w:val="20"/>
        </w:rPr>
        <w:instrText>ADDIN CSL_CITATION { "citationItems" : [ { "id" : "ITEM-1", "itemData" : { "DOI" : "10.1016/j.biortech.2009.10.061", "ISSN" : "1873-2976", "PMID" : "19939669", "abstract" : "Biological CO(2) sequestration using algal reactors is one of the most promising and environmentally benign technologies to sequester CO(2). This research study was taken up to alleviate certain limitations associated with the technology such as low CO(2) sequestration efficiency and low biomass yields. The study demonstrates an increase in CO(2) sequestration efficiency by maneuvering chemically aided biological sequestration of CO(2). Chlorella sp. and Spirulina platensis showed 46% and 39% mean fixation efficiency, respectively, at input CO(2) concentration of 10%. The effect of acetazolamide, a potent carbonic anhydrase inhibitor, on CO(2) sequestration efficiency was studied to demonstrate the role of carbonic anhydrase in calcite deposition. Calcite formed by both species was characterized by scanning electron microscopy coupled electron dispersive spectroscopy and X-ray diffraction. The overall scheme of calcite deposition coupled CO(2) fixation with commercially utilizable biomass as a product seems a viable option in the efforts to sequester increasing CO(2) emissions.", "author" : [ { "dropping-particle" : "", "family" : "Ramanan", "given" : "Rishiram", "non-dropping-particle" : "", "parse-names" : false, "suffix" : "" }, { "dropping-particle" : "", "family" : "Kannan", "given" : "Krishnamurthi", "non-dropping-particle" : "", "parse-names" : false, "suffix" : "" }, { "dropping-particle" : "", "family" : "Deshkar", "given" : "Ashok", "non-dropping-particle" : "", "parse-names" : false, "suffix" : "" }, { "dropping-particle" : "", "family" : "Yadav", "given" : "Raju", "non-dropping-particle" : "", "parse-names" : false, "suffix" : "" }, { "dropping-particle" : "", "family" : "Chakrabarti", "given" : "Tapan", "non-dropping-particle" : "", "parse-names" : false, "suffix" : "" } ], "container-title" : "Bioresource technology", "id" : "ITEM-1", "issue" : "8", "issued" : { "date-parts" : [ [ "2010", "4" ] ] }, "page" : "2616-22", "publisher" : "Elsevier Ltd", "title" : "Enhanced algal CO(2) sequestration through calcite deposition by Chlorella sp. and Spirulina platensis in a mini-raceway pond.", "type" : "article-journal", "volume" : "101" }, "uris" : [ "http://www.mendeley.com/documents/?uuid=05fdb0a5-66e8-49f0-869c-8660ef6c6098" ] }, { "id" : "ITEM-2", "itemData" : { "DOI" : "10.1007/s10811-010-9551-5", "ISBN" : "0921-8971", "ISSN" : "09218971", "abstract" : "Because of the importance of collagens in mediating cell-substrate interactions and the association of collagens with neural recognition molecules in the peripheral nervous system, the ability of neural recognition molecules to modify the substrate properties of collagens, in particular collagen type I, for cell adhesion was determined. Two cell lines, the N2A neuroblastoma and PC12 pheochromocytoma, were investigated for their capacity to adhere to different collagen types in the absence or presence of several neural recognition molecules. Adhesion of N2A or PC12 cells and membrane vesicles from PC12 cells to collagen type I was reduced when the collagen had been preincubated prior to its application as substrate with the extracellular domain of myelin-associated glycoprotein (s-MAG) or, as control, fibroblast tenascin-C (F-tenascin). In mixture with other collagen types, s-MAG was only able to reduce the adhesiveness of collagen types III and V, but not of collagen types II and IV. F-tenascin reduced the adhesiveness of all collagen types tested. In contrast to F-tenascin, s-MAG had to be present during fibrillogenesis to exert its effect, indicating that it must be coassembled into the collagen fibril to block the binding site. Cell adhesion to collagen type I was dependent on Mg2+ or Mn2+ and inhibited by a monoclonal antibody to the alpha 1 integrin subunit. The combined observations indicate that s-MAG and F-tenascin interfere with cell binding, most probably by modifying the integrin binding site, and that the two molecules act by different mechanisms, both leading to reduction of adhesion", "author" : [ { "dropping-particle" : "", "family" : "Borkenstein", "given" : "Clemens G.", "non-dropping-particle" : "", "parse-names" : false, "suffix" : "" }, { "dropping-particle" : "", "family" : "Knoblechner", "given" : "Josef", "non-dropping-particle" : "", "parse-names" : false, "suffix" : "" }, { "dropping-particle" : "", "family" : "Fr\u00fchwirth", "given" : "Heike", "non-dropping-particle" : "", "parse-names" : false, "suffix" : "" }, { "dropping-particle" : "", "family" : "Schagerl", "given" : "Michael", "non-dropping-particle" : "", "parse-names" : false, "suffix" : "" } ], "container-title" : "Journal of Applied Phycology", "id" : "ITEM-2", "issue" : "1", "issued" : { "date-parts" : [ [ "2011" ] ] }, "page" : "131-135", "title" : "Cultivation of Chlorella emersonii with flue gas derived from a cement plant", "type" : "article-journal", "volume" : "23" }, "uris" : [ "http://www.mendeley.com/documents/?uuid=3271dd14-9e08-472f-a6ea-f21e64106c11" ] } ], "mendeley" : { "formattedCitation" : "&lt;sup&gt;18,32&lt;/sup&gt;", "plainTextFormattedCitation" : "18,32", "previouslyFormattedCitation" : "&lt;sup&gt;18,32&lt;/sup&gt;" }, "properties" : { "noteIndex" : 0 }, "schema" : "https://github.com/citation-style-language/schema/raw/master/csl-citation.json" }</w:instrText>
      </w:r>
      <w:r w:rsidRPr="00B77BD6">
        <w:rPr>
          <w:rFonts w:eastAsia="Times New Roman"/>
          <w:spacing w:val="-2"/>
          <w:sz w:val="20"/>
          <w:szCs w:val="20"/>
        </w:rPr>
        <w:fldChar w:fldCharType="separate"/>
      </w:r>
      <w:r w:rsidRPr="00B77BD6">
        <w:rPr>
          <w:rFonts w:eastAsia="Times New Roman"/>
          <w:spacing w:val="-2"/>
          <w:sz w:val="20"/>
          <w:szCs w:val="20"/>
        </w:rPr>
        <w:t>18, 32</w:t>
      </w:r>
      <w:r w:rsidRPr="00B77BD6">
        <w:rPr>
          <w:rFonts w:eastAsia="Times New Roman"/>
          <w:spacing w:val="-2"/>
          <w:sz w:val="20"/>
          <w:szCs w:val="20"/>
        </w:rPr>
        <w:fldChar w:fldCharType="end"/>
      </w:r>
      <w:r w:rsidRPr="00B77BD6">
        <w:rPr>
          <w:rFonts w:eastAsia="Times New Roman"/>
          <w:spacing w:val="-2"/>
          <w:sz w:val="20"/>
          <w:szCs w:val="20"/>
        </w:rPr>
        <w:t>]. Higher uptake CO</w:t>
      </w:r>
      <w:r w:rsidRPr="00B77BD6">
        <w:rPr>
          <w:rFonts w:eastAsia="Times New Roman"/>
          <w:spacing w:val="-2"/>
          <w:sz w:val="20"/>
          <w:szCs w:val="20"/>
          <w:vertAlign w:val="subscript"/>
        </w:rPr>
        <w:t>2</w:t>
      </w:r>
      <w:r w:rsidRPr="00B77BD6">
        <w:rPr>
          <w:rFonts w:eastAsia="Times New Roman"/>
          <w:spacing w:val="-2"/>
          <w:sz w:val="20"/>
          <w:szCs w:val="20"/>
        </w:rPr>
        <w:t xml:space="preserve"> can be achieved in optimization of higher CO</w:t>
      </w:r>
      <w:r w:rsidRPr="00B77BD6">
        <w:rPr>
          <w:rFonts w:eastAsia="Times New Roman"/>
          <w:spacing w:val="-2"/>
          <w:sz w:val="20"/>
          <w:szCs w:val="20"/>
          <w:vertAlign w:val="subscript"/>
        </w:rPr>
        <w:t>2</w:t>
      </w:r>
      <w:r w:rsidRPr="00B77BD6">
        <w:rPr>
          <w:rFonts w:eastAsia="Times New Roman"/>
          <w:spacing w:val="-2"/>
          <w:sz w:val="20"/>
          <w:szCs w:val="20"/>
        </w:rPr>
        <w:t xml:space="preserve"> input and aeration rate.</w:t>
      </w:r>
    </w:p>
    <w:p w:rsidR="00B77BD6" w:rsidRPr="00B77BD6" w:rsidRDefault="00B77BD6" w:rsidP="00B77BD6">
      <w:pPr>
        <w:pStyle w:val="JESTECAbstract"/>
        <w:spacing w:before="0"/>
        <w:ind w:left="0" w:right="27"/>
        <w:rPr>
          <w:rFonts w:eastAsia="Times New Roman"/>
          <w:spacing w:val="-2"/>
          <w:sz w:val="20"/>
          <w:szCs w:val="20"/>
        </w:rPr>
      </w:pPr>
    </w:p>
    <w:p w:rsidR="00B77BD6" w:rsidRPr="00B77BD6" w:rsidRDefault="00B77BD6" w:rsidP="00B77BD6">
      <w:pPr>
        <w:spacing w:after="0" w:line="240" w:lineRule="auto"/>
        <w:jc w:val="both"/>
        <w:rPr>
          <w:rFonts w:ascii="Times New Roman" w:hAnsi="Times New Roman"/>
          <w:spacing w:val="-2"/>
          <w:sz w:val="20"/>
          <w:szCs w:val="20"/>
          <w:lang w:val="en-GB"/>
        </w:rPr>
      </w:pPr>
    </w:p>
    <w:p w:rsidR="00B77BD6" w:rsidRPr="00B77BD6" w:rsidRDefault="007724A0" w:rsidP="007724A0">
      <w:pPr>
        <w:spacing w:after="0" w:line="240" w:lineRule="auto"/>
        <w:jc w:val="center"/>
        <w:rPr>
          <w:rFonts w:ascii="Times New Roman" w:hAnsi="Times New Roman"/>
          <w:spacing w:val="-2"/>
          <w:sz w:val="20"/>
          <w:szCs w:val="20"/>
          <w:lang w:val="en-GB"/>
        </w:rPr>
      </w:pPr>
      <w:r w:rsidRPr="00B77BD6">
        <w:rPr>
          <w:rFonts w:ascii="Times New Roman" w:hAnsi="Times New Roman"/>
          <w:noProof/>
          <w:spacing w:val="-2"/>
          <w:sz w:val="20"/>
          <w:szCs w:val="20"/>
          <w:lang w:bidi="ar-SA"/>
        </w:rPr>
        <w:drawing>
          <wp:inline distT="0" distB="0" distL="0" distR="0" wp14:anchorId="44A3F809" wp14:editId="616F4A0F">
            <wp:extent cx="3077155" cy="2083242"/>
            <wp:effectExtent l="0" t="0" r="28575" b="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77BD6" w:rsidRPr="00B77BD6" w:rsidRDefault="00B77BD6" w:rsidP="00B77BD6">
      <w:pPr>
        <w:pStyle w:val="JESTECAbstract"/>
        <w:spacing w:before="0"/>
        <w:ind w:left="0" w:right="27"/>
        <w:rPr>
          <w:noProof/>
          <w:spacing w:val="-2"/>
          <w:sz w:val="20"/>
          <w:szCs w:val="20"/>
          <w:lang w:val="en-US"/>
        </w:rPr>
      </w:pPr>
    </w:p>
    <w:p w:rsidR="00B77BD6" w:rsidRPr="00B77BD6" w:rsidRDefault="007724A0" w:rsidP="007724A0">
      <w:pPr>
        <w:pStyle w:val="JESTECAbstract"/>
        <w:spacing w:before="0"/>
        <w:ind w:left="0" w:right="27"/>
        <w:jc w:val="center"/>
        <w:rPr>
          <w:noProof/>
          <w:spacing w:val="-2"/>
          <w:sz w:val="20"/>
          <w:szCs w:val="20"/>
          <w:lang w:val="en-US"/>
        </w:rPr>
      </w:pPr>
      <w:r w:rsidRPr="00B77BD6">
        <w:rPr>
          <w:noProof/>
          <w:sz w:val="20"/>
          <w:szCs w:val="20"/>
          <w:lang w:val="en-US"/>
        </w:rPr>
        <mc:AlternateContent>
          <mc:Choice Requires="wps">
            <w:drawing>
              <wp:anchor distT="0" distB="0" distL="114300" distR="114300" simplePos="0" relativeHeight="251663872" behindDoc="0" locked="0" layoutInCell="1" allowOverlap="1" wp14:anchorId="15CE9D25" wp14:editId="326F437F">
                <wp:simplePos x="0" y="0"/>
                <wp:positionH relativeFrom="column">
                  <wp:posOffset>3655695</wp:posOffset>
                </wp:positionH>
                <wp:positionV relativeFrom="paragraph">
                  <wp:posOffset>269875</wp:posOffset>
                </wp:positionV>
                <wp:extent cx="357505" cy="254000"/>
                <wp:effectExtent l="0" t="0" r="0" b="0"/>
                <wp:wrapNone/>
                <wp:docPr id="16" name="Text Box 1"/>
                <wp:cNvGraphicFramePr/>
                <a:graphic xmlns:a="http://schemas.openxmlformats.org/drawingml/2006/main">
                  <a:graphicData uri="http://schemas.microsoft.com/office/word/2010/wordprocessingShape">
                    <wps:wsp>
                      <wps:cNvSpPr txBox="1"/>
                      <wps:spPr>
                        <a:xfrm>
                          <a:off x="0" y="0"/>
                          <a:ext cx="357505" cy="254000"/>
                        </a:xfrm>
                        <a:prstGeom prst="rect">
                          <a:avLst/>
                        </a:prstGeom>
                      </wps:spPr>
                      <wps:txbx>
                        <w:txbxContent>
                          <w:p w:rsidR="00B77BD6" w:rsidRDefault="00B77BD6" w:rsidP="00B77BD6">
                            <w:pPr>
                              <w:pStyle w:val="NormalWeb"/>
                              <w:spacing w:before="0" w:beforeAutospacing="0" w:after="0" w:afterAutospacing="0"/>
                            </w:pPr>
                            <w:r>
                              <w:rPr>
                                <w:rFonts w:asciiTheme="minorHAnsi" w:hAnsi="Calibri" w:cstheme="minorBidi"/>
                                <w:sz w:val="22"/>
                                <w:szCs w:val="22"/>
                              </w:rPr>
                              <w:t>(b)</w:t>
                            </w:r>
                          </w:p>
                        </w:txbxContent>
                      </wps:txbx>
                      <wps:bodyPr vertOverflow="clip" wrap="square" rtlCol="0"/>
                    </wps:wsp>
                  </a:graphicData>
                </a:graphic>
              </wp:anchor>
            </w:drawing>
          </mc:Choice>
          <mc:Fallback>
            <w:pict>
              <v:shape id="Text Box 1" o:spid="_x0000_s1030" type="#_x0000_t202" style="position:absolute;left:0;text-align:left;margin-left:287.85pt;margin-top:21.25pt;width:28.15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" filled="f" stroked="f">
                <v:textbox>
                  <w:txbxContent>
                    <w:p w:rsidR="00B77BD6" w:rsidRDefault="00B77BD6" w:rsidP="00B77BD6">
                      <w:pPr>
                        <w:pStyle w:val="NormalWeb"/>
                        <w:spacing w:before="0" w:beforeAutospacing="0" w:after="0" w:afterAutospacing="0"/>
                      </w:pPr>
                      <w:r>
                        <w:rPr>
                          <w:rFonts w:asciiTheme="minorHAnsi" w:hAnsi="Calibri" w:cstheme="minorBidi"/>
                          <w:sz w:val="22"/>
                          <w:szCs w:val="22"/>
                        </w:rPr>
                        <w:t>(b)</w:t>
                      </w:r>
                    </w:p>
                  </w:txbxContent>
                </v:textbox>
              </v:shape>
            </w:pict>
          </mc:Fallback>
        </mc:AlternateContent>
      </w:r>
      <w:r w:rsidRPr="00B77BD6">
        <w:rPr>
          <w:noProof/>
          <w:spacing w:val="-2"/>
          <w:sz w:val="20"/>
          <w:szCs w:val="20"/>
          <w:lang w:val="en-US"/>
        </w:rPr>
        <w:drawing>
          <wp:inline distT="0" distB="0" distL="0" distR="0" wp14:anchorId="6C6D6C7A" wp14:editId="3CE7705E">
            <wp:extent cx="3053080" cy="2115047"/>
            <wp:effectExtent l="0" t="0" r="13970" b="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77BD6" w:rsidRPr="00B77BD6" w:rsidRDefault="00B77BD6" w:rsidP="00B77BD6">
      <w:pPr>
        <w:pStyle w:val="JESTECAbstract"/>
        <w:spacing w:before="0"/>
        <w:ind w:left="0" w:right="27"/>
        <w:rPr>
          <w:noProof/>
          <w:spacing w:val="-2"/>
          <w:sz w:val="20"/>
          <w:szCs w:val="20"/>
          <w:lang w:val="en-MY" w:eastAsia="en-MY"/>
        </w:rPr>
      </w:pPr>
    </w:p>
    <w:p w:rsidR="007724A0" w:rsidRPr="007724A0" w:rsidRDefault="00B77BD6" w:rsidP="007724A0">
      <w:pPr>
        <w:spacing w:after="0" w:line="240" w:lineRule="auto"/>
        <w:ind w:left="851" w:hanging="851"/>
        <w:jc w:val="both"/>
        <w:rPr>
          <w:rFonts w:ascii="Times New Roman" w:hAnsi="Times New Roman"/>
          <w:noProof/>
          <w:spacing w:val="-2"/>
          <w:sz w:val="20"/>
          <w:szCs w:val="20"/>
          <w:lang w:val="en-MY" w:eastAsia="en-MY"/>
        </w:rPr>
      </w:pPr>
      <w:r w:rsidRPr="00B77BD6">
        <w:rPr>
          <w:rFonts w:ascii="Times New Roman" w:hAnsi="Times New Roman"/>
          <w:noProof/>
          <w:spacing w:val="-2"/>
          <w:sz w:val="20"/>
          <w:szCs w:val="20"/>
          <w:lang w:val="en-MY" w:eastAsia="en-MY"/>
        </w:rPr>
        <w:t xml:space="preserve">Figure 7. </w:t>
      </w:r>
      <w:r w:rsidR="007724A0">
        <w:rPr>
          <w:rFonts w:ascii="Times New Roman" w:hAnsi="Times New Roman"/>
          <w:noProof/>
          <w:spacing w:val="-2"/>
          <w:sz w:val="20"/>
          <w:szCs w:val="20"/>
          <w:lang w:val="en-MY" w:eastAsia="en-MY"/>
        </w:rPr>
        <w:tab/>
      </w:r>
      <w:r w:rsidRPr="00B77BD6">
        <w:rPr>
          <w:rFonts w:ascii="Times New Roman" w:hAnsi="Times New Roman"/>
          <w:noProof/>
          <w:spacing w:val="-2"/>
          <w:sz w:val="20"/>
          <w:szCs w:val="20"/>
          <w:lang w:val="en-MY" w:eastAsia="en-MY"/>
        </w:rPr>
        <w:t xml:space="preserve">Result of </w:t>
      </w:r>
      <w:r w:rsidRPr="00B77BD6">
        <w:rPr>
          <w:rFonts w:ascii="Times New Roman" w:hAnsi="Times New Roman"/>
          <w:i/>
          <w:noProof/>
          <w:spacing w:val="-2"/>
          <w:sz w:val="20"/>
          <w:szCs w:val="20"/>
          <w:lang w:val="en-MY" w:eastAsia="en-MY"/>
        </w:rPr>
        <w:t>Chlorella</w:t>
      </w:r>
      <w:r w:rsidRPr="00B77BD6">
        <w:rPr>
          <w:rFonts w:ascii="Times New Roman" w:hAnsi="Times New Roman"/>
          <w:noProof/>
          <w:spacing w:val="-2"/>
          <w:sz w:val="20"/>
          <w:szCs w:val="20"/>
          <w:lang w:val="en-MY" w:eastAsia="en-MY"/>
        </w:rPr>
        <w:t xml:space="preserve"> sp. in performing CO</w:t>
      </w:r>
      <w:r w:rsidRPr="00B77BD6">
        <w:rPr>
          <w:rFonts w:ascii="Times New Roman" w:hAnsi="Times New Roman"/>
          <w:noProof/>
          <w:spacing w:val="-2"/>
          <w:sz w:val="20"/>
          <w:szCs w:val="20"/>
          <w:vertAlign w:val="subscript"/>
          <w:lang w:val="en-MY" w:eastAsia="en-MY"/>
        </w:rPr>
        <w:t>2</w:t>
      </w:r>
      <w:r w:rsidRPr="00B77BD6">
        <w:rPr>
          <w:rFonts w:ascii="Times New Roman" w:hAnsi="Times New Roman"/>
          <w:noProof/>
          <w:spacing w:val="-2"/>
          <w:sz w:val="20"/>
          <w:szCs w:val="20"/>
          <w:lang w:val="en-MY" w:eastAsia="en-MY"/>
        </w:rPr>
        <w:t xml:space="preserve"> sequestration at a) 1% CO</w:t>
      </w:r>
      <w:r w:rsidRPr="00B77BD6">
        <w:rPr>
          <w:rFonts w:ascii="Times New Roman" w:hAnsi="Times New Roman"/>
          <w:noProof/>
          <w:spacing w:val="-2"/>
          <w:sz w:val="20"/>
          <w:szCs w:val="20"/>
          <w:vertAlign w:val="subscript"/>
          <w:lang w:val="en-MY" w:eastAsia="en-MY"/>
        </w:rPr>
        <w:t>2</w:t>
      </w:r>
      <w:r w:rsidRPr="00B77BD6">
        <w:rPr>
          <w:rFonts w:ascii="Times New Roman" w:hAnsi="Times New Roman"/>
          <w:noProof/>
          <w:spacing w:val="-2"/>
          <w:sz w:val="20"/>
          <w:szCs w:val="20"/>
          <w:lang w:val="en-MY" w:eastAsia="en-MY"/>
        </w:rPr>
        <w:t xml:space="preserve"> concentration and b) 5% CO</w:t>
      </w:r>
      <w:r w:rsidRPr="00B77BD6">
        <w:rPr>
          <w:rFonts w:ascii="Times New Roman" w:hAnsi="Times New Roman"/>
          <w:noProof/>
          <w:spacing w:val="-2"/>
          <w:sz w:val="20"/>
          <w:szCs w:val="20"/>
          <w:vertAlign w:val="subscript"/>
          <w:lang w:val="en-MY" w:eastAsia="en-MY"/>
        </w:rPr>
        <w:t>2</w:t>
      </w:r>
      <w:r w:rsidRPr="00B77BD6">
        <w:rPr>
          <w:rFonts w:ascii="Times New Roman" w:hAnsi="Times New Roman"/>
          <w:noProof/>
          <w:spacing w:val="-2"/>
          <w:sz w:val="20"/>
          <w:szCs w:val="20"/>
          <w:lang w:val="en-MY" w:eastAsia="en-MY"/>
        </w:rPr>
        <w:t xml:space="preserve"> concentrations, repectively</w:t>
      </w:r>
    </w:p>
    <w:p w:rsidR="007724A0" w:rsidRPr="00B77BD6" w:rsidRDefault="007724A0" w:rsidP="007724A0">
      <w:pPr>
        <w:pStyle w:val="JESTECAbstract"/>
        <w:spacing w:before="0"/>
        <w:ind w:left="0" w:right="27"/>
        <w:rPr>
          <w:noProof/>
          <w:spacing w:val="-2"/>
          <w:sz w:val="20"/>
          <w:szCs w:val="20"/>
          <w:lang w:val="en-MY" w:eastAsia="en-MY"/>
        </w:rPr>
      </w:pPr>
      <w:r w:rsidRPr="00B77BD6">
        <w:rPr>
          <w:rFonts w:eastAsia="Times New Roman"/>
          <w:spacing w:val="-2"/>
          <w:sz w:val="20"/>
          <w:szCs w:val="20"/>
        </w:rPr>
        <w:lastRenderedPageBreak/>
        <w:t>However, higher accumulation of CO</w:t>
      </w:r>
      <w:r w:rsidRPr="00B77BD6">
        <w:rPr>
          <w:rFonts w:eastAsia="Times New Roman"/>
          <w:spacing w:val="-2"/>
          <w:sz w:val="20"/>
          <w:szCs w:val="20"/>
          <w:vertAlign w:val="subscript"/>
        </w:rPr>
        <w:t>2</w:t>
      </w:r>
      <w:r w:rsidRPr="00B77BD6">
        <w:rPr>
          <w:rFonts w:eastAsia="Times New Roman"/>
          <w:spacing w:val="-2"/>
          <w:sz w:val="20"/>
          <w:szCs w:val="20"/>
        </w:rPr>
        <w:t xml:space="preserve"> in the first phase of algae culturing has produce a spike in the beginning of 5 to 7 days of cultivation periods. These phenomena can be explained by the lag phase of microalgae which has lower growth at the initial stage.  Higher accumulation at the initial stage can be reduced with better inoculation process which is inoculums at the exponential phase are used for every single run. Acclimatization of microalgae to higher CO</w:t>
      </w:r>
      <w:r w:rsidRPr="00B77BD6">
        <w:rPr>
          <w:rFonts w:eastAsia="Times New Roman"/>
          <w:spacing w:val="-2"/>
          <w:sz w:val="20"/>
          <w:szCs w:val="20"/>
          <w:vertAlign w:val="subscript"/>
        </w:rPr>
        <w:t>2</w:t>
      </w:r>
      <w:r w:rsidRPr="00B77BD6">
        <w:rPr>
          <w:rFonts w:eastAsia="Times New Roman"/>
          <w:spacing w:val="-2"/>
          <w:sz w:val="20"/>
          <w:szCs w:val="20"/>
        </w:rPr>
        <w:t xml:space="preserve"> concentration will also contribute to higher sequestration rate and reduce the accumulation of CO</w:t>
      </w:r>
      <w:r w:rsidRPr="00B77BD6">
        <w:rPr>
          <w:rFonts w:eastAsia="Times New Roman"/>
          <w:spacing w:val="-2"/>
          <w:sz w:val="20"/>
          <w:szCs w:val="20"/>
          <w:vertAlign w:val="subscript"/>
        </w:rPr>
        <w:t>2</w:t>
      </w:r>
      <w:r w:rsidRPr="00B77BD6">
        <w:rPr>
          <w:rFonts w:eastAsia="Times New Roman"/>
          <w:spacing w:val="-2"/>
          <w:sz w:val="20"/>
          <w:szCs w:val="20"/>
        </w:rPr>
        <w:t xml:space="preserve"> in the initial phase.</w:t>
      </w:r>
    </w:p>
    <w:p w:rsidR="007724A0" w:rsidRDefault="007724A0" w:rsidP="007724A0">
      <w:pPr>
        <w:spacing w:after="0" w:line="240" w:lineRule="auto"/>
        <w:jc w:val="both"/>
        <w:rPr>
          <w:rFonts w:ascii="Times New Roman" w:hAnsi="Times New Roman"/>
          <w:sz w:val="20"/>
          <w:szCs w:val="20"/>
        </w:rPr>
      </w:pPr>
    </w:p>
    <w:p w:rsidR="00B77BD6" w:rsidRPr="00B77BD6" w:rsidRDefault="00B77BD6" w:rsidP="00B77BD6">
      <w:pPr>
        <w:spacing w:after="0" w:line="240" w:lineRule="auto"/>
        <w:jc w:val="both"/>
        <w:rPr>
          <w:rFonts w:ascii="Times New Roman" w:hAnsi="Times New Roman"/>
          <w:sz w:val="20"/>
          <w:szCs w:val="20"/>
        </w:rPr>
      </w:pPr>
      <w:r w:rsidRPr="00B77BD6">
        <w:rPr>
          <w:rFonts w:ascii="Times New Roman" w:hAnsi="Times New Roman"/>
          <w:sz w:val="20"/>
          <w:szCs w:val="20"/>
        </w:rPr>
        <w:t>The spike reduction with time of cultivation has shown that microalgae has the potential that can be tapped to produced biomass even with higher CO</w:t>
      </w:r>
      <w:r w:rsidRPr="00B77BD6">
        <w:rPr>
          <w:rFonts w:ascii="Times New Roman" w:hAnsi="Times New Roman"/>
          <w:sz w:val="20"/>
          <w:szCs w:val="20"/>
          <w:vertAlign w:val="subscript"/>
        </w:rPr>
        <w:t>2</w:t>
      </w:r>
      <w:r w:rsidRPr="00B77BD6">
        <w:rPr>
          <w:rFonts w:ascii="Times New Roman" w:hAnsi="Times New Roman"/>
          <w:sz w:val="20"/>
          <w:szCs w:val="20"/>
        </w:rPr>
        <w:t xml:space="preserve"> concentration compare to the ambient air and this biomass later can be utilized in other product that can contribute to more capital as the world moving forward for the generating waste from the wealth. Thus, the isolated </w:t>
      </w:r>
      <w:r w:rsidRPr="00B77BD6">
        <w:rPr>
          <w:rFonts w:ascii="Times New Roman" w:hAnsi="Times New Roman"/>
          <w:i/>
          <w:sz w:val="20"/>
          <w:szCs w:val="20"/>
        </w:rPr>
        <w:t>Chlorella</w:t>
      </w:r>
      <w:r w:rsidRPr="00B77BD6">
        <w:rPr>
          <w:rFonts w:ascii="Times New Roman" w:hAnsi="Times New Roman"/>
          <w:sz w:val="20"/>
          <w:szCs w:val="20"/>
        </w:rPr>
        <w:t xml:space="preserve"> sp. showed significant result in CCS by converting the CO</w:t>
      </w:r>
      <w:r w:rsidRPr="00B77BD6">
        <w:rPr>
          <w:rFonts w:ascii="Times New Roman" w:hAnsi="Times New Roman"/>
          <w:sz w:val="20"/>
          <w:szCs w:val="20"/>
          <w:vertAlign w:val="subscript"/>
        </w:rPr>
        <w:t>2</w:t>
      </w:r>
      <w:r w:rsidRPr="00B77BD6">
        <w:rPr>
          <w:rFonts w:ascii="Times New Roman" w:hAnsi="Times New Roman"/>
          <w:sz w:val="20"/>
          <w:szCs w:val="20"/>
        </w:rPr>
        <w:t xml:space="preserve"> supplied into the biomass form.</w:t>
      </w:r>
    </w:p>
    <w:p w:rsidR="006768E9" w:rsidRPr="00F447A7" w:rsidRDefault="006768E9" w:rsidP="00B77BD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724A0" w:rsidRPr="007724A0" w:rsidRDefault="007724A0" w:rsidP="007724A0">
      <w:pPr>
        <w:spacing w:after="0" w:line="240" w:lineRule="auto"/>
        <w:jc w:val="both"/>
        <w:rPr>
          <w:rFonts w:ascii="Times New Roman" w:hAnsi="Times New Roman"/>
          <w:sz w:val="20"/>
          <w:szCs w:val="20"/>
        </w:rPr>
      </w:pPr>
      <w:r w:rsidRPr="007724A0">
        <w:rPr>
          <w:rFonts w:ascii="Times New Roman" w:hAnsi="Times New Roman"/>
          <w:sz w:val="20"/>
          <w:szCs w:val="20"/>
        </w:rPr>
        <w:t xml:space="preserve">Chlorella sp. has been isolated from the native environment of Stesen Janakuasa Sultan Azlan Shah. Through morphological and molecular identification it has been confirmed that isolated strain is Chlorella sp. which has similar sequenced to </w:t>
      </w:r>
      <w:r w:rsidRPr="007724A0">
        <w:rPr>
          <w:rFonts w:ascii="Times New Roman" w:hAnsi="Times New Roman"/>
          <w:i/>
          <w:sz w:val="20"/>
          <w:szCs w:val="20"/>
        </w:rPr>
        <w:t>Chlorella sorokinia</w:t>
      </w:r>
      <w:r w:rsidRPr="007724A0">
        <w:rPr>
          <w:rFonts w:ascii="Times New Roman" w:hAnsi="Times New Roman"/>
          <w:sz w:val="20"/>
          <w:szCs w:val="20"/>
        </w:rPr>
        <w:t xml:space="preserve"> from SAG 211-18. Isolated </w:t>
      </w:r>
      <w:r w:rsidRPr="007724A0">
        <w:rPr>
          <w:rFonts w:ascii="Times New Roman" w:hAnsi="Times New Roman"/>
          <w:i/>
          <w:sz w:val="20"/>
          <w:szCs w:val="20"/>
        </w:rPr>
        <w:t>Chlorella</w:t>
      </w:r>
      <w:r w:rsidRPr="007724A0">
        <w:rPr>
          <w:rFonts w:ascii="Times New Roman" w:hAnsi="Times New Roman"/>
          <w:sz w:val="20"/>
          <w:szCs w:val="20"/>
        </w:rPr>
        <w:t xml:space="preserve"> sp. also showed that for higher growth it more favor the TNBR medium by achieving higher µmax value compare to the F/2 medium. At higher CO</w:t>
      </w:r>
      <w:r w:rsidRPr="007724A0">
        <w:rPr>
          <w:rFonts w:ascii="Times New Roman" w:hAnsi="Times New Roman"/>
          <w:sz w:val="20"/>
          <w:szCs w:val="20"/>
          <w:vertAlign w:val="subscript"/>
        </w:rPr>
        <w:t>2</w:t>
      </w:r>
      <w:r w:rsidRPr="007724A0">
        <w:rPr>
          <w:rFonts w:ascii="Times New Roman" w:hAnsi="Times New Roman"/>
          <w:sz w:val="20"/>
          <w:szCs w:val="20"/>
        </w:rPr>
        <w:t xml:space="preserve"> percentage, isolated Chlorella sp. showed that it has potential in reducing the CO</w:t>
      </w:r>
      <w:r w:rsidRPr="007724A0">
        <w:rPr>
          <w:rFonts w:ascii="Times New Roman" w:hAnsi="Times New Roman"/>
          <w:sz w:val="20"/>
          <w:szCs w:val="20"/>
          <w:vertAlign w:val="subscript"/>
        </w:rPr>
        <w:t>2</w:t>
      </w:r>
      <w:r w:rsidRPr="007724A0">
        <w:rPr>
          <w:rFonts w:ascii="Times New Roman" w:hAnsi="Times New Roman"/>
          <w:sz w:val="20"/>
          <w:szCs w:val="20"/>
        </w:rPr>
        <w:t xml:space="preserve"> while still survive and accumulate the biomass. Therefore, isolated Chlorella sp. can be used and explored more on its CO</w:t>
      </w:r>
      <w:r w:rsidRPr="007724A0">
        <w:rPr>
          <w:rFonts w:ascii="Times New Roman" w:hAnsi="Times New Roman"/>
          <w:sz w:val="20"/>
          <w:szCs w:val="20"/>
          <w:vertAlign w:val="subscript"/>
        </w:rPr>
        <w:t xml:space="preserve">2 </w:t>
      </w:r>
      <w:r w:rsidRPr="007724A0">
        <w:rPr>
          <w:rFonts w:ascii="Times New Roman" w:hAnsi="Times New Roman"/>
          <w:sz w:val="20"/>
          <w:szCs w:val="20"/>
        </w:rPr>
        <w:t>tolerance at higher CO</w:t>
      </w:r>
      <w:r w:rsidRPr="007724A0">
        <w:rPr>
          <w:rFonts w:ascii="Times New Roman" w:hAnsi="Times New Roman"/>
          <w:sz w:val="20"/>
          <w:szCs w:val="20"/>
          <w:vertAlign w:val="subscript"/>
        </w:rPr>
        <w:t>2</w:t>
      </w:r>
      <w:r w:rsidRPr="007724A0">
        <w:rPr>
          <w:rFonts w:ascii="Times New Roman" w:hAnsi="Times New Roman"/>
          <w:sz w:val="20"/>
          <w:szCs w:val="20"/>
        </w:rPr>
        <w:t xml:space="preserve"> concentration and can be utilized to biofixation of CO</w:t>
      </w:r>
      <w:r w:rsidRPr="007724A0">
        <w:rPr>
          <w:rFonts w:ascii="Times New Roman" w:hAnsi="Times New Roman"/>
          <w:sz w:val="20"/>
          <w:szCs w:val="20"/>
          <w:vertAlign w:val="subscript"/>
        </w:rPr>
        <w:t xml:space="preserve">2 </w:t>
      </w:r>
      <w:r w:rsidRPr="007724A0">
        <w:rPr>
          <w:rFonts w:ascii="Times New Roman" w:hAnsi="Times New Roman"/>
          <w:sz w:val="20"/>
          <w:szCs w:val="20"/>
        </w:rPr>
        <w:t xml:space="preserve">from coal-fired power plant, which contributes to a reduction in global warming. </w:t>
      </w:r>
    </w:p>
    <w:p w:rsidR="007724A0" w:rsidRPr="007724A0" w:rsidRDefault="007724A0" w:rsidP="007724A0">
      <w:pPr>
        <w:spacing w:after="0" w:line="240" w:lineRule="auto"/>
        <w:jc w:val="center"/>
        <w:outlineLvl w:val="0"/>
        <w:rPr>
          <w:rFonts w:ascii="Times New Roman" w:hAnsi="Times New Roman"/>
          <w:spacing w:val="-2"/>
          <w:sz w:val="20"/>
          <w:szCs w:val="20"/>
          <w:lang w:val="en-GB"/>
        </w:rPr>
      </w:pPr>
    </w:p>
    <w:p w:rsidR="007724A0" w:rsidRPr="007724A0" w:rsidRDefault="007724A0" w:rsidP="007724A0">
      <w:pPr>
        <w:spacing w:after="0" w:line="240" w:lineRule="auto"/>
        <w:jc w:val="center"/>
        <w:outlineLvl w:val="0"/>
        <w:rPr>
          <w:rFonts w:ascii="Times New Roman" w:hAnsi="Times New Roman"/>
          <w:b/>
          <w:sz w:val="20"/>
          <w:szCs w:val="20"/>
        </w:rPr>
      </w:pPr>
      <w:r w:rsidRPr="007724A0">
        <w:rPr>
          <w:rFonts w:ascii="Times New Roman" w:hAnsi="Times New Roman"/>
          <w:b/>
          <w:sz w:val="20"/>
          <w:szCs w:val="20"/>
        </w:rPr>
        <w:t>Acknowledgement</w:t>
      </w:r>
    </w:p>
    <w:p w:rsidR="006768E9" w:rsidRPr="007724A0" w:rsidRDefault="007724A0" w:rsidP="007724A0">
      <w:pPr>
        <w:spacing w:after="0" w:line="240" w:lineRule="auto"/>
        <w:jc w:val="both"/>
        <w:rPr>
          <w:rFonts w:ascii="Times New Roman" w:hAnsi="Times New Roman"/>
          <w:spacing w:val="-2"/>
          <w:sz w:val="20"/>
          <w:szCs w:val="20"/>
          <w:lang w:val="en-MY" w:eastAsia="en-MY"/>
        </w:rPr>
      </w:pPr>
      <w:r w:rsidRPr="007724A0">
        <w:rPr>
          <w:rFonts w:ascii="Times New Roman" w:hAnsi="Times New Roman"/>
          <w:spacing w:val="-2"/>
          <w:sz w:val="20"/>
          <w:szCs w:val="20"/>
          <w:lang w:val="en-MY" w:eastAsia="en-MY"/>
        </w:rPr>
        <w:t>The authors would like to acknowledge and thank TNB Research Technical Board Committee for approving a seed fund no. TNBR/SF0157/2014 and UKM in supporting the research financially and educationally between 2014 and 2015. Also appreciating the Management of TNB Janamanjung Sdn. Bhd. for their co-operation and support.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sz w:val="20"/>
          <w:szCs w:val="20"/>
        </w:rPr>
        <w:fldChar w:fldCharType="begin" w:fldLock="1"/>
      </w:r>
      <w:r w:rsidRPr="007724A0">
        <w:rPr>
          <w:rFonts w:ascii="Times New Roman" w:hAnsi="Times New Roman"/>
          <w:sz w:val="20"/>
          <w:szCs w:val="20"/>
        </w:rPr>
        <w:instrText xml:space="preserve">ADDIN Mendeley Bibliography CSL_BIBLIOGRAPHY </w:instrText>
      </w:r>
      <w:r w:rsidRPr="00325D8C">
        <w:rPr>
          <w:rFonts w:ascii="Times New Roman" w:hAnsi="Times New Roman"/>
          <w:sz w:val="20"/>
          <w:szCs w:val="20"/>
        </w:rPr>
        <w:fldChar w:fldCharType="separate"/>
      </w:r>
      <w:r w:rsidRPr="007724A0">
        <w:rPr>
          <w:rFonts w:ascii="Times New Roman" w:hAnsi="Times New Roman"/>
          <w:noProof/>
          <w:sz w:val="20"/>
          <w:szCs w:val="20"/>
        </w:rPr>
        <w:t xml:space="preserve">Certik, M. and Shimizu S. (1999). Biosynthesis and regulation of microbial polyunsaturated fatty acid production. </w:t>
      </w:r>
      <w:r w:rsidRPr="007724A0">
        <w:rPr>
          <w:rFonts w:ascii="Times New Roman" w:hAnsi="Times New Roman"/>
          <w:i/>
          <w:iCs/>
          <w:noProof/>
          <w:sz w:val="20"/>
          <w:szCs w:val="20"/>
        </w:rPr>
        <w:t>Journal of Bioscience and Bioengineering</w:t>
      </w:r>
      <w:r w:rsidRPr="007724A0">
        <w:rPr>
          <w:rFonts w:ascii="Times New Roman" w:hAnsi="Times New Roman"/>
          <w:noProof/>
          <w:sz w:val="20"/>
          <w:szCs w:val="20"/>
        </w:rPr>
        <w:t xml:space="preserve">, 87(1): 1 - 14.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Hama, S. and Kondo, A. (2012). Enzymatic biodiesel production: An overview of potential feedstocks and process development. </w:t>
      </w:r>
      <w:r w:rsidRPr="007724A0">
        <w:rPr>
          <w:rFonts w:ascii="Times New Roman" w:hAnsi="Times New Roman"/>
          <w:i/>
          <w:iCs/>
          <w:noProof/>
          <w:sz w:val="20"/>
          <w:szCs w:val="20"/>
        </w:rPr>
        <w:t>Bioresource Technol</w:t>
      </w:r>
      <w:r w:rsidRPr="007724A0">
        <w:rPr>
          <w:rFonts w:ascii="Times New Roman" w:hAnsi="Times New Roman"/>
          <w:i/>
          <w:noProof/>
          <w:sz w:val="20"/>
          <w:szCs w:val="20"/>
        </w:rPr>
        <w:t>ogy</w:t>
      </w:r>
      <w:r w:rsidRPr="007724A0">
        <w:rPr>
          <w:rFonts w:ascii="Times New Roman" w:hAnsi="Times New Roman"/>
          <w:noProof/>
          <w:sz w:val="20"/>
          <w:szCs w:val="20"/>
        </w:rPr>
        <w:t xml:space="preserve">, 135: 386 - 395.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Fujii, K. (2012). Process integration of supercritical carbon dioxide extraction and acid treatment for astaxanthin extraction from a vegetative microalga. </w:t>
      </w:r>
      <w:r w:rsidRPr="007724A0">
        <w:rPr>
          <w:rFonts w:ascii="Times New Roman" w:hAnsi="Times New Roman"/>
          <w:i/>
          <w:iCs/>
          <w:noProof/>
          <w:sz w:val="20"/>
          <w:szCs w:val="20"/>
        </w:rPr>
        <w:t>Food Bioproducts Processing</w:t>
      </w:r>
      <w:r w:rsidRPr="007724A0">
        <w:rPr>
          <w:rFonts w:ascii="Times New Roman" w:hAnsi="Times New Roman"/>
          <w:noProof/>
          <w:sz w:val="20"/>
          <w:szCs w:val="20"/>
        </w:rPr>
        <w:t xml:space="preserve">, 90(4): 762 - 766.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Kao, C.Y., Chiu, S. Y., Huang, T. T., Dai, L., Wang, G. H, Tseng, C. P., Chen, C. H. and Lin, C. S. (2012).  A mutant strain of microalga Chlorella sp. for the carbon dioxide capture from biogas. </w:t>
      </w:r>
      <w:r w:rsidRPr="007724A0">
        <w:rPr>
          <w:rFonts w:ascii="Times New Roman" w:hAnsi="Times New Roman"/>
          <w:i/>
          <w:iCs/>
          <w:noProof/>
          <w:sz w:val="20"/>
          <w:szCs w:val="20"/>
        </w:rPr>
        <w:t>Biomass and Bioenergy</w:t>
      </w:r>
      <w:r w:rsidRPr="007724A0">
        <w:rPr>
          <w:rFonts w:ascii="Times New Roman" w:hAnsi="Times New Roman"/>
          <w:noProof/>
          <w:sz w:val="20"/>
          <w:szCs w:val="20"/>
        </w:rPr>
        <w:t xml:space="preserve">, 36: 132 - 140.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Liang, Y., Sarkany, N. and Cui, Y. (2009). Biomass and lipid productivities of Chlorella vulgaris under autotrophic, heterotrophic and mixotrophic growth conditions. </w:t>
      </w:r>
      <w:r w:rsidRPr="007724A0">
        <w:rPr>
          <w:rFonts w:ascii="Times New Roman" w:hAnsi="Times New Roman"/>
          <w:i/>
          <w:iCs/>
          <w:noProof/>
          <w:sz w:val="20"/>
          <w:szCs w:val="20"/>
        </w:rPr>
        <w:t>Biotechnology Lett</w:t>
      </w:r>
      <w:r w:rsidRPr="007724A0">
        <w:rPr>
          <w:rFonts w:ascii="Times New Roman" w:hAnsi="Times New Roman"/>
          <w:i/>
          <w:noProof/>
          <w:sz w:val="20"/>
          <w:szCs w:val="20"/>
        </w:rPr>
        <w:t>ers,</w:t>
      </w:r>
      <w:r w:rsidRPr="007724A0">
        <w:rPr>
          <w:rFonts w:ascii="Times New Roman" w:hAnsi="Times New Roman"/>
          <w:noProof/>
          <w:sz w:val="20"/>
          <w:szCs w:val="20"/>
        </w:rPr>
        <w:t xml:space="preserve"> 31(7): 1043 -1049.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Perez-Garcia O, Escalante F. M. E., De-Bashan L. E. and Bashan Y. (2011). Heterotrophic cultures of microalgae: Metabolism and potential products. </w:t>
      </w:r>
      <w:r w:rsidRPr="007724A0">
        <w:rPr>
          <w:rFonts w:ascii="Times New Roman" w:hAnsi="Times New Roman"/>
          <w:i/>
          <w:iCs/>
          <w:noProof/>
          <w:sz w:val="20"/>
          <w:szCs w:val="20"/>
        </w:rPr>
        <w:t>Water Res</w:t>
      </w:r>
      <w:r w:rsidRPr="007724A0">
        <w:rPr>
          <w:rFonts w:ascii="Times New Roman" w:hAnsi="Times New Roman"/>
          <w:noProof/>
          <w:sz w:val="20"/>
          <w:szCs w:val="20"/>
        </w:rPr>
        <w:t>e</w:t>
      </w:r>
      <w:r w:rsidRPr="007724A0">
        <w:rPr>
          <w:rFonts w:ascii="Times New Roman" w:hAnsi="Times New Roman"/>
          <w:i/>
          <w:noProof/>
          <w:sz w:val="20"/>
          <w:szCs w:val="20"/>
        </w:rPr>
        <w:t xml:space="preserve">arch, </w:t>
      </w:r>
      <w:r w:rsidRPr="007724A0">
        <w:rPr>
          <w:rFonts w:ascii="Times New Roman" w:hAnsi="Times New Roman"/>
          <w:noProof/>
          <w:sz w:val="20"/>
          <w:szCs w:val="20"/>
        </w:rPr>
        <w:t>45: 11 - 36.</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EL-Sheekh, M. M., Bedaiwy, M. Y., Osman M. E. and Ismail, M. M. (2012). Mixotrophic and heterotrophic growth of some microalgae using extract of fungal-treated wheat bran. </w:t>
      </w:r>
      <w:r w:rsidRPr="007724A0">
        <w:rPr>
          <w:rFonts w:ascii="Times New Roman" w:hAnsi="Times New Roman"/>
          <w:i/>
          <w:iCs/>
          <w:noProof/>
          <w:sz w:val="20"/>
          <w:szCs w:val="20"/>
        </w:rPr>
        <w:t>International Journal of Recycling Organic Waste in Agriculture</w:t>
      </w:r>
      <w:r w:rsidRPr="007724A0">
        <w:rPr>
          <w:rFonts w:ascii="Times New Roman" w:hAnsi="Times New Roman"/>
          <w:noProof/>
          <w:sz w:val="20"/>
          <w:szCs w:val="20"/>
        </w:rPr>
        <w:t xml:space="preserve">, 1(1): 1 - 9.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Wensel, P., Helms, G., Hiscox, B., Bavis, W. C., Kirchoff, H., Bule, M., Yu, L. and Chen S. (2014). Isolation, characterization, and validation of oleaginous, multi-trophic, and haloalkaline-tolerant microalgae for two-stage cultivation. </w:t>
      </w:r>
      <w:r w:rsidRPr="007724A0">
        <w:rPr>
          <w:rFonts w:ascii="Times New Roman" w:hAnsi="Times New Roman"/>
          <w:i/>
          <w:iCs/>
          <w:noProof/>
          <w:sz w:val="20"/>
          <w:szCs w:val="20"/>
        </w:rPr>
        <w:t>Algal Research</w:t>
      </w:r>
      <w:r w:rsidRPr="007724A0">
        <w:rPr>
          <w:rFonts w:ascii="Times New Roman" w:hAnsi="Times New Roman"/>
          <w:noProof/>
          <w:sz w:val="20"/>
          <w:szCs w:val="20"/>
        </w:rPr>
        <w:t xml:space="preserve">, 4: 2 - 11. </w:t>
      </w:r>
    </w:p>
    <w:p w:rsidR="007724A0" w:rsidRDefault="007724A0" w:rsidP="007724A0">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t xml:space="preserve">Pires, J. C. M., Alvim-Ferraz, M. C. M., Martins, F. G. and Simões M. (2012). Carbon dioxide capture from flue gases using microalgae: Engineering aspects and biorefinery concept. </w:t>
      </w:r>
      <w:r w:rsidRPr="007724A0">
        <w:rPr>
          <w:rFonts w:ascii="Times New Roman" w:hAnsi="Times New Roman"/>
          <w:i/>
          <w:iCs/>
          <w:noProof/>
          <w:sz w:val="20"/>
          <w:szCs w:val="20"/>
        </w:rPr>
        <w:t>Renewable and Sustainable Energy Rev</w:t>
      </w:r>
      <w:r w:rsidRPr="007724A0">
        <w:rPr>
          <w:rFonts w:ascii="Times New Roman" w:hAnsi="Times New Roman"/>
          <w:i/>
          <w:noProof/>
          <w:sz w:val="20"/>
          <w:szCs w:val="20"/>
        </w:rPr>
        <w:t>iews</w:t>
      </w:r>
      <w:r w:rsidRPr="007724A0">
        <w:rPr>
          <w:rFonts w:ascii="Times New Roman" w:hAnsi="Times New Roman"/>
          <w:noProof/>
          <w:sz w:val="20"/>
          <w:szCs w:val="20"/>
        </w:rPr>
        <w:t>, 16(5): 3043 - 3053.</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7724A0">
        <w:rPr>
          <w:rFonts w:ascii="Times New Roman" w:hAnsi="Times New Roman"/>
          <w:noProof/>
          <w:sz w:val="20"/>
          <w:szCs w:val="20"/>
        </w:rPr>
        <w:lastRenderedPageBreak/>
        <w:t>Radmann, E. M., Camerini, F. V., Santos, T. D. and Costa, J. A. V. (2011). Isolation and application of SO</w:t>
      </w:r>
      <w:r w:rsidRPr="007724A0">
        <w:rPr>
          <w:rFonts w:ascii="Times New Roman" w:hAnsi="Times New Roman"/>
          <w:noProof/>
          <w:sz w:val="20"/>
          <w:szCs w:val="20"/>
          <w:vertAlign w:val="subscript"/>
        </w:rPr>
        <w:t>X</w:t>
      </w:r>
      <w:r w:rsidRPr="007724A0">
        <w:rPr>
          <w:rFonts w:ascii="Times New Roman" w:hAnsi="Times New Roman"/>
          <w:noProof/>
          <w:sz w:val="20"/>
          <w:szCs w:val="20"/>
        </w:rPr>
        <w:t xml:space="preserve"> and NO</w:t>
      </w:r>
      <w:r w:rsidRPr="007724A0">
        <w:rPr>
          <w:rFonts w:ascii="Times New Roman" w:hAnsi="Times New Roman"/>
          <w:noProof/>
          <w:sz w:val="20"/>
          <w:szCs w:val="20"/>
          <w:vertAlign w:val="subscript"/>
        </w:rPr>
        <w:t>X</w:t>
      </w:r>
      <w:r w:rsidRPr="007724A0">
        <w:rPr>
          <w:rFonts w:ascii="Times New Roman" w:hAnsi="Times New Roman"/>
          <w:noProof/>
          <w:sz w:val="20"/>
          <w:szCs w:val="20"/>
        </w:rPr>
        <w:t xml:space="preserve"> resistant microalgae in biofixation of CO</w:t>
      </w:r>
      <w:r w:rsidRPr="007724A0">
        <w:rPr>
          <w:rFonts w:ascii="Times New Roman" w:hAnsi="Times New Roman"/>
          <w:noProof/>
          <w:sz w:val="20"/>
          <w:szCs w:val="20"/>
          <w:vertAlign w:val="subscript"/>
        </w:rPr>
        <w:t>2</w:t>
      </w:r>
      <w:r w:rsidRPr="007724A0">
        <w:rPr>
          <w:rFonts w:ascii="Times New Roman" w:hAnsi="Times New Roman"/>
          <w:noProof/>
          <w:sz w:val="20"/>
          <w:szCs w:val="20"/>
        </w:rPr>
        <w:t xml:space="preserve"> from thermoelectricity plants. </w:t>
      </w:r>
      <w:r w:rsidRPr="007724A0">
        <w:rPr>
          <w:rFonts w:ascii="Times New Roman" w:hAnsi="Times New Roman"/>
          <w:i/>
          <w:iCs/>
          <w:noProof/>
          <w:sz w:val="20"/>
          <w:szCs w:val="20"/>
        </w:rPr>
        <w:t>Energy Conversion Management</w:t>
      </w:r>
      <w:r w:rsidRPr="007724A0">
        <w:rPr>
          <w:rFonts w:ascii="Times New Roman" w:hAnsi="Times New Roman"/>
          <w:noProof/>
          <w:sz w:val="20"/>
          <w:szCs w:val="20"/>
        </w:rPr>
        <w:t xml:space="preserve">, 52(10): 3132 - 3136.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de Morais M. G. and Costa J. A. V. (2007). Isolation and selection of microalgae from coal fired thermoelectric power plant for biofixation of carbon dioxide. </w:t>
      </w:r>
      <w:r w:rsidRPr="00325D8C">
        <w:rPr>
          <w:rFonts w:ascii="Times New Roman" w:hAnsi="Times New Roman"/>
          <w:i/>
          <w:iCs/>
          <w:noProof/>
          <w:sz w:val="20"/>
          <w:szCs w:val="20"/>
        </w:rPr>
        <w:t>Energy Conversion Manag</w:t>
      </w:r>
      <w:r w:rsidRPr="00325D8C">
        <w:rPr>
          <w:rFonts w:ascii="Times New Roman" w:hAnsi="Times New Roman"/>
          <w:i/>
          <w:noProof/>
          <w:sz w:val="20"/>
          <w:szCs w:val="20"/>
        </w:rPr>
        <w:t>ement</w:t>
      </w:r>
      <w:r w:rsidRPr="00325D8C">
        <w:rPr>
          <w:rFonts w:ascii="Times New Roman" w:hAnsi="Times New Roman"/>
          <w:noProof/>
          <w:sz w:val="20"/>
          <w:szCs w:val="20"/>
        </w:rPr>
        <w:t xml:space="preserve">, 48(7): 2169 - 2173.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Malaysia Energy Information Hub (2013). </w:t>
      </w:r>
      <w:r w:rsidRPr="00325D8C">
        <w:rPr>
          <w:rFonts w:ascii="Times New Roman" w:hAnsi="Times New Roman"/>
          <w:iCs/>
          <w:noProof/>
          <w:sz w:val="20"/>
          <w:szCs w:val="20"/>
        </w:rPr>
        <w:t>Primary Energy Supply (Ktoe)</w:t>
      </w:r>
      <w:r w:rsidRPr="00325D8C">
        <w:rPr>
          <w:rFonts w:ascii="Times New Roman" w:hAnsi="Times New Roman"/>
          <w:noProof/>
          <w:sz w:val="20"/>
          <w:szCs w:val="20"/>
        </w:rPr>
        <w:t>. Putrajaya, Malaysia.</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CO</w:t>
      </w:r>
      <w:r w:rsidRPr="00325D8C">
        <w:rPr>
          <w:rFonts w:ascii="Times New Roman" w:hAnsi="Times New Roman"/>
          <w:noProof/>
          <w:sz w:val="20"/>
          <w:szCs w:val="20"/>
          <w:vertAlign w:val="subscript"/>
        </w:rPr>
        <w:t>2</w:t>
      </w:r>
      <w:r w:rsidRPr="00325D8C">
        <w:rPr>
          <w:rFonts w:ascii="Times New Roman" w:hAnsi="Times New Roman"/>
          <w:noProof/>
          <w:sz w:val="20"/>
          <w:szCs w:val="20"/>
        </w:rPr>
        <w:t>now.org. Earth’s 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home page. Access from http://co2now.org/.</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Tans P., Keeling R. (2015). </w:t>
      </w:r>
      <w:r w:rsidRPr="00325D8C">
        <w:rPr>
          <w:rFonts w:ascii="Times New Roman" w:hAnsi="Times New Roman"/>
          <w:iCs/>
          <w:noProof/>
          <w:sz w:val="20"/>
          <w:szCs w:val="20"/>
        </w:rPr>
        <w:t>Global Greenhouse Gas Reference Network</w:t>
      </w:r>
      <w:r w:rsidRPr="00325D8C">
        <w:rPr>
          <w:rFonts w:ascii="Times New Roman" w:hAnsi="Times New Roman"/>
          <w:noProof/>
          <w:sz w:val="20"/>
          <w:szCs w:val="20"/>
        </w:rPr>
        <w:t>. Mauna Loa http://www.esrl.noaa.gov/</w:t>
      </w:r>
      <w:r w:rsidR="00325D8C">
        <w:rPr>
          <w:rFonts w:ascii="Times New Roman" w:hAnsi="Times New Roman"/>
          <w:noProof/>
          <w:sz w:val="20"/>
          <w:szCs w:val="20"/>
        </w:rPr>
        <w:t xml:space="preserve"> </w:t>
      </w:r>
      <w:r w:rsidRPr="00325D8C">
        <w:rPr>
          <w:rFonts w:ascii="Times New Roman" w:hAnsi="Times New Roman"/>
          <w:noProof/>
          <w:sz w:val="20"/>
          <w:szCs w:val="20"/>
        </w:rPr>
        <w:t>gmd/ccgg/trends/. Accessed online [July 13, 2015].</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Alstom S. A. (2013). </w:t>
      </w:r>
      <w:r w:rsidRPr="00325D8C">
        <w:rPr>
          <w:rFonts w:ascii="Times New Roman" w:hAnsi="Times New Roman"/>
          <w:iCs/>
          <w:noProof/>
          <w:sz w:val="20"/>
          <w:szCs w:val="20"/>
        </w:rPr>
        <w:t>Case Study: Steam Product Solutions. Manjung Unit 4 - Malaysia. Ultra-Supercritical Coal-Fired Power Plant</w:t>
      </w:r>
      <w:r w:rsidRPr="00325D8C">
        <w:rPr>
          <w:rFonts w:ascii="Times New Roman" w:hAnsi="Times New Roman"/>
          <w:noProof/>
          <w:sz w:val="20"/>
          <w:szCs w:val="20"/>
        </w:rPr>
        <w:t>. Baden, Switzerland.</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Jansson, C. and Northen, T. (2010). Calcifying cyanobacteria — the potential of biomineralization for carbon capture and storage. </w:t>
      </w:r>
      <w:r w:rsidRPr="00325D8C">
        <w:rPr>
          <w:rFonts w:ascii="Times New Roman" w:hAnsi="Times New Roman"/>
          <w:i/>
          <w:iCs/>
          <w:noProof/>
          <w:sz w:val="20"/>
          <w:szCs w:val="20"/>
        </w:rPr>
        <w:t>Current Opinion Biotechnology</w:t>
      </w:r>
      <w:r w:rsidRPr="00325D8C">
        <w:rPr>
          <w:rFonts w:ascii="Times New Roman" w:hAnsi="Times New Roman"/>
          <w:noProof/>
          <w:sz w:val="20"/>
          <w:szCs w:val="20"/>
        </w:rPr>
        <w:t xml:space="preserve">, 21(3): 365 - 371.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Skjånes, K., Lindblad, P. and Muller J. (2007). BioCO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 a multidisciplinary, biological approach using solar energy to capture 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while producing H</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and high value products. </w:t>
      </w:r>
      <w:r w:rsidRPr="00325D8C">
        <w:rPr>
          <w:rFonts w:ascii="Times New Roman" w:hAnsi="Times New Roman"/>
          <w:i/>
          <w:iCs/>
          <w:noProof/>
          <w:sz w:val="20"/>
          <w:szCs w:val="20"/>
        </w:rPr>
        <w:t>Biomolecular Engineering</w:t>
      </w:r>
      <w:r w:rsidRPr="00325D8C">
        <w:rPr>
          <w:rFonts w:ascii="Times New Roman" w:hAnsi="Times New Roman"/>
          <w:noProof/>
          <w:sz w:val="20"/>
          <w:szCs w:val="20"/>
        </w:rPr>
        <w:t xml:space="preserve">, 24(4): 405 - 413.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Ramanan, R., Kannan, K., Deshkar, A., Yadav, R. and Chakrabarti T. (2010). Enhanced algal 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sequestration through calcite deposition by Chlorella sp. and Spirulina platensis in a mini-raceway pond. </w:t>
      </w:r>
      <w:r w:rsidRPr="00325D8C">
        <w:rPr>
          <w:rFonts w:ascii="Times New Roman" w:hAnsi="Times New Roman"/>
          <w:i/>
          <w:iCs/>
          <w:noProof/>
          <w:sz w:val="20"/>
          <w:szCs w:val="20"/>
        </w:rPr>
        <w:t>Bioresource Technol</w:t>
      </w:r>
      <w:r w:rsidRPr="00325D8C">
        <w:rPr>
          <w:rFonts w:ascii="Times New Roman" w:hAnsi="Times New Roman"/>
          <w:i/>
          <w:noProof/>
          <w:sz w:val="20"/>
          <w:szCs w:val="20"/>
        </w:rPr>
        <w:t>ogy</w:t>
      </w:r>
      <w:r w:rsidRPr="00325D8C">
        <w:rPr>
          <w:rFonts w:ascii="Times New Roman" w:hAnsi="Times New Roman"/>
          <w:noProof/>
          <w:sz w:val="20"/>
          <w:szCs w:val="20"/>
        </w:rPr>
        <w:t xml:space="preserve">, 101(8): 2616 - 2622.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Zhao, L., Chen, Y. and Schaffner, D. W. (2001). Comparison of logistic regression and linear regression in modeling percentage data. </w:t>
      </w:r>
      <w:r w:rsidRPr="00325D8C">
        <w:rPr>
          <w:rFonts w:ascii="Times New Roman" w:hAnsi="Times New Roman"/>
          <w:i/>
          <w:iCs/>
          <w:noProof/>
          <w:sz w:val="20"/>
          <w:szCs w:val="20"/>
        </w:rPr>
        <w:t>Applied and Environmental Microbiology</w:t>
      </w:r>
      <w:r w:rsidRPr="00325D8C">
        <w:rPr>
          <w:rFonts w:ascii="Times New Roman" w:hAnsi="Times New Roman"/>
          <w:noProof/>
          <w:sz w:val="20"/>
          <w:szCs w:val="20"/>
        </w:rPr>
        <w:t>, 67(5): 2129 - 2135.</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Kargi, F. (2009). Re-interpretation of the logistic equation for batch microbial growth in relation to Monod kinetics. </w:t>
      </w:r>
      <w:r w:rsidRPr="00325D8C">
        <w:rPr>
          <w:rFonts w:ascii="Times New Roman" w:hAnsi="Times New Roman"/>
          <w:i/>
          <w:iCs/>
          <w:noProof/>
          <w:sz w:val="20"/>
          <w:szCs w:val="20"/>
        </w:rPr>
        <w:t>Letters in Applied Microbiology</w:t>
      </w:r>
      <w:r w:rsidRPr="00325D8C">
        <w:rPr>
          <w:rFonts w:ascii="Times New Roman" w:hAnsi="Times New Roman"/>
          <w:noProof/>
          <w:sz w:val="20"/>
          <w:szCs w:val="20"/>
        </w:rPr>
        <w:t xml:space="preserve">, 48(4): 398 - 401.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Xu, Y. and Boeing, W. J. (2014). Modeling maximum lipid productivity of microalgae: Review and next step. </w:t>
      </w:r>
      <w:r w:rsidRPr="00325D8C">
        <w:rPr>
          <w:rFonts w:ascii="Times New Roman" w:hAnsi="Times New Roman"/>
          <w:i/>
          <w:iCs/>
          <w:noProof/>
          <w:sz w:val="20"/>
          <w:szCs w:val="20"/>
        </w:rPr>
        <w:t>Renewable and Sustainable Energy Reviews</w:t>
      </w:r>
      <w:r w:rsidRPr="00325D8C">
        <w:rPr>
          <w:rFonts w:ascii="Times New Roman" w:hAnsi="Times New Roman"/>
          <w:noProof/>
          <w:sz w:val="20"/>
          <w:szCs w:val="20"/>
        </w:rPr>
        <w:t xml:space="preserve">, 32: 29 - 39.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Promega (2010). </w:t>
      </w:r>
      <w:r w:rsidRPr="00325D8C">
        <w:rPr>
          <w:rFonts w:ascii="Times New Roman" w:hAnsi="Times New Roman"/>
          <w:iCs/>
          <w:noProof/>
          <w:sz w:val="20"/>
          <w:szCs w:val="20"/>
        </w:rPr>
        <w:t>Wizard Genomic DNA Purification Kit Quick Protocol, FB022</w:t>
      </w:r>
      <w:r w:rsidRPr="00325D8C">
        <w:rPr>
          <w:rFonts w:ascii="Times New Roman" w:hAnsi="Times New Roman"/>
          <w:noProof/>
          <w:sz w:val="20"/>
          <w:szCs w:val="20"/>
        </w:rPr>
        <w:t>. 2010: 1123 - 1126.</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Simon, N., Campbell, L., Ornolfsdottir, E., Groben, R., Guillou, L., Lange, M. and Medlin, L. K. (2000). Oligonucleotide probes for the identification of three algal groups by dot blot and fluorescent whole-cell hybridization. </w:t>
      </w:r>
      <w:r w:rsidRPr="00325D8C">
        <w:rPr>
          <w:rFonts w:ascii="Times New Roman" w:hAnsi="Times New Roman"/>
          <w:i/>
          <w:iCs/>
          <w:noProof/>
          <w:sz w:val="20"/>
          <w:szCs w:val="20"/>
        </w:rPr>
        <w:t>Journal of Eukaryotic Microbiology</w:t>
      </w:r>
      <w:r w:rsidRPr="00325D8C">
        <w:rPr>
          <w:rFonts w:ascii="Times New Roman" w:hAnsi="Times New Roman"/>
          <w:noProof/>
          <w:sz w:val="20"/>
          <w:szCs w:val="20"/>
        </w:rPr>
        <w:t xml:space="preserve">, 47(1):76 - 84.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Krienitz, L., Ustinova, I., Friedl, T. and Huss V. A. R. (2001). Traditional generic concepts versus 18S rRNA gene phylogeny in the green algal family Selenastraceae (</w:t>
      </w:r>
      <w:r w:rsidRPr="00325D8C">
        <w:rPr>
          <w:rFonts w:ascii="Times New Roman" w:hAnsi="Times New Roman"/>
          <w:i/>
          <w:noProof/>
          <w:sz w:val="20"/>
          <w:szCs w:val="20"/>
        </w:rPr>
        <w:t>Chlorophyceae, Chlorophyta</w:t>
      </w:r>
      <w:r w:rsidRPr="00325D8C">
        <w:rPr>
          <w:rFonts w:ascii="Times New Roman" w:hAnsi="Times New Roman"/>
          <w:noProof/>
          <w:sz w:val="20"/>
          <w:szCs w:val="20"/>
        </w:rPr>
        <w:t xml:space="preserve">). </w:t>
      </w:r>
      <w:r w:rsidRPr="00325D8C">
        <w:rPr>
          <w:rFonts w:ascii="Times New Roman" w:hAnsi="Times New Roman"/>
          <w:i/>
          <w:iCs/>
          <w:noProof/>
          <w:sz w:val="20"/>
          <w:szCs w:val="20"/>
        </w:rPr>
        <w:t>Journal of Phycol</w:t>
      </w:r>
      <w:r w:rsidRPr="00325D8C">
        <w:rPr>
          <w:rFonts w:ascii="Times New Roman" w:hAnsi="Times New Roman"/>
          <w:i/>
          <w:noProof/>
          <w:sz w:val="20"/>
          <w:szCs w:val="20"/>
        </w:rPr>
        <w:t>ogy</w:t>
      </w:r>
      <w:r w:rsidRPr="00325D8C">
        <w:rPr>
          <w:rFonts w:ascii="Times New Roman" w:hAnsi="Times New Roman"/>
          <w:noProof/>
          <w:sz w:val="20"/>
          <w:szCs w:val="20"/>
        </w:rPr>
        <w:t xml:space="preserve">, 37(5): 852 - 865.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Heischkamp, E., Varlik, M., Korkmaz, Ö., Oeljeklaus, G. and Görner K. (2011). Analysis of operating conditions of a flue gas scrubbing process for 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separation in a coal-fired power plant. </w:t>
      </w:r>
      <w:r w:rsidRPr="00325D8C">
        <w:rPr>
          <w:rFonts w:ascii="Times New Roman" w:hAnsi="Times New Roman"/>
          <w:i/>
          <w:iCs/>
          <w:noProof/>
          <w:sz w:val="20"/>
          <w:szCs w:val="20"/>
        </w:rPr>
        <w:t>Energy Procedia</w:t>
      </w:r>
      <w:r w:rsidRPr="00325D8C">
        <w:rPr>
          <w:rFonts w:ascii="Times New Roman" w:hAnsi="Times New Roman"/>
          <w:noProof/>
          <w:sz w:val="20"/>
          <w:szCs w:val="20"/>
        </w:rPr>
        <w:t xml:space="preserve">, 4:1377 - 1384.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Ma, S., Chen, G., Guo, M., Zhao, L., Han, T., Zhu, S. (2014). Path analysis on CO</w:t>
      </w:r>
      <w:r w:rsidRPr="00325D8C">
        <w:rPr>
          <w:rFonts w:ascii="Times New Roman" w:hAnsi="Times New Roman"/>
          <w:noProof/>
          <w:sz w:val="20"/>
          <w:szCs w:val="20"/>
          <w:vertAlign w:val="subscript"/>
        </w:rPr>
        <w:t>2</w:t>
      </w:r>
      <w:r w:rsidRPr="00325D8C">
        <w:rPr>
          <w:rFonts w:ascii="Times New Roman" w:hAnsi="Times New Roman"/>
          <w:noProof/>
          <w:sz w:val="20"/>
          <w:szCs w:val="20"/>
        </w:rPr>
        <w:t xml:space="preserve"> resource utilization based on carbon capture using ammonia method in coal-fired power Plants. </w:t>
      </w:r>
      <w:r w:rsidRPr="00325D8C">
        <w:rPr>
          <w:rFonts w:ascii="Times New Roman" w:hAnsi="Times New Roman"/>
          <w:i/>
          <w:iCs/>
          <w:noProof/>
          <w:sz w:val="20"/>
          <w:szCs w:val="20"/>
        </w:rPr>
        <w:t>Renewable and Sustainable Energy Rev</w:t>
      </w:r>
      <w:r w:rsidRPr="00325D8C">
        <w:rPr>
          <w:rFonts w:ascii="Times New Roman" w:hAnsi="Times New Roman"/>
          <w:i/>
          <w:noProof/>
          <w:sz w:val="20"/>
          <w:szCs w:val="20"/>
        </w:rPr>
        <w:t>iews</w:t>
      </w:r>
      <w:r w:rsidRPr="00325D8C">
        <w:rPr>
          <w:rFonts w:ascii="Times New Roman" w:hAnsi="Times New Roman"/>
          <w:noProof/>
          <w:sz w:val="20"/>
          <w:szCs w:val="20"/>
        </w:rPr>
        <w:t xml:space="preserve">, 37: 687 - 697.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Shen, Q. H., Gong, Y. P., Fang, W. Z., Bi, Z. C., Cheng, L. H., Xu, X. H. and Chen,  H. L. (2015). Saline wastewater treatment by </w:t>
      </w:r>
      <w:r w:rsidRPr="00325D8C">
        <w:rPr>
          <w:rFonts w:ascii="Times New Roman" w:hAnsi="Times New Roman"/>
          <w:i/>
          <w:noProof/>
          <w:sz w:val="20"/>
          <w:szCs w:val="20"/>
        </w:rPr>
        <w:t>Chlorella vulgaris</w:t>
      </w:r>
      <w:r w:rsidRPr="00325D8C">
        <w:rPr>
          <w:rFonts w:ascii="Times New Roman" w:hAnsi="Times New Roman"/>
          <w:noProof/>
          <w:sz w:val="20"/>
          <w:szCs w:val="20"/>
        </w:rPr>
        <w:t xml:space="preserve"> with simultaneous algal lipid accumulation triggered by nitrate deficiency. </w:t>
      </w:r>
      <w:r w:rsidRPr="00325D8C">
        <w:rPr>
          <w:rFonts w:ascii="Times New Roman" w:hAnsi="Times New Roman"/>
          <w:i/>
          <w:iCs/>
          <w:noProof/>
          <w:sz w:val="20"/>
          <w:szCs w:val="20"/>
        </w:rPr>
        <w:t>Bioresource Technology</w:t>
      </w:r>
      <w:r w:rsidRPr="00325D8C">
        <w:rPr>
          <w:rFonts w:ascii="Times New Roman" w:hAnsi="Times New Roman"/>
          <w:noProof/>
          <w:sz w:val="20"/>
          <w:szCs w:val="20"/>
        </w:rPr>
        <w:t xml:space="preserve">, 193: 68 - 75.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Gerken, H. G., Donohoe, B. Knoshaug, E. P. (2013). Enzymatic cell wall degradation of </w:t>
      </w:r>
      <w:r w:rsidRPr="00325D8C">
        <w:rPr>
          <w:rFonts w:ascii="Times New Roman" w:hAnsi="Times New Roman"/>
          <w:i/>
          <w:noProof/>
          <w:sz w:val="20"/>
          <w:szCs w:val="20"/>
        </w:rPr>
        <w:t xml:space="preserve">Chlorella vulgaris </w:t>
      </w:r>
      <w:r w:rsidRPr="00325D8C">
        <w:rPr>
          <w:rFonts w:ascii="Times New Roman" w:hAnsi="Times New Roman"/>
          <w:noProof/>
          <w:sz w:val="20"/>
          <w:szCs w:val="20"/>
        </w:rPr>
        <w:t xml:space="preserve">and other microalgae for biofuels production. </w:t>
      </w:r>
      <w:r w:rsidRPr="00325D8C">
        <w:rPr>
          <w:rFonts w:ascii="Times New Roman" w:hAnsi="Times New Roman"/>
          <w:i/>
          <w:iCs/>
          <w:noProof/>
          <w:sz w:val="20"/>
          <w:szCs w:val="20"/>
        </w:rPr>
        <w:t>Planta</w:t>
      </w:r>
      <w:r w:rsidRPr="00325D8C">
        <w:rPr>
          <w:rFonts w:ascii="Times New Roman" w:hAnsi="Times New Roman"/>
          <w:noProof/>
          <w:sz w:val="20"/>
          <w:szCs w:val="20"/>
        </w:rPr>
        <w:t xml:space="preserve">, 237(1): 239 - 253.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Nurachman, Z., Hartini, H., Rahmaniyah, W. R., Kurnia, D., Hidayat, R., Prijamboedi, B., Suendo, V., Ratnaningsih, E., Panggabean, L. M. G. and Nurbaiti, S. (2015). Tropical marine </w:t>
      </w:r>
      <w:r w:rsidRPr="00325D8C">
        <w:rPr>
          <w:rFonts w:ascii="Times New Roman" w:hAnsi="Times New Roman"/>
          <w:i/>
          <w:noProof/>
          <w:sz w:val="20"/>
          <w:szCs w:val="20"/>
        </w:rPr>
        <w:t xml:space="preserve">Chlorella </w:t>
      </w:r>
      <w:r w:rsidRPr="00325D8C">
        <w:rPr>
          <w:rFonts w:ascii="Times New Roman" w:hAnsi="Times New Roman"/>
          <w:noProof/>
          <w:sz w:val="20"/>
          <w:szCs w:val="20"/>
        </w:rPr>
        <w:t xml:space="preserve">sp. PP1 as a source of photosynthetic pigments for dye-sensitized solar cells. </w:t>
      </w:r>
      <w:r w:rsidRPr="00325D8C">
        <w:rPr>
          <w:rFonts w:ascii="Times New Roman" w:hAnsi="Times New Roman"/>
          <w:i/>
          <w:iCs/>
          <w:noProof/>
          <w:sz w:val="20"/>
          <w:szCs w:val="20"/>
        </w:rPr>
        <w:t>Algal Res</w:t>
      </w:r>
      <w:r w:rsidRPr="00325D8C">
        <w:rPr>
          <w:rFonts w:ascii="Times New Roman" w:hAnsi="Times New Roman"/>
          <w:i/>
          <w:noProof/>
          <w:sz w:val="20"/>
          <w:szCs w:val="20"/>
        </w:rPr>
        <w:t>earch</w:t>
      </w:r>
      <w:r w:rsidRPr="00325D8C">
        <w:rPr>
          <w:rFonts w:ascii="Times New Roman" w:hAnsi="Times New Roman"/>
          <w:noProof/>
          <w:sz w:val="20"/>
          <w:szCs w:val="20"/>
        </w:rPr>
        <w:t xml:space="preserve">, 10: 25 - 32.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Mathimani, T., Uma, L. and Prabaharan D. (2015). Homogeneous acid catalysed transesterification of marine microalga </w:t>
      </w:r>
      <w:r w:rsidRPr="00325D8C">
        <w:rPr>
          <w:rFonts w:ascii="Times New Roman" w:hAnsi="Times New Roman"/>
          <w:i/>
          <w:noProof/>
          <w:sz w:val="20"/>
          <w:szCs w:val="20"/>
        </w:rPr>
        <w:t>Chlorella</w:t>
      </w:r>
      <w:r w:rsidRPr="00325D8C">
        <w:rPr>
          <w:rFonts w:ascii="Times New Roman" w:hAnsi="Times New Roman"/>
          <w:noProof/>
          <w:sz w:val="20"/>
          <w:szCs w:val="20"/>
        </w:rPr>
        <w:t xml:space="preserve"> sp. BDUG 91771 lipid – An efficient biodiesel yield and its characterization. </w:t>
      </w:r>
      <w:r w:rsidRPr="00325D8C">
        <w:rPr>
          <w:rFonts w:ascii="Times New Roman" w:hAnsi="Times New Roman"/>
          <w:i/>
          <w:iCs/>
          <w:noProof/>
          <w:sz w:val="20"/>
          <w:szCs w:val="20"/>
        </w:rPr>
        <w:t>Renewable Energy</w:t>
      </w:r>
      <w:r w:rsidRPr="00325D8C">
        <w:rPr>
          <w:rFonts w:ascii="Times New Roman" w:hAnsi="Times New Roman"/>
          <w:noProof/>
          <w:sz w:val="20"/>
          <w:szCs w:val="20"/>
        </w:rPr>
        <w:t xml:space="preserve">, 81: 523 - 533. </w:t>
      </w:r>
    </w:p>
    <w:p w:rsidR="00325D8C" w:rsidRDefault="007724A0" w:rsidP="00325D8C">
      <w:pPr>
        <w:pStyle w:val="ListParagraph"/>
        <w:numPr>
          <w:ilvl w:val="0"/>
          <w:numId w:val="3"/>
        </w:numPr>
        <w:adjustRightInd w:val="0"/>
        <w:spacing w:after="0" w:line="240" w:lineRule="auto"/>
        <w:ind w:left="360"/>
        <w:jc w:val="both"/>
        <w:rPr>
          <w:rFonts w:ascii="Times New Roman" w:hAnsi="Times New Roman"/>
          <w:noProof/>
          <w:sz w:val="20"/>
          <w:szCs w:val="20"/>
        </w:rPr>
      </w:pPr>
      <w:r w:rsidRPr="00325D8C">
        <w:rPr>
          <w:rFonts w:ascii="Times New Roman" w:hAnsi="Times New Roman"/>
          <w:noProof/>
          <w:sz w:val="20"/>
          <w:szCs w:val="20"/>
        </w:rPr>
        <w:t xml:space="preserve">Imase, M., Watanabe, K., Aoyagi, H. and Tanaka, H. (2008). Construction of an artificial symbiotic community using a Chlorella-symbiont association as a model. </w:t>
      </w:r>
      <w:r w:rsidRPr="00325D8C">
        <w:rPr>
          <w:rFonts w:ascii="Times New Roman" w:hAnsi="Times New Roman"/>
          <w:i/>
          <w:iCs/>
          <w:noProof/>
          <w:sz w:val="20"/>
          <w:szCs w:val="20"/>
        </w:rPr>
        <w:t>FEMS Microbiology Ecology,</w:t>
      </w:r>
      <w:r w:rsidRPr="00325D8C">
        <w:rPr>
          <w:rFonts w:ascii="Times New Roman" w:hAnsi="Times New Roman"/>
          <w:noProof/>
          <w:sz w:val="20"/>
          <w:szCs w:val="20"/>
        </w:rPr>
        <w:t xml:space="preserve"> 63(3): 273 - 282. </w:t>
      </w:r>
    </w:p>
    <w:p w:rsidR="00A74A7E" w:rsidRPr="00325D8C" w:rsidRDefault="007724A0" w:rsidP="00325D8C">
      <w:pPr>
        <w:pStyle w:val="ListParagraph"/>
        <w:numPr>
          <w:ilvl w:val="0"/>
          <w:numId w:val="3"/>
        </w:numPr>
        <w:adjustRightInd w:val="0"/>
        <w:spacing w:after="0" w:line="240" w:lineRule="auto"/>
        <w:ind w:left="360"/>
        <w:jc w:val="both"/>
        <w:rPr>
          <w:sz w:val="20"/>
          <w:szCs w:val="20"/>
        </w:rPr>
      </w:pPr>
      <w:r w:rsidRPr="00325D8C">
        <w:rPr>
          <w:rFonts w:ascii="Times New Roman" w:hAnsi="Times New Roman"/>
          <w:noProof/>
          <w:sz w:val="20"/>
          <w:szCs w:val="20"/>
        </w:rPr>
        <w:t xml:space="preserve">Borkenstein, C. G., Knoblechner, J., Frühwirth, H. and Schagerl M. (2011). Cultivation of Chlorella emersonii with flue gas derived from a cement plant. </w:t>
      </w:r>
      <w:r w:rsidRPr="00325D8C">
        <w:rPr>
          <w:rFonts w:ascii="Times New Roman" w:hAnsi="Times New Roman"/>
          <w:i/>
          <w:iCs/>
          <w:noProof/>
          <w:sz w:val="20"/>
          <w:szCs w:val="20"/>
        </w:rPr>
        <w:t>Journal of Applied Phycology</w:t>
      </w:r>
      <w:r w:rsidRPr="00325D8C">
        <w:rPr>
          <w:rFonts w:ascii="Times New Roman" w:hAnsi="Times New Roman"/>
          <w:noProof/>
          <w:sz w:val="20"/>
          <w:szCs w:val="20"/>
        </w:rPr>
        <w:t xml:space="preserve">, 23(1): 131 - 135. </w:t>
      </w:r>
      <w:r w:rsidRPr="00325D8C">
        <w:rPr>
          <w:rFonts w:ascii="Times New Roman" w:hAnsi="Times New Roman"/>
          <w:sz w:val="20"/>
          <w:szCs w:val="20"/>
        </w:rPr>
        <w:fldChar w:fldCharType="end"/>
      </w:r>
    </w:p>
    <w:sectPr w:rsidR="00A74A7E" w:rsidRPr="00325D8C" w:rsidSect="00A525DC">
      <w:headerReference w:type="even" r:id="rId23"/>
      <w:headerReference w:type="default" r:id="rId24"/>
      <w:footerReference w:type="even" r:id="rId25"/>
      <w:footerReference w:type="default" r:id="rId26"/>
      <w:pgSz w:w="12240" w:h="15840" w:code="1"/>
      <w:pgMar w:top="1800" w:right="1469" w:bottom="1699" w:left="1440" w:header="706" w:footer="706" w:gutter="0"/>
      <w:pgNumType w:start="4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3C66">
          <w:rPr>
            <w:rFonts w:ascii="Times New Roman" w:hAnsi="Times New Roman"/>
            <w:noProof/>
          </w:rPr>
          <w:t>468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3C66">
          <w:rPr>
            <w:rFonts w:ascii="Times New Roman" w:hAnsi="Times New Roman"/>
            <w:noProof/>
          </w:rPr>
          <w:t>469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F4195">
      <w:rPr>
        <w:rFonts w:ascii="Times New Roman" w:hAnsi="Times New Roman"/>
        <w:i/>
        <w:lang w:val="en-US"/>
      </w:rPr>
      <w:t>No 2</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A525DC">
      <w:rPr>
        <w:rFonts w:ascii="Times New Roman" w:hAnsi="Times New Roman"/>
        <w:i/>
        <w:lang w:val="en-US"/>
      </w:rPr>
      <w:t>460</w:t>
    </w:r>
    <w:r w:rsidR="004B43FF">
      <w:rPr>
        <w:rFonts w:ascii="Times New Roman" w:hAnsi="Times New Roman"/>
        <w:i/>
        <w:lang w:val="en-US"/>
      </w:rPr>
      <w:t xml:space="preserve"> </w:t>
    </w:r>
    <w:r w:rsidR="00583C85">
      <w:rPr>
        <w:rFonts w:ascii="Times New Roman" w:hAnsi="Times New Roman"/>
        <w:i/>
        <w:lang w:val="en-US"/>
      </w:rPr>
      <w:t>-</w:t>
    </w:r>
    <w:r w:rsidR="00A525DC">
      <w:rPr>
        <w:rFonts w:ascii="Times New Roman" w:hAnsi="Times New Roman"/>
        <w:i/>
        <w:lang w:val="en-US"/>
      </w:rPr>
      <w:t xml:space="preserve"> 469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7F4ECC">
      <w:rPr>
        <w:rFonts w:ascii="Times New Roman" w:hAnsi="Times New Roman"/>
        <w:i/>
        <w:lang w:val="en-US"/>
      </w:rPr>
      <w:t>2</w:t>
    </w:r>
    <w:r w:rsidR="00A525DC">
      <w:rPr>
        <w:rFonts w:ascii="Times New Roman" w:hAnsi="Times New Roman"/>
        <w:i/>
        <w:lang w:val="en-US"/>
      </w:rPr>
      <w:t>-22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BD6" w:rsidRPr="00B77BD6" w:rsidRDefault="00B77BD6" w:rsidP="00B77BD6">
    <w:pPr>
      <w:spacing w:after="0" w:line="240" w:lineRule="auto"/>
      <w:ind w:left="2070" w:hanging="2070"/>
      <w:outlineLvl w:val="0"/>
      <w:rPr>
        <w:rFonts w:ascii="Times New Roman" w:hAnsi="Times New Roman"/>
        <w:sz w:val="20"/>
        <w:szCs w:val="20"/>
      </w:rPr>
    </w:pPr>
    <w:r>
      <w:rPr>
        <w:rFonts w:ascii="Times New Roman" w:hAnsi="Times New Roman"/>
        <w:sz w:val="20"/>
        <w:szCs w:val="20"/>
      </w:rPr>
      <w:t>Muhammad Nazry et al</w:t>
    </w:r>
    <w:r w:rsidR="008E6968" w:rsidRPr="00B77BD6">
      <w:rPr>
        <w:rFonts w:ascii="Times New Roman" w:hAnsi="Times New Roman"/>
        <w:sz w:val="20"/>
        <w:szCs w:val="20"/>
      </w:rPr>
      <w:t xml:space="preserve">:  </w:t>
    </w:r>
    <w:r>
      <w:rPr>
        <w:rFonts w:ascii="Times New Roman" w:hAnsi="Times New Roman"/>
        <w:sz w:val="20"/>
        <w:szCs w:val="20"/>
      </w:rPr>
      <w:tab/>
    </w:r>
    <w:r w:rsidRPr="00B77BD6">
      <w:rPr>
        <w:rFonts w:ascii="Times New Roman" w:hAnsi="Times New Roman"/>
        <w:sz w:val="20"/>
        <w:szCs w:val="20"/>
      </w:rPr>
      <w:t xml:space="preserve">ISOLATION, PURIFICATION AND IDENTIFICATION OF MICROALGAE FROM COAL-FIRED POWER PLANT ENVIRONMENT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3D6295C"/>
    <w:multiLevelType w:val="hybridMultilevel"/>
    <w:tmpl w:val="DAEAC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369D4"/>
    <w:rsid w:val="001D035A"/>
    <w:rsid w:val="001D3855"/>
    <w:rsid w:val="001D6F2C"/>
    <w:rsid w:val="00210E36"/>
    <w:rsid w:val="00216D2C"/>
    <w:rsid w:val="00221D39"/>
    <w:rsid w:val="002B188F"/>
    <w:rsid w:val="002B3BD8"/>
    <w:rsid w:val="002F3F91"/>
    <w:rsid w:val="00304767"/>
    <w:rsid w:val="00304B34"/>
    <w:rsid w:val="00325D8C"/>
    <w:rsid w:val="0033321E"/>
    <w:rsid w:val="00361BAF"/>
    <w:rsid w:val="00367D1F"/>
    <w:rsid w:val="00373A9B"/>
    <w:rsid w:val="00383F26"/>
    <w:rsid w:val="003D2A4E"/>
    <w:rsid w:val="003D585B"/>
    <w:rsid w:val="003E7DA6"/>
    <w:rsid w:val="003F12FF"/>
    <w:rsid w:val="00413C66"/>
    <w:rsid w:val="004760D4"/>
    <w:rsid w:val="00494C46"/>
    <w:rsid w:val="004B43FF"/>
    <w:rsid w:val="00502641"/>
    <w:rsid w:val="00545363"/>
    <w:rsid w:val="00583C85"/>
    <w:rsid w:val="00584156"/>
    <w:rsid w:val="005C6768"/>
    <w:rsid w:val="00634C25"/>
    <w:rsid w:val="00637BF5"/>
    <w:rsid w:val="006416AB"/>
    <w:rsid w:val="006433EA"/>
    <w:rsid w:val="006768E9"/>
    <w:rsid w:val="00687982"/>
    <w:rsid w:val="00695D0E"/>
    <w:rsid w:val="006A3A0F"/>
    <w:rsid w:val="006B3EC8"/>
    <w:rsid w:val="006D695E"/>
    <w:rsid w:val="00725A6A"/>
    <w:rsid w:val="00730CB3"/>
    <w:rsid w:val="007724A0"/>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4762A"/>
    <w:rsid w:val="00A525DC"/>
    <w:rsid w:val="00A74A7E"/>
    <w:rsid w:val="00AD1B8A"/>
    <w:rsid w:val="00AE713F"/>
    <w:rsid w:val="00B1121C"/>
    <w:rsid w:val="00B25B65"/>
    <w:rsid w:val="00B2770A"/>
    <w:rsid w:val="00B314AD"/>
    <w:rsid w:val="00B75BF6"/>
    <w:rsid w:val="00B77BD6"/>
    <w:rsid w:val="00BA1F7B"/>
    <w:rsid w:val="00BB58AF"/>
    <w:rsid w:val="00BE7C30"/>
    <w:rsid w:val="00C01022"/>
    <w:rsid w:val="00C055BF"/>
    <w:rsid w:val="00C0756D"/>
    <w:rsid w:val="00C2226A"/>
    <w:rsid w:val="00C94D92"/>
    <w:rsid w:val="00C97340"/>
    <w:rsid w:val="00CA513F"/>
    <w:rsid w:val="00CE3C93"/>
    <w:rsid w:val="00CF05FF"/>
    <w:rsid w:val="00D340BB"/>
    <w:rsid w:val="00D505D5"/>
    <w:rsid w:val="00D63C28"/>
    <w:rsid w:val="00D75B35"/>
    <w:rsid w:val="00D76E09"/>
    <w:rsid w:val="00D9736F"/>
    <w:rsid w:val="00D9792A"/>
    <w:rsid w:val="00DD377F"/>
    <w:rsid w:val="00E25547"/>
    <w:rsid w:val="00E2773B"/>
    <w:rsid w:val="00E3287E"/>
    <w:rsid w:val="00E50119"/>
    <w:rsid w:val="00E66197"/>
    <w:rsid w:val="00E81C0D"/>
    <w:rsid w:val="00EF4195"/>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16D2C"/>
    <w:rPr>
      <w:color w:val="0000FF" w:themeColor="hyperlink"/>
      <w:u w:val="single"/>
    </w:rPr>
  </w:style>
  <w:style w:type="paragraph" w:customStyle="1" w:styleId="JESTECAbstract">
    <w:name w:val="JESTEC Abstract"/>
    <w:basedOn w:val="BodyText"/>
    <w:rsid w:val="00B77BD6"/>
    <w:pPr>
      <w:spacing w:before="120" w:after="0" w:line="240" w:lineRule="auto"/>
      <w:ind w:left="357" w:right="448"/>
      <w:jc w:val="both"/>
    </w:pPr>
    <w:rPr>
      <w:rFonts w:ascii="Times New Roman" w:eastAsia="SimSun" w:hAnsi="Times New Roman"/>
      <w:sz w:val="18"/>
      <w:szCs w:val="18"/>
      <w:lang w:val="en-GB" w:bidi="ar-SA"/>
    </w:rPr>
  </w:style>
  <w:style w:type="paragraph" w:styleId="BodyText">
    <w:name w:val="Body Text"/>
    <w:basedOn w:val="Normal"/>
    <w:link w:val="BodyTextChar"/>
    <w:uiPriority w:val="99"/>
    <w:semiHidden/>
    <w:unhideWhenUsed/>
    <w:rsid w:val="00B77BD6"/>
    <w:pPr>
      <w:spacing w:after="120"/>
    </w:pPr>
  </w:style>
  <w:style w:type="character" w:customStyle="1" w:styleId="BodyTextChar">
    <w:name w:val="Body Text Char"/>
    <w:basedOn w:val="DefaultParagraphFont"/>
    <w:link w:val="BodyText"/>
    <w:uiPriority w:val="99"/>
    <w:semiHidden/>
    <w:rsid w:val="00B77BD6"/>
    <w:rPr>
      <w:rFonts w:eastAsia="Times New Roman"/>
      <w:sz w:val="22"/>
      <w:szCs w:val="22"/>
      <w:lang w:bidi="en-US"/>
    </w:rPr>
  </w:style>
  <w:style w:type="table" w:styleId="TableGrid">
    <w:name w:val="Table Grid"/>
    <w:basedOn w:val="TableNormal"/>
    <w:uiPriority w:val="59"/>
    <w:rsid w:val="00B77BD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77BD6"/>
    <w:pPr>
      <w:spacing w:before="100" w:beforeAutospacing="1" w:after="100" w:afterAutospacing="1" w:line="240" w:lineRule="auto"/>
    </w:pPr>
    <w:rPr>
      <w:rFonts w:ascii="Times New Roman" w:eastAsiaTheme="minorEastAsia"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16D2C"/>
    <w:rPr>
      <w:color w:val="0000FF" w:themeColor="hyperlink"/>
      <w:u w:val="single"/>
    </w:rPr>
  </w:style>
  <w:style w:type="paragraph" w:customStyle="1" w:styleId="JESTECAbstract">
    <w:name w:val="JESTEC Abstract"/>
    <w:basedOn w:val="BodyText"/>
    <w:rsid w:val="00B77BD6"/>
    <w:pPr>
      <w:spacing w:before="120" w:after="0" w:line="240" w:lineRule="auto"/>
      <w:ind w:left="357" w:right="448"/>
      <w:jc w:val="both"/>
    </w:pPr>
    <w:rPr>
      <w:rFonts w:ascii="Times New Roman" w:eastAsia="SimSun" w:hAnsi="Times New Roman"/>
      <w:sz w:val="18"/>
      <w:szCs w:val="18"/>
      <w:lang w:val="en-GB" w:bidi="ar-SA"/>
    </w:rPr>
  </w:style>
  <w:style w:type="paragraph" w:styleId="BodyText">
    <w:name w:val="Body Text"/>
    <w:basedOn w:val="Normal"/>
    <w:link w:val="BodyTextChar"/>
    <w:uiPriority w:val="99"/>
    <w:semiHidden/>
    <w:unhideWhenUsed/>
    <w:rsid w:val="00B77BD6"/>
    <w:pPr>
      <w:spacing w:after="120"/>
    </w:pPr>
  </w:style>
  <w:style w:type="character" w:customStyle="1" w:styleId="BodyTextChar">
    <w:name w:val="Body Text Char"/>
    <w:basedOn w:val="DefaultParagraphFont"/>
    <w:link w:val="BodyText"/>
    <w:uiPriority w:val="99"/>
    <w:semiHidden/>
    <w:rsid w:val="00B77BD6"/>
    <w:rPr>
      <w:rFonts w:eastAsia="Times New Roman"/>
      <w:sz w:val="22"/>
      <w:szCs w:val="22"/>
      <w:lang w:bidi="en-US"/>
    </w:rPr>
  </w:style>
  <w:style w:type="table" w:styleId="TableGrid">
    <w:name w:val="Table Grid"/>
    <w:basedOn w:val="TableNormal"/>
    <w:uiPriority w:val="59"/>
    <w:rsid w:val="00B77BD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77BD6"/>
    <w:pPr>
      <w:spacing w:before="100" w:beforeAutospacing="1" w:after="100" w:afterAutospacing="1" w:line="240" w:lineRule="auto"/>
    </w:pPr>
    <w:rPr>
      <w:rFonts w:ascii="Times New Roman" w:eastAsiaTheme="minorEastAsia"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Toshiba\Desktop\TNBR\TNB%20Research%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Toshiba\Desktop\TNBR\TNB%20Research%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17065118851453"/>
          <c:y val="5.1400554097404488E-2"/>
          <c:w val="0.71570127774578507"/>
          <c:h val="0.78423571370518574"/>
        </c:manualLayout>
      </c:layout>
      <c:scatterChart>
        <c:scatterStyle val="lineMarker"/>
        <c:varyColors val="1"/>
        <c:ser>
          <c:idx val="1"/>
          <c:order val="0"/>
          <c:tx>
            <c:v>CO2 output (%)</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Sheet2!$B$25:$B$42</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Sheet2!$D$25:$D$42</c:f>
              <c:numCache>
                <c:formatCode>General</c:formatCode>
                <c:ptCount val="18"/>
                <c:pt idx="0">
                  <c:v>1.25</c:v>
                </c:pt>
                <c:pt idx="1">
                  <c:v>1.5</c:v>
                </c:pt>
                <c:pt idx="2">
                  <c:v>2</c:v>
                </c:pt>
                <c:pt idx="3">
                  <c:v>2</c:v>
                </c:pt>
                <c:pt idx="4">
                  <c:v>1.75</c:v>
                </c:pt>
                <c:pt idx="5">
                  <c:v>1.55</c:v>
                </c:pt>
                <c:pt idx="6">
                  <c:v>1.3</c:v>
                </c:pt>
                <c:pt idx="7">
                  <c:v>1.05</c:v>
                </c:pt>
                <c:pt idx="8">
                  <c:v>0.97499999999999998</c:v>
                </c:pt>
                <c:pt idx="9">
                  <c:v>0.96499999999999997</c:v>
                </c:pt>
                <c:pt idx="10">
                  <c:v>0.98499999999999999</c:v>
                </c:pt>
                <c:pt idx="11">
                  <c:v>0.97499999999999998</c:v>
                </c:pt>
                <c:pt idx="12">
                  <c:v>0.97499999999999998</c:v>
                </c:pt>
                <c:pt idx="13">
                  <c:v>0.97499999999999998</c:v>
                </c:pt>
                <c:pt idx="14">
                  <c:v>0.95499999999999996</c:v>
                </c:pt>
                <c:pt idx="15">
                  <c:v>0.96499999999999997</c:v>
                </c:pt>
                <c:pt idx="16">
                  <c:v>0.95499999999999996</c:v>
                </c:pt>
                <c:pt idx="17">
                  <c:v>0.97499999999999998</c:v>
                </c:pt>
              </c:numCache>
            </c:numRef>
          </c:yVal>
          <c:smooth val="1"/>
        </c:ser>
        <c:dLbls>
          <c:showLegendKey val="0"/>
          <c:showVal val="0"/>
          <c:showCatName val="0"/>
          <c:showSerName val="0"/>
          <c:showPercent val="0"/>
          <c:showBubbleSize val="0"/>
        </c:dLbls>
        <c:axId val="69020672"/>
        <c:axId val="76400128"/>
      </c:scatterChart>
      <c:scatterChart>
        <c:scatterStyle val="lineMarker"/>
        <c:varyColors val="1"/>
        <c:ser>
          <c:idx val="2"/>
          <c:order val="1"/>
          <c:tx>
            <c:v>CO2 seq rate (%)</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Sheet2!$B$25:$B$42</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Sheet2!$E$25:$E$42</c:f>
              <c:numCache>
                <c:formatCode>General</c:formatCode>
                <c:ptCount val="18"/>
                <c:pt idx="0">
                  <c:v>-25</c:v>
                </c:pt>
                <c:pt idx="1">
                  <c:v>-50</c:v>
                </c:pt>
                <c:pt idx="2">
                  <c:v>-100</c:v>
                </c:pt>
                <c:pt idx="3">
                  <c:v>-100</c:v>
                </c:pt>
                <c:pt idx="4">
                  <c:v>-75</c:v>
                </c:pt>
                <c:pt idx="5">
                  <c:v>-55.000000000000007</c:v>
                </c:pt>
                <c:pt idx="6">
                  <c:v>-30.000000000000004</c:v>
                </c:pt>
                <c:pt idx="7">
                  <c:v>-5.0000000000000044</c:v>
                </c:pt>
                <c:pt idx="8">
                  <c:v>2.5000000000000022</c:v>
                </c:pt>
                <c:pt idx="9">
                  <c:v>3.5000000000000031</c:v>
                </c:pt>
                <c:pt idx="10">
                  <c:v>1.5000000000000013</c:v>
                </c:pt>
                <c:pt idx="11">
                  <c:v>2.5000000000000022</c:v>
                </c:pt>
                <c:pt idx="12">
                  <c:v>2.5000000000000022</c:v>
                </c:pt>
                <c:pt idx="13">
                  <c:v>2.5000000000000022</c:v>
                </c:pt>
                <c:pt idx="14">
                  <c:v>4.5000000000000036</c:v>
                </c:pt>
                <c:pt idx="15">
                  <c:v>3.5000000000000031</c:v>
                </c:pt>
                <c:pt idx="16">
                  <c:v>4.5000000000000036</c:v>
                </c:pt>
                <c:pt idx="17">
                  <c:v>2.5000000000000022</c:v>
                </c:pt>
              </c:numCache>
            </c:numRef>
          </c:yVal>
          <c:smooth val="1"/>
        </c:ser>
        <c:dLbls>
          <c:showLegendKey val="0"/>
          <c:showVal val="0"/>
          <c:showCatName val="0"/>
          <c:showSerName val="0"/>
          <c:showPercent val="0"/>
          <c:showBubbleSize val="0"/>
        </c:dLbls>
        <c:axId val="78292096"/>
        <c:axId val="76484608"/>
      </c:scatterChart>
      <c:valAx>
        <c:axId val="69020672"/>
        <c:scaling>
          <c:orientation val="minMax"/>
          <c:max val="17"/>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t>Days of cultivation</a:t>
                </a:r>
              </a:p>
            </c:rich>
          </c:tx>
          <c:layout>
            <c:manualLayout>
              <c:xMode val="edge"/>
              <c:yMode val="edge"/>
              <c:x val="0.39107633420822407"/>
              <c:y val="0.92497666958296831"/>
            </c:manualLayout>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00128"/>
        <c:crosses val="autoZero"/>
        <c:crossBetween val="midCat"/>
        <c:majorUnit val="2"/>
      </c:valAx>
      <c:valAx>
        <c:axId val="76400128"/>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MY" sz="800" b="1"/>
                  <a:t>CO</a:t>
                </a:r>
                <a:r>
                  <a:rPr lang="en-MY" sz="800" b="1" baseline="-25000"/>
                  <a:t>2</a:t>
                </a:r>
                <a:r>
                  <a:rPr lang="en-MY" sz="800" b="1"/>
                  <a:t> percentage (input &amp;</a:t>
                </a:r>
                <a:r>
                  <a:rPr lang="en-MY" sz="800" b="1" baseline="0"/>
                  <a:t> </a:t>
                </a:r>
                <a:r>
                  <a:rPr lang="en-MY" sz="800" b="1"/>
                  <a:t>output)</a:t>
                </a:r>
              </a:p>
            </c:rich>
          </c:tx>
          <c:layout>
            <c:manualLayout>
              <c:xMode val="edge"/>
              <c:yMode val="edge"/>
              <c:x val="1.6666571638718951E-2"/>
              <c:y val="0.19241474597096128"/>
            </c:manualLayout>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20672"/>
        <c:crosses val="autoZero"/>
        <c:crossBetween val="midCat"/>
      </c:valAx>
      <c:valAx>
        <c:axId val="76484608"/>
        <c:scaling>
          <c:orientation val="minMax"/>
          <c:max val="5"/>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92096"/>
        <c:crosses val="max"/>
        <c:crossBetween val="midCat"/>
      </c:valAx>
      <c:valAx>
        <c:axId val="78292096"/>
        <c:scaling>
          <c:orientation val="minMax"/>
        </c:scaling>
        <c:delete val="0"/>
        <c:axPos val="b"/>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84608"/>
        <c:crosses val="autoZero"/>
        <c:crossBetween val="midCat"/>
      </c:valAx>
      <c:spPr>
        <a:noFill/>
        <a:ln w="3175">
          <a:solidFill>
            <a:schemeClr val="tx1"/>
          </a:solidFill>
        </a:ln>
        <a:effectLst/>
      </c:spPr>
    </c:plotArea>
    <c:legend>
      <c:legendPos val="b"/>
      <c:layout>
        <c:manualLayout>
          <c:xMode val="edge"/>
          <c:yMode val="edge"/>
          <c:x val="0.42469816272965877"/>
          <c:y val="0.56729133858267722"/>
          <c:w val="0.50897900072411295"/>
          <c:h val="0.254250868914609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noFill/>
      <a:round/>
    </a:ln>
    <a:effectLst/>
  </c:spPr>
  <c:txPr>
    <a:bodyPr/>
    <a:lstStyle/>
    <a:p>
      <a:pPr algn="just">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80796150481186"/>
          <c:y val="5.1400554097404488E-2"/>
          <c:w val="0.74946675606597213"/>
          <c:h val="0.78371366107453255"/>
        </c:manualLayout>
      </c:layout>
      <c:scatterChart>
        <c:scatterStyle val="lineMarker"/>
        <c:varyColors val="1"/>
        <c:ser>
          <c:idx val="1"/>
          <c:order val="0"/>
          <c:tx>
            <c:v>CO2 output (%)</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Sheet2!$B$4:$B$21</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Sheet2!$D$4:$D$21</c:f>
              <c:numCache>
                <c:formatCode>General</c:formatCode>
                <c:ptCount val="18"/>
                <c:pt idx="0">
                  <c:v>6</c:v>
                </c:pt>
                <c:pt idx="1">
                  <c:v>7</c:v>
                </c:pt>
                <c:pt idx="2">
                  <c:v>8</c:v>
                </c:pt>
                <c:pt idx="3">
                  <c:v>6</c:v>
                </c:pt>
                <c:pt idx="4">
                  <c:v>5.5</c:v>
                </c:pt>
                <c:pt idx="5">
                  <c:v>5</c:v>
                </c:pt>
                <c:pt idx="6">
                  <c:v>5</c:v>
                </c:pt>
                <c:pt idx="7">
                  <c:v>5</c:v>
                </c:pt>
                <c:pt idx="8">
                  <c:v>4.95</c:v>
                </c:pt>
                <c:pt idx="9">
                  <c:v>4.9000000000000004</c:v>
                </c:pt>
                <c:pt idx="10">
                  <c:v>4.8499999999999996</c:v>
                </c:pt>
                <c:pt idx="11">
                  <c:v>4.8499999999999996</c:v>
                </c:pt>
                <c:pt idx="12">
                  <c:v>4.8499999999999996</c:v>
                </c:pt>
                <c:pt idx="13">
                  <c:v>4.8</c:v>
                </c:pt>
                <c:pt idx="14">
                  <c:v>4.75</c:v>
                </c:pt>
                <c:pt idx="15">
                  <c:v>4.7850000000000001</c:v>
                </c:pt>
                <c:pt idx="16">
                  <c:v>4.7850000000000001</c:v>
                </c:pt>
                <c:pt idx="17">
                  <c:v>4.7850000000000001</c:v>
                </c:pt>
              </c:numCache>
            </c:numRef>
          </c:yVal>
          <c:smooth val="1"/>
        </c:ser>
        <c:dLbls>
          <c:showLegendKey val="0"/>
          <c:showVal val="0"/>
          <c:showCatName val="0"/>
          <c:showSerName val="0"/>
          <c:showPercent val="0"/>
          <c:showBubbleSize val="0"/>
        </c:dLbls>
        <c:axId val="123988992"/>
        <c:axId val="125148544"/>
      </c:scatterChart>
      <c:scatterChart>
        <c:scatterStyle val="lineMarker"/>
        <c:varyColors val="1"/>
        <c:ser>
          <c:idx val="2"/>
          <c:order val="1"/>
          <c:tx>
            <c:v>CO2 seq rate (%)</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Sheet2!$B$4:$B$21</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Sheet2!$E$4:$E$21</c:f>
              <c:numCache>
                <c:formatCode>General</c:formatCode>
                <c:ptCount val="18"/>
                <c:pt idx="0">
                  <c:v>-20</c:v>
                </c:pt>
                <c:pt idx="1">
                  <c:v>-40</c:v>
                </c:pt>
                <c:pt idx="2">
                  <c:v>-60</c:v>
                </c:pt>
                <c:pt idx="3">
                  <c:v>-20</c:v>
                </c:pt>
                <c:pt idx="4">
                  <c:v>-10</c:v>
                </c:pt>
                <c:pt idx="5">
                  <c:v>0</c:v>
                </c:pt>
                <c:pt idx="6">
                  <c:v>0</c:v>
                </c:pt>
                <c:pt idx="7">
                  <c:v>0</c:v>
                </c:pt>
                <c:pt idx="8">
                  <c:v>0.99999999999999634</c:v>
                </c:pt>
                <c:pt idx="9">
                  <c:v>1.9999999999999927</c:v>
                </c:pt>
                <c:pt idx="10">
                  <c:v>3.0000000000000071</c:v>
                </c:pt>
                <c:pt idx="11">
                  <c:v>3.0000000000000071</c:v>
                </c:pt>
                <c:pt idx="12">
                  <c:v>3.0000000000000071</c:v>
                </c:pt>
                <c:pt idx="13">
                  <c:v>4.0000000000000036</c:v>
                </c:pt>
                <c:pt idx="14">
                  <c:v>5</c:v>
                </c:pt>
                <c:pt idx="15">
                  <c:v>4.2999999999999972</c:v>
                </c:pt>
                <c:pt idx="16">
                  <c:v>4.2999999999999972</c:v>
                </c:pt>
                <c:pt idx="17">
                  <c:v>4.2999999999999972</c:v>
                </c:pt>
              </c:numCache>
            </c:numRef>
          </c:yVal>
          <c:smooth val="1"/>
        </c:ser>
        <c:dLbls>
          <c:showLegendKey val="0"/>
          <c:showVal val="0"/>
          <c:showCatName val="0"/>
          <c:showSerName val="0"/>
          <c:showPercent val="0"/>
          <c:showBubbleSize val="0"/>
        </c:dLbls>
        <c:axId val="29045120"/>
        <c:axId val="127747584"/>
      </c:scatterChart>
      <c:valAx>
        <c:axId val="123988992"/>
        <c:scaling>
          <c:orientation val="minMax"/>
          <c:max val="17"/>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solidFill>
                      <a:sysClr val="windowText" lastClr="000000"/>
                    </a:solidFill>
                  </a:rPr>
                  <a:t>Days of cultivation</a:t>
                </a:r>
              </a:p>
            </c:rich>
          </c:tx>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148544"/>
        <c:crosses val="autoZero"/>
        <c:crossBetween val="midCat"/>
        <c:majorUnit val="2"/>
      </c:valAx>
      <c:valAx>
        <c:axId val="12514854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solidFill>
                      <a:sysClr val="windowText" lastClr="000000"/>
                    </a:solidFill>
                  </a:rPr>
                  <a:t>CO</a:t>
                </a:r>
                <a:r>
                  <a:rPr lang="en-MY" sz="800" b="1" baseline="-25000">
                    <a:solidFill>
                      <a:sysClr val="windowText" lastClr="000000"/>
                    </a:solidFill>
                  </a:rPr>
                  <a:t>2</a:t>
                </a:r>
                <a:r>
                  <a:rPr lang="en-MY" sz="800" b="1">
                    <a:solidFill>
                      <a:sysClr val="windowText" lastClr="000000"/>
                    </a:solidFill>
                  </a:rPr>
                  <a:t> percentage (input &amp; output)</a:t>
                </a:r>
              </a:p>
            </c:rich>
          </c:tx>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988992"/>
        <c:crosses val="autoZero"/>
        <c:crossBetween val="midCat"/>
      </c:valAx>
      <c:valAx>
        <c:axId val="127747584"/>
        <c:scaling>
          <c:orientation val="minMax"/>
          <c:max val="5"/>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45120"/>
        <c:crosses val="max"/>
        <c:crossBetween val="midCat"/>
      </c:valAx>
      <c:valAx>
        <c:axId val="29045120"/>
        <c:scaling>
          <c:orientation val="minMax"/>
        </c:scaling>
        <c:delete val="0"/>
        <c:axPos val="b"/>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47584"/>
        <c:crosses val="autoZero"/>
        <c:crossBetween val="midCat"/>
      </c:valAx>
      <c:spPr>
        <a:noFill/>
        <a:ln w="3175">
          <a:solidFill>
            <a:schemeClr val="tx1"/>
          </a:solidFill>
        </a:ln>
        <a:effectLst/>
      </c:spPr>
    </c:plotArea>
    <c:legend>
      <c:legendPos val="b"/>
      <c:layout>
        <c:manualLayout>
          <c:xMode val="edge"/>
          <c:yMode val="edge"/>
          <c:x val="0.48304221251819512"/>
          <c:y val="0.56223722599009207"/>
          <c:w val="0.41237263464337698"/>
          <c:h val="0.2636253989695983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solidFill>
        <a:schemeClr val="bg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0.92708</cdr:x>
      <cdr:y>0.18056</cdr:y>
    </cdr:from>
    <cdr:to>
      <cdr:x>0.99375</cdr:x>
      <cdr:y>0.71875</cdr:y>
    </cdr:to>
    <cdr:sp macro="" textlink="">
      <cdr:nvSpPr>
        <cdr:cNvPr id="2" name="TextBox 1"/>
        <cdr:cNvSpPr txBox="1"/>
      </cdr:nvSpPr>
      <cdr:spPr>
        <a:xfrm xmlns:a="http://schemas.openxmlformats.org/drawingml/2006/main">
          <a:off x="4238625" y="495300"/>
          <a:ext cx="304800" cy="1476375"/>
        </a:xfrm>
        <a:prstGeom xmlns:a="http://schemas.openxmlformats.org/drawingml/2006/main" prst="rect">
          <a:avLst/>
        </a:prstGeom>
      </cdr:spPr>
      <cdr:txBody>
        <a:bodyPr xmlns:a="http://schemas.openxmlformats.org/drawingml/2006/main" vert="vert270"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800" b="1"/>
            <a:t>CO</a:t>
          </a:r>
          <a:r>
            <a:rPr lang="en-MY" sz="800" b="1" baseline="-25000"/>
            <a:t>2</a:t>
          </a:r>
          <a:r>
            <a:rPr lang="en-MY" sz="800" b="1"/>
            <a:t> sequestration</a:t>
          </a:r>
          <a:r>
            <a:rPr lang="en-MY" sz="800" b="1" baseline="0"/>
            <a:t> rate</a:t>
          </a:r>
          <a:endParaRPr lang="en-MY" sz="800" b="1"/>
        </a:p>
      </cdr:txBody>
    </cdr:sp>
  </cdr:relSizeAnchor>
  <cdr:relSizeAnchor xmlns:cdr="http://schemas.openxmlformats.org/drawingml/2006/chartDrawing">
    <cdr:from>
      <cdr:x>0.73065</cdr:x>
      <cdr:y>0.15171</cdr:y>
    </cdr:from>
    <cdr:to>
      <cdr:x>0.84696</cdr:x>
      <cdr:y>0.27387</cdr:y>
    </cdr:to>
    <cdr:sp macro="" textlink="">
      <cdr:nvSpPr>
        <cdr:cNvPr id="3" name="Text Box 2"/>
        <cdr:cNvSpPr txBox="1"/>
      </cdr:nvSpPr>
      <cdr:spPr>
        <a:xfrm xmlns:a="http://schemas.openxmlformats.org/drawingml/2006/main">
          <a:off x="2247900" y="315986"/>
          <a:ext cx="357836" cy="2544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0.91667</cdr:x>
      <cdr:y>0.15625</cdr:y>
    </cdr:from>
    <cdr:to>
      <cdr:x>0.98333</cdr:x>
      <cdr:y>0.69444</cdr:y>
    </cdr:to>
    <cdr:sp macro="" textlink="">
      <cdr:nvSpPr>
        <cdr:cNvPr id="2" name="TextBox 1"/>
        <cdr:cNvSpPr txBox="1"/>
      </cdr:nvSpPr>
      <cdr:spPr>
        <a:xfrm xmlns:a="http://schemas.openxmlformats.org/drawingml/2006/main">
          <a:off x="4191001" y="428625"/>
          <a:ext cx="304800" cy="1476375"/>
        </a:xfrm>
        <a:prstGeom xmlns:a="http://schemas.openxmlformats.org/drawingml/2006/main" prst="rect">
          <a:avLst/>
        </a:prstGeom>
      </cdr:spPr>
      <cdr:txBody>
        <a:bodyPr xmlns:a="http://schemas.openxmlformats.org/drawingml/2006/main" vertOverflow="clip" vert="vert270" wrap="none" rtlCol="0"/>
        <a:lstStyle xmlns:a="http://schemas.openxmlformats.org/drawingml/2006/main"/>
        <a:p xmlns:a="http://schemas.openxmlformats.org/drawingml/2006/main">
          <a:r>
            <a:rPr lang="en-MY" sz="800" b="1"/>
            <a:t>CO</a:t>
          </a:r>
          <a:r>
            <a:rPr lang="en-MY" sz="800" b="1" baseline="-25000"/>
            <a:t>2</a:t>
          </a:r>
          <a:r>
            <a:rPr lang="en-MY" sz="800" b="1"/>
            <a:t> sequestration</a:t>
          </a:r>
          <a:r>
            <a:rPr lang="en-MY" sz="800" b="1" baseline="0"/>
            <a:t> rate</a:t>
          </a:r>
          <a:endParaRPr lang="en-MY" sz="800" b="1"/>
        </a:p>
      </cdr:txBody>
    </cdr:sp>
  </cdr:relSizeAnchor>
  <cdr:relSizeAnchor xmlns:cdr="http://schemas.openxmlformats.org/drawingml/2006/chartDrawing">
    <cdr:from>
      <cdr:x>0.01924</cdr:x>
      <cdr:y>0.04251</cdr:y>
    </cdr:from>
    <cdr:to>
      <cdr:x>0.16407</cdr:x>
      <cdr:y>0.21274</cdr:y>
    </cdr:to>
    <cdr:sp macro="" textlink="">
      <cdr:nvSpPr>
        <cdr:cNvPr id="3" name="Text Box 1"/>
        <cdr:cNvSpPr txBox="1"/>
      </cdr:nvSpPr>
      <cdr:spPr>
        <a:xfrm xmlns:a="http://schemas.openxmlformats.org/drawingml/2006/main">
          <a:off x="58751" y="90556"/>
          <a:ext cx="442181" cy="362669"/>
        </a:xfrm>
        <a:prstGeom xmlns:a="http://schemas.openxmlformats.org/drawingml/2006/main" prst="rect">
          <a:avLst/>
        </a:prstGeom>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74BF7-6A22-4F74-BF1B-C8790BCD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4927</Words>
  <Characters>27208</Characters>
  <Application>Microsoft Office Word</Application>
  <DocSecurity>0</DocSecurity>
  <Lines>413</Lines>
  <Paragraphs>97</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32222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15</cp:revision>
  <cp:lastPrinted>2017-04-18T02:58:00Z</cp:lastPrinted>
  <dcterms:created xsi:type="dcterms:W3CDTF">2017-03-28T00:30:00Z</dcterms:created>
  <dcterms:modified xsi:type="dcterms:W3CDTF">2017-04-18T02:59:00Z</dcterms:modified>
</cp:coreProperties>
</file>