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CE7D3B" w:rsidRPr="00386CC4" w:rsidRDefault="00CE7D3B" w:rsidP="00CE7D3B">
      <w:pPr>
        <w:spacing w:after="0" w:line="240" w:lineRule="auto"/>
        <w:jc w:val="center"/>
        <w:rPr>
          <w:rFonts w:ascii="Times New Roman" w:hAnsi="Times New Roman"/>
          <w:sz w:val="28"/>
          <w:szCs w:val="28"/>
        </w:rPr>
      </w:pPr>
      <w:r w:rsidRPr="00386CC4">
        <w:rPr>
          <w:rFonts w:ascii="Times New Roman" w:hAnsi="Times New Roman"/>
          <w:sz w:val="28"/>
          <w:szCs w:val="28"/>
        </w:rPr>
        <w:t>CALCIUM CONTENT OF LIME MORTARS FROM 19</w:t>
      </w:r>
      <w:r w:rsidRPr="00386CC4">
        <w:rPr>
          <w:rFonts w:ascii="Times New Roman" w:hAnsi="Times New Roman"/>
          <w:sz w:val="28"/>
          <w:szCs w:val="28"/>
          <w:vertAlign w:val="superscript"/>
        </w:rPr>
        <w:t>th</w:t>
      </w:r>
      <w:r w:rsidRPr="00386CC4">
        <w:rPr>
          <w:rFonts w:ascii="Times New Roman" w:hAnsi="Times New Roman"/>
          <w:sz w:val="28"/>
          <w:szCs w:val="28"/>
        </w:rPr>
        <w:t xml:space="preserve"> CENTURY CHURCH RUINS IN THE PHILIPPINES USING</w:t>
      </w:r>
      <w:r>
        <w:rPr>
          <w:rFonts w:ascii="Times New Roman" w:hAnsi="Times New Roman"/>
          <w:sz w:val="28"/>
          <w:szCs w:val="28"/>
        </w:rPr>
        <w:t xml:space="preserve"> </w:t>
      </w:r>
      <w:r w:rsidRPr="00386CC4">
        <w:rPr>
          <w:rFonts w:ascii="Times New Roman" w:hAnsi="Times New Roman"/>
          <w:sz w:val="28"/>
          <w:szCs w:val="28"/>
        </w:rPr>
        <w:t>VOLUMETRIC ANALYSIS</w:t>
      </w:r>
    </w:p>
    <w:p w:rsidR="00CE7D3B" w:rsidRPr="00A74059" w:rsidRDefault="00CE7D3B" w:rsidP="00CE7D3B">
      <w:pPr>
        <w:spacing w:after="0" w:line="240" w:lineRule="auto"/>
        <w:jc w:val="center"/>
        <w:rPr>
          <w:rFonts w:ascii="Times New Roman" w:hAnsi="Times New Roman"/>
          <w:color w:val="212121"/>
          <w:sz w:val="24"/>
          <w:szCs w:val="24"/>
          <w:shd w:val="clear" w:color="auto" w:fill="FFFFFF"/>
          <w:lang w:val="ms-MY"/>
        </w:rPr>
      </w:pPr>
      <w:r w:rsidRPr="00386CC4">
        <w:rPr>
          <w:rFonts w:ascii="Times New Roman" w:hAnsi="Times New Roman"/>
        </w:rPr>
        <w:br/>
      </w:r>
      <w:r w:rsidRPr="00A74059">
        <w:rPr>
          <w:rFonts w:ascii="Times New Roman" w:hAnsi="Times New Roman"/>
          <w:color w:val="212121"/>
          <w:sz w:val="24"/>
          <w:szCs w:val="24"/>
          <w:shd w:val="clear" w:color="auto" w:fill="FFFFFF"/>
          <w:lang w:val="ms-MY"/>
        </w:rPr>
        <w:t>(Kandungan Kalsium Mortar Batu Kapur dari Runtuhan Gereja Abad Ke 19</w:t>
      </w:r>
      <w:r>
        <w:rPr>
          <w:rFonts w:ascii="Times New Roman" w:hAnsi="Times New Roman"/>
          <w:color w:val="212121"/>
          <w:sz w:val="24"/>
          <w:szCs w:val="24"/>
          <w:shd w:val="clear" w:color="auto" w:fill="FFFFFF"/>
          <w:lang w:val="ms-MY"/>
        </w:rPr>
        <w:t xml:space="preserve"> </w:t>
      </w:r>
      <w:r w:rsidRPr="00A74059">
        <w:rPr>
          <w:rFonts w:ascii="Times New Roman" w:hAnsi="Times New Roman"/>
          <w:color w:val="212121"/>
          <w:sz w:val="24"/>
          <w:szCs w:val="24"/>
          <w:shd w:val="clear" w:color="auto" w:fill="FFFFFF"/>
          <w:lang w:val="ms-MY"/>
        </w:rPr>
        <w:t>di Filipina Menggunakan Analisis Volumetrik)</w:t>
      </w:r>
    </w:p>
    <w:p w:rsidR="00CE7D3B" w:rsidRPr="00CE7D3B" w:rsidRDefault="00CE7D3B" w:rsidP="00CE7D3B">
      <w:pPr>
        <w:spacing w:after="0" w:line="240" w:lineRule="auto"/>
        <w:jc w:val="center"/>
        <w:rPr>
          <w:rFonts w:ascii="Times New Roman" w:hAnsi="Times New Roman"/>
          <w:b/>
          <w:color w:val="FF0000"/>
          <w:sz w:val="20"/>
          <w:szCs w:val="20"/>
          <w:lang w:val="es-ES"/>
        </w:rPr>
      </w:pPr>
    </w:p>
    <w:p w:rsidR="00CE7D3B" w:rsidRPr="00386CC4" w:rsidRDefault="00CE7D3B" w:rsidP="00CE7D3B">
      <w:pPr>
        <w:spacing w:after="0" w:line="240" w:lineRule="auto"/>
        <w:jc w:val="center"/>
        <w:rPr>
          <w:rFonts w:ascii="Times New Roman" w:hAnsi="Times New Roman"/>
          <w:sz w:val="20"/>
          <w:szCs w:val="20"/>
        </w:rPr>
      </w:pPr>
      <w:r w:rsidRPr="00386CC4">
        <w:rPr>
          <w:rFonts w:ascii="Times New Roman" w:hAnsi="Times New Roman"/>
          <w:sz w:val="20"/>
          <w:szCs w:val="20"/>
        </w:rPr>
        <w:t>Jan-Michael C. Cayme* and Aniano N. Asor, Jr</w:t>
      </w:r>
    </w:p>
    <w:p w:rsidR="006768E9" w:rsidRPr="00F447A7" w:rsidRDefault="006768E9" w:rsidP="00F447A7">
      <w:pPr>
        <w:spacing w:after="0" w:line="240" w:lineRule="auto"/>
        <w:jc w:val="center"/>
        <w:rPr>
          <w:rFonts w:ascii="Times New Roman" w:hAnsi="Times New Roman"/>
          <w:noProof/>
          <w:sz w:val="18"/>
          <w:szCs w:val="18"/>
          <w:lang w:bidi="ar-SA"/>
        </w:rPr>
      </w:pPr>
    </w:p>
    <w:p w:rsidR="00CE7D3B" w:rsidRPr="00386CC4" w:rsidRDefault="00CE7D3B" w:rsidP="00CE7D3B">
      <w:pPr>
        <w:spacing w:after="0" w:line="240" w:lineRule="auto"/>
        <w:jc w:val="center"/>
        <w:rPr>
          <w:rFonts w:ascii="Times New Roman" w:hAnsi="Times New Roman"/>
          <w:i/>
          <w:sz w:val="18"/>
          <w:szCs w:val="18"/>
        </w:rPr>
      </w:pPr>
      <w:r w:rsidRPr="00386CC4">
        <w:rPr>
          <w:rFonts w:ascii="Times New Roman" w:hAnsi="Times New Roman"/>
          <w:i/>
          <w:sz w:val="18"/>
          <w:szCs w:val="18"/>
        </w:rPr>
        <w:t>Chemistry Department, College of Science</w:t>
      </w:r>
      <w:r>
        <w:rPr>
          <w:rFonts w:ascii="Times New Roman" w:hAnsi="Times New Roman"/>
          <w:i/>
          <w:sz w:val="18"/>
          <w:szCs w:val="18"/>
        </w:rPr>
        <w:t>,</w:t>
      </w:r>
    </w:p>
    <w:p w:rsidR="00CE7D3B" w:rsidRPr="00386CC4" w:rsidRDefault="00CE7D3B" w:rsidP="00CE7D3B">
      <w:pPr>
        <w:spacing w:after="0" w:line="240" w:lineRule="auto"/>
        <w:jc w:val="center"/>
        <w:rPr>
          <w:rFonts w:ascii="Times New Roman" w:hAnsi="Times New Roman"/>
          <w:i/>
          <w:sz w:val="18"/>
          <w:szCs w:val="18"/>
        </w:rPr>
      </w:pPr>
      <w:r w:rsidRPr="00386CC4">
        <w:rPr>
          <w:rFonts w:ascii="Times New Roman" w:hAnsi="Times New Roman"/>
          <w:i/>
          <w:sz w:val="18"/>
          <w:szCs w:val="18"/>
        </w:rPr>
        <w:t>De La Salle University</w:t>
      </w:r>
      <w:r>
        <w:rPr>
          <w:rFonts w:ascii="Times New Roman" w:hAnsi="Times New Roman"/>
          <w:i/>
          <w:sz w:val="18"/>
          <w:szCs w:val="18"/>
        </w:rPr>
        <w:t xml:space="preserve">, </w:t>
      </w:r>
      <w:r w:rsidRPr="00386CC4">
        <w:rPr>
          <w:rFonts w:ascii="Times New Roman" w:hAnsi="Times New Roman"/>
          <w:i/>
          <w:sz w:val="18"/>
          <w:szCs w:val="18"/>
        </w:rPr>
        <w:t>2401 Taft Avenue, Malate, Metro Manila, Philippines</w:t>
      </w:r>
    </w:p>
    <w:p w:rsidR="006768E9" w:rsidRPr="00F447A7" w:rsidRDefault="006768E9" w:rsidP="00CE7D3B">
      <w:pPr>
        <w:spacing w:after="0" w:line="240" w:lineRule="auto"/>
        <w:jc w:val="center"/>
        <w:rPr>
          <w:rFonts w:ascii="Times New Roman" w:hAnsi="Times New Roman"/>
          <w:noProof/>
          <w:sz w:val="18"/>
          <w:szCs w:val="18"/>
          <w:lang w:bidi="ar-SA"/>
        </w:rPr>
      </w:pPr>
    </w:p>
    <w:p w:rsidR="006768E9" w:rsidRPr="00F447A7" w:rsidRDefault="006768E9" w:rsidP="00CE7D3B">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CE7D3B">
        <w:rPr>
          <w:rFonts w:ascii="Times New Roman" w:hAnsi="Times New Roman"/>
          <w:i/>
          <w:noProof/>
          <w:sz w:val="18"/>
          <w:szCs w:val="18"/>
          <w:lang w:bidi="ar-SA"/>
        </w:rPr>
        <w:t xml:space="preserve"> </w:t>
      </w:r>
      <w:r w:rsidR="00CE7D3B" w:rsidRPr="00386CC4">
        <w:rPr>
          <w:rFonts w:ascii="Times New Roman" w:hAnsi="Times New Roman"/>
          <w:i/>
          <w:sz w:val="18"/>
          <w:szCs w:val="18"/>
        </w:rPr>
        <w:t>jm_cayme@yahoo.com</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9500C3">
        <w:rPr>
          <w:rFonts w:ascii="Times New Roman" w:hAnsi="Times New Roman"/>
          <w:noProof/>
          <w:sz w:val="18"/>
          <w:szCs w:val="18"/>
          <w:lang w:bidi="ar-SA"/>
        </w:rPr>
        <w:t>12 April 2017</w:t>
      </w:r>
      <w:r>
        <w:rPr>
          <w:rFonts w:ascii="Times New Roman" w:hAnsi="Times New Roman"/>
          <w:noProof/>
          <w:sz w:val="18"/>
          <w:szCs w:val="18"/>
          <w:lang w:bidi="ar-SA"/>
        </w:rPr>
        <w:t xml:space="preserve">; Accepted: </w:t>
      </w:r>
      <w:r w:rsidR="00C514B5">
        <w:rPr>
          <w:rFonts w:ascii="Times New Roman" w:hAnsi="Times New Roman"/>
          <w:noProof/>
          <w:sz w:val="18"/>
          <w:szCs w:val="18"/>
          <w:lang w:bidi="ar-SA"/>
        </w:rPr>
        <w:t>25 J</w:t>
      </w:r>
      <w:r w:rsidR="009500C3">
        <w:rPr>
          <w:rFonts w:ascii="Times New Roman" w:hAnsi="Times New Roman"/>
          <w:noProof/>
          <w:sz w:val="18"/>
          <w:szCs w:val="18"/>
          <w:lang w:bidi="ar-SA"/>
        </w:rPr>
        <w:t>uly 2017</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CE7D3B" w:rsidRPr="00386CC4" w:rsidRDefault="00CE7D3B" w:rsidP="00CE7D3B">
      <w:pPr>
        <w:spacing w:after="0" w:line="240" w:lineRule="auto"/>
        <w:jc w:val="both"/>
        <w:rPr>
          <w:rFonts w:ascii="Times New Roman" w:hAnsi="Times New Roman"/>
          <w:sz w:val="18"/>
          <w:szCs w:val="18"/>
        </w:rPr>
      </w:pPr>
      <w:r w:rsidRPr="00386CC4">
        <w:rPr>
          <w:rFonts w:ascii="Times New Roman" w:hAnsi="Times New Roman"/>
          <w:sz w:val="18"/>
          <w:szCs w:val="18"/>
        </w:rPr>
        <w:t>A calcium determination method for lime mortars in old church ruins is described. Two volumetric analysis methods were employed: titration using EDTA solution, and with KMnO</w:t>
      </w:r>
      <w:r w:rsidRPr="00386CC4">
        <w:rPr>
          <w:rFonts w:ascii="Times New Roman" w:hAnsi="Times New Roman"/>
          <w:sz w:val="18"/>
          <w:szCs w:val="18"/>
          <w:vertAlign w:val="subscript"/>
        </w:rPr>
        <w:t xml:space="preserve">4 </w:t>
      </w:r>
      <w:r w:rsidRPr="00386CC4">
        <w:rPr>
          <w:rFonts w:ascii="Times New Roman" w:hAnsi="Times New Roman"/>
          <w:sz w:val="18"/>
          <w:szCs w:val="18"/>
        </w:rPr>
        <w:t>solution. The binder fraction with sieve size (&lt;0.075mm) was used for titration which is abundant in CaCO</w:t>
      </w:r>
      <w:r w:rsidRPr="00386CC4">
        <w:rPr>
          <w:rFonts w:ascii="Times New Roman" w:hAnsi="Times New Roman"/>
          <w:sz w:val="18"/>
          <w:szCs w:val="18"/>
          <w:vertAlign w:val="subscript"/>
        </w:rPr>
        <w:t>3</w:t>
      </w:r>
      <w:r w:rsidRPr="00386CC4">
        <w:rPr>
          <w:rFonts w:ascii="Times New Roman" w:hAnsi="Times New Roman"/>
          <w:sz w:val="18"/>
          <w:szCs w:val="18"/>
        </w:rPr>
        <w:t xml:space="preserve"> as established by Fourier-Transform Infrared Spectroscopy </w:t>
      </w:r>
      <w:r>
        <w:rPr>
          <w:rFonts w:ascii="Times New Roman" w:hAnsi="Times New Roman"/>
          <w:sz w:val="18"/>
          <w:szCs w:val="18"/>
        </w:rPr>
        <w:t>(FTIR) technique</w:t>
      </w:r>
      <w:r w:rsidRPr="00386CC4">
        <w:rPr>
          <w:rFonts w:ascii="Times New Roman" w:hAnsi="Times New Roman"/>
          <w:sz w:val="18"/>
          <w:szCs w:val="18"/>
        </w:rPr>
        <w:t>. The mortar sample from Misamis Oriental yields a mean calcium concentration of 59.60% ± 4.64 and 60.48% ± 6.68 for EDTA and KMnO</w:t>
      </w:r>
      <w:r w:rsidRPr="00386CC4">
        <w:rPr>
          <w:rFonts w:ascii="Times New Roman" w:hAnsi="Times New Roman"/>
          <w:sz w:val="18"/>
          <w:szCs w:val="18"/>
          <w:vertAlign w:val="subscript"/>
        </w:rPr>
        <w:t>4</w:t>
      </w:r>
      <w:r w:rsidRPr="00386CC4">
        <w:rPr>
          <w:rFonts w:ascii="Times New Roman" w:hAnsi="Times New Roman"/>
          <w:sz w:val="18"/>
          <w:szCs w:val="18"/>
        </w:rPr>
        <w:t>, respectively, while the Metro Manila mortar sample is 73.54% ± 2.68 for EDTA and 73.33% ± 6.88 for KMnO</w:t>
      </w:r>
      <w:r w:rsidRPr="00386CC4">
        <w:rPr>
          <w:rFonts w:ascii="Times New Roman" w:hAnsi="Times New Roman"/>
          <w:sz w:val="18"/>
          <w:szCs w:val="18"/>
          <w:vertAlign w:val="subscript"/>
        </w:rPr>
        <w:t>4</w:t>
      </w:r>
      <w:r w:rsidRPr="00386CC4">
        <w:rPr>
          <w:rFonts w:ascii="Times New Roman" w:hAnsi="Times New Roman"/>
          <w:sz w:val="18"/>
          <w:szCs w:val="18"/>
        </w:rPr>
        <w:t xml:space="preserve">. Two tailed </w:t>
      </w:r>
      <w:r w:rsidRPr="00386CC4">
        <w:rPr>
          <w:rFonts w:ascii="Times New Roman" w:hAnsi="Times New Roman"/>
          <w:i/>
          <w:sz w:val="18"/>
          <w:szCs w:val="18"/>
        </w:rPr>
        <w:t>t</w:t>
      </w:r>
      <w:r w:rsidRPr="00386CC4">
        <w:rPr>
          <w:rFonts w:ascii="Times New Roman" w:hAnsi="Times New Roman"/>
          <w:sz w:val="18"/>
          <w:szCs w:val="18"/>
        </w:rPr>
        <w:t xml:space="preserve">-test and </w:t>
      </w:r>
      <w:r w:rsidRPr="00386CC4">
        <w:rPr>
          <w:rFonts w:ascii="Times New Roman" w:hAnsi="Times New Roman"/>
          <w:i/>
          <w:sz w:val="18"/>
          <w:szCs w:val="18"/>
        </w:rPr>
        <w:t>F</w:t>
      </w:r>
      <w:r w:rsidRPr="00386CC4">
        <w:rPr>
          <w:rFonts w:ascii="Times New Roman" w:hAnsi="Times New Roman"/>
          <w:sz w:val="18"/>
          <w:szCs w:val="18"/>
        </w:rPr>
        <w:t>-test analysis confirm that there is no statistical difference between EDTA and KMnO</w:t>
      </w:r>
      <w:r w:rsidRPr="00386CC4">
        <w:rPr>
          <w:rFonts w:ascii="Times New Roman" w:hAnsi="Times New Roman"/>
          <w:sz w:val="18"/>
          <w:szCs w:val="18"/>
          <w:vertAlign w:val="subscript"/>
        </w:rPr>
        <w:t>4</w:t>
      </w:r>
      <w:r w:rsidRPr="00386CC4">
        <w:rPr>
          <w:rFonts w:ascii="Times New Roman" w:hAnsi="Times New Roman"/>
          <w:sz w:val="18"/>
          <w:szCs w:val="18"/>
        </w:rPr>
        <w:t xml:space="preserve"> methods in determining the calcium content. Atomic Absorption Spectroscopy (AAS) </w:t>
      </w:r>
      <w:r>
        <w:rPr>
          <w:rFonts w:ascii="Times New Roman" w:hAnsi="Times New Roman"/>
          <w:sz w:val="18"/>
          <w:szCs w:val="18"/>
        </w:rPr>
        <w:t>technique</w:t>
      </w:r>
      <w:r w:rsidRPr="00386CC4">
        <w:rPr>
          <w:rFonts w:ascii="Times New Roman" w:hAnsi="Times New Roman"/>
          <w:sz w:val="18"/>
          <w:szCs w:val="18"/>
        </w:rPr>
        <w:t xml:space="preserve"> validated the mean concentration values obtained from each method with less than 6.4% difference. The proposed titration methods are simple, rapid and sufficiently precise, without the use of expensive analytical instruments. This study is a good alternative method to easily determine the amount of calcium in historic lime mortars which is valuable in heritage conservation work and restoration of old structures in the Philippines.</w:t>
      </w:r>
    </w:p>
    <w:p w:rsidR="00CE7D3B" w:rsidRDefault="00CE7D3B" w:rsidP="00CE7D3B">
      <w:pPr>
        <w:tabs>
          <w:tab w:val="left" w:pos="900"/>
        </w:tabs>
        <w:spacing w:after="0" w:line="240" w:lineRule="auto"/>
        <w:ind w:left="900" w:hanging="900"/>
        <w:jc w:val="both"/>
        <w:rPr>
          <w:rFonts w:ascii="Times New Roman" w:hAnsi="Times New Roman"/>
          <w:b/>
          <w:sz w:val="18"/>
          <w:szCs w:val="18"/>
        </w:rPr>
      </w:pPr>
    </w:p>
    <w:p w:rsidR="00CE7D3B" w:rsidRPr="00386CC4" w:rsidRDefault="00CE7D3B" w:rsidP="00CE7D3B">
      <w:pPr>
        <w:spacing w:after="0" w:line="240" w:lineRule="auto"/>
        <w:ind w:left="990" w:hanging="990"/>
        <w:jc w:val="both"/>
        <w:rPr>
          <w:rFonts w:ascii="Times New Roman" w:hAnsi="Times New Roman"/>
          <w:sz w:val="18"/>
          <w:szCs w:val="18"/>
        </w:rPr>
      </w:pPr>
      <w:r w:rsidRPr="00386CC4">
        <w:rPr>
          <w:rFonts w:ascii="Times New Roman" w:hAnsi="Times New Roman"/>
          <w:b/>
          <w:sz w:val="18"/>
          <w:szCs w:val="18"/>
        </w:rPr>
        <w:t>Keywords:</w:t>
      </w:r>
      <w:r w:rsidRPr="00386CC4">
        <w:rPr>
          <w:rFonts w:ascii="Times New Roman" w:hAnsi="Times New Roman"/>
          <w:sz w:val="18"/>
          <w:szCs w:val="18"/>
        </w:rPr>
        <w:t xml:space="preserve"> </w:t>
      </w:r>
      <w:r>
        <w:rPr>
          <w:rFonts w:ascii="Times New Roman" w:hAnsi="Times New Roman"/>
          <w:sz w:val="18"/>
          <w:szCs w:val="18"/>
        </w:rPr>
        <w:tab/>
      </w:r>
      <w:r w:rsidRPr="00386CC4">
        <w:rPr>
          <w:rFonts w:ascii="Times New Roman" w:hAnsi="Times New Roman"/>
          <w:sz w:val="18"/>
          <w:szCs w:val="18"/>
        </w:rPr>
        <w:t>lime mortar, titration, Fourier transform infrared spectroscopy, atomic absorption spectroscopy, cultural heritage conservation</w:t>
      </w:r>
    </w:p>
    <w:p w:rsidR="00CE7D3B" w:rsidRPr="00CE7D3B" w:rsidRDefault="00CE7D3B" w:rsidP="00CE7D3B">
      <w:pPr>
        <w:spacing w:after="0" w:line="240" w:lineRule="auto"/>
        <w:jc w:val="center"/>
        <w:rPr>
          <w:rFonts w:ascii="Times New Roman" w:hAnsi="Times New Roman"/>
          <w:sz w:val="18"/>
          <w:szCs w:val="18"/>
        </w:rPr>
      </w:pPr>
    </w:p>
    <w:p w:rsidR="00CE7D3B" w:rsidRPr="00256A02" w:rsidRDefault="00CE7D3B" w:rsidP="00CE7D3B">
      <w:pPr>
        <w:tabs>
          <w:tab w:val="left" w:pos="0"/>
        </w:tabs>
        <w:spacing w:after="0" w:line="240" w:lineRule="auto"/>
        <w:jc w:val="center"/>
        <w:rPr>
          <w:rFonts w:ascii="Times New Roman" w:hAnsi="Times New Roman"/>
          <w:b/>
          <w:bCs/>
          <w:sz w:val="18"/>
          <w:szCs w:val="18"/>
        </w:rPr>
      </w:pPr>
      <w:r w:rsidRPr="00256A02">
        <w:rPr>
          <w:rFonts w:ascii="Times New Roman" w:hAnsi="Times New Roman"/>
          <w:b/>
          <w:bCs/>
          <w:sz w:val="18"/>
          <w:szCs w:val="18"/>
        </w:rPr>
        <w:t>Abstrak</w:t>
      </w:r>
    </w:p>
    <w:p w:rsidR="00CE7D3B" w:rsidRPr="00C80BF0" w:rsidRDefault="00CE7D3B" w:rsidP="00CE7D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12121"/>
          <w:sz w:val="18"/>
          <w:szCs w:val="18"/>
          <w:lang w:val="ms-MY"/>
        </w:rPr>
      </w:pPr>
      <w:r w:rsidRPr="00386CC4">
        <w:rPr>
          <w:rFonts w:ascii="Times New Roman" w:hAnsi="Times New Roman"/>
          <w:color w:val="212121"/>
          <w:sz w:val="18"/>
          <w:szCs w:val="18"/>
          <w:lang w:val="ms-MY"/>
        </w:rPr>
        <w:t>Satu kaedah</w:t>
      </w:r>
      <w:r>
        <w:rPr>
          <w:rFonts w:ascii="Times New Roman" w:hAnsi="Times New Roman"/>
          <w:color w:val="212121"/>
          <w:sz w:val="18"/>
          <w:szCs w:val="18"/>
          <w:lang w:val="ms-MY"/>
        </w:rPr>
        <w:t xml:space="preserve"> penentuan kalsium untuk mortar batu </w:t>
      </w:r>
      <w:r w:rsidRPr="00386CC4">
        <w:rPr>
          <w:rFonts w:ascii="Times New Roman" w:hAnsi="Times New Roman"/>
          <w:color w:val="212121"/>
          <w:sz w:val="18"/>
          <w:szCs w:val="18"/>
          <w:lang w:val="ms-MY"/>
        </w:rPr>
        <w:t xml:space="preserve">kapur dalam </w:t>
      </w:r>
      <w:r>
        <w:rPr>
          <w:rFonts w:ascii="Times New Roman" w:hAnsi="Times New Roman"/>
          <w:color w:val="212121"/>
          <w:sz w:val="18"/>
          <w:szCs w:val="18"/>
          <w:lang w:val="ms-MY"/>
        </w:rPr>
        <w:t>runtuhan gereja lama telah dibincangkan. Dua kaedah analisis volumetrik telah dibangunkan</w:t>
      </w:r>
      <w:r w:rsidRPr="00386CC4">
        <w:rPr>
          <w:rFonts w:ascii="Times New Roman" w:hAnsi="Times New Roman"/>
          <w:color w:val="212121"/>
          <w:sz w:val="18"/>
          <w:szCs w:val="18"/>
          <w:lang w:val="ms-MY"/>
        </w:rPr>
        <w:t>; penti</w:t>
      </w:r>
      <w:r>
        <w:rPr>
          <w:rFonts w:ascii="Times New Roman" w:hAnsi="Times New Roman"/>
          <w:color w:val="212121"/>
          <w:sz w:val="18"/>
          <w:szCs w:val="18"/>
          <w:lang w:val="ms-MY"/>
        </w:rPr>
        <w:t xml:space="preserve">tratan menggunakan larutan EDTA dan </w:t>
      </w:r>
      <w:r w:rsidRPr="00386CC4">
        <w:rPr>
          <w:rFonts w:ascii="Times New Roman" w:hAnsi="Times New Roman"/>
          <w:color w:val="212121"/>
          <w:sz w:val="18"/>
          <w:szCs w:val="18"/>
          <w:lang w:val="ms-MY"/>
        </w:rPr>
        <w:t>KMnO</w:t>
      </w:r>
      <w:r w:rsidRPr="00386CC4">
        <w:rPr>
          <w:rFonts w:ascii="Times New Roman" w:hAnsi="Times New Roman"/>
          <w:color w:val="212121"/>
          <w:sz w:val="18"/>
          <w:szCs w:val="18"/>
          <w:vertAlign w:val="subscript"/>
          <w:lang w:val="ms-MY"/>
        </w:rPr>
        <w:t>4</w:t>
      </w:r>
      <w:r>
        <w:rPr>
          <w:rFonts w:ascii="Times New Roman" w:hAnsi="Times New Roman"/>
          <w:color w:val="212121"/>
          <w:sz w:val="18"/>
          <w:szCs w:val="18"/>
          <w:lang w:val="ms-MY"/>
        </w:rPr>
        <w:t xml:space="preserve">. Pecahan mengikut </w:t>
      </w:r>
      <w:r w:rsidRPr="00386CC4">
        <w:rPr>
          <w:rFonts w:ascii="Times New Roman" w:hAnsi="Times New Roman"/>
          <w:color w:val="212121"/>
          <w:sz w:val="18"/>
          <w:szCs w:val="18"/>
          <w:lang w:val="ms-MY"/>
        </w:rPr>
        <w:t xml:space="preserve">saiz ayak (&lt;0.075mm) telah digunakan untuk </w:t>
      </w:r>
      <w:r>
        <w:rPr>
          <w:rFonts w:ascii="Times New Roman" w:hAnsi="Times New Roman"/>
          <w:color w:val="212121"/>
          <w:sz w:val="18"/>
          <w:szCs w:val="18"/>
          <w:lang w:val="ms-MY"/>
        </w:rPr>
        <w:t>pen</w:t>
      </w:r>
      <w:r w:rsidRPr="00386CC4">
        <w:rPr>
          <w:rFonts w:ascii="Times New Roman" w:hAnsi="Times New Roman"/>
          <w:color w:val="212121"/>
          <w:sz w:val="18"/>
          <w:szCs w:val="18"/>
          <w:lang w:val="ms-MY"/>
        </w:rPr>
        <w:t>titr</w:t>
      </w:r>
      <w:r>
        <w:rPr>
          <w:rFonts w:ascii="Times New Roman" w:hAnsi="Times New Roman"/>
          <w:color w:val="212121"/>
          <w:sz w:val="18"/>
          <w:szCs w:val="18"/>
          <w:lang w:val="ms-MY"/>
        </w:rPr>
        <w:t xml:space="preserve">atan yang kaya dengan </w:t>
      </w:r>
      <w:r w:rsidRPr="00386CC4">
        <w:rPr>
          <w:rFonts w:ascii="Times New Roman" w:hAnsi="Times New Roman"/>
          <w:color w:val="212121"/>
          <w:sz w:val="18"/>
          <w:szCs w:val="18"/>
          <w:lang w:val="ms-MY"/>
        </w:rPr>
        <w:t>CaCO</w:t>
      </w:r>
      <w:r w:rsidRPr="00386CC4">
        <w:rPr>
          <w:rFonts w:ascii="Times New Roman" w:hAnsi="Times New Roman"/>
          <w:color w:val="212121"/>
          <w:sz w:val="18"/>
          <w:szCs w:val="18"/>
          <w:vertAlign w:val="subscript"/>
          <w:lang w:val="ms-MY"/>
        </w:rPr>
        <w:t>3</w:t>
      </w:r>
      <w:r w:rsidRPr="00386CC4">
        <w:rPr>
          <w:rFonts w:ascii="Times New Roman" w:hAnsi="Times New Roman"/>
          <w:color w:val="212121"/>
          <w:sz w:val="18"/>
          <w:szCs w:val="18"/>
          <w:lang w:val="ms-MY"/>
        </w:rPr>
        <w:t xml:space="preserve"> yang </w:t>
      </w:r>
      <w:r>
        <w:rPr>
          <w:rFonts w:ascii="Times New Roman" w:hAnsi="Times New Roman"/>
          <w:color w:val="212121"/>
          <w:sz w:val="18"/>
          <w:szCs w:val="18"/>
          <w:lang w:val="ms-MY"/>
        </w:rPr>
        <w:t xml:space="preserve">telah </w:t>
      </w:r>
      <w:r w:rsidRPr="00386CC4">
        <w:rPr>
          <w:rFonts w:ascii="Times New Roman" w:hAnsi="Times New Roman"/>
          <w:color w:val="212121"/>
          <w:sz w:val="18"/>
          <w:szCs w:val="18"/>
          <w:lang w:val="ms-MY"/>
        </w:rPr>
        <w:t xml:space="preserve">ditentukan oleh teknik inframerah </w:t>
      </w:r>
      <w:r>
        <w:rPr>
          <w:rFonts w:ascii="Times New Roman" w:hAnsi="Times New Roman"/>
          <w:color w:val="212121"/>
          <w:sz w:val="18"/>
          <w:szCs w:val="18"/>
          <w:lang w:val="ms-MY"/>
        </w:rPr>
        <w:t xml:space="preserve">transformasi Fourier (FTIR). Sampel mortar batu kapur </w:t>
      </w:r>
      <w:r w:rsidRPr="00386CC4">
        <w:rPr>
          <w:rFonts w:ascii="Times New Roman" w:hAnsi="Times New Roman"/>
          <w:color w:val="212121"/>
          <w:sz w:val="18"/>
          <w:szCs w:val="18"/>
          <w:lang w:val="ms-MY"/>
        </w:rPr>
        <w:t>dari Misamis</w:t>
      </w:r>
      <w:r>
        <w:rPr>
          <w:rFonts w:ascii="Times New Roman" w:hAnsi="Times New Roman"/>
          <w:color w:val="212121"/>
          <w:sz w:val="18"/>
          <w:szCs w:val="18"/>
          <w:lang w:val="ms-MY"/>
        </w:rPr>
        <w:t xml:space="preserve"> Oriental menghasilkan purata kepekatan kalsium 59.60% ± 4.64 dan 60.</w:t>
      </w:r>
      <w:r w:rsidRPr="00386CC4">
        <w:rPr>
          <w:rFonts w:ascii="Times New Roman" w:hAnsi="Times New Roman"/>
          <w:color w:val="212121"/>
          <w:sz w:val="18"/>
          <w:szCs w:val="18"/>
          <w:lang w:val="ms-MY"/>
        </w:rPr>
        <w:t>48% ± 6.68 untuk masing-masing EDTA dan KMnO</w:t>
      </w:r>
      <w:r w:rsidRPr="00386CC4">
        <w:rPr>
          <w:rFonts w:ascii="Times New Roman" w:hAnsi="Times New Roman"/>
          <w:color w:val="212121"/>
          <w:sz w:val="18"/>
          <w:szCs w:val="18"/>
          <w:vertAlign w:val="subscript"/>
          <w:lang w:val="ms-MY"/>
        </w:rPr>
        <w:t>4</w:t>
      </w:r>
      <w:r w:rsidRPr="00386CC4">
        <w:rPr>
          <w:rFonts w:ascii="Times New Roman" w:hAnsi="Times New Roman"/>
          <w:color w:val="212121"/>
          <w:sz w:val="18"/>
          <w:szCs w:val="18"/>
          <w:lang w:val="ms-MY"/>
        </w:rPr>
        <w:t>, manakala sampe</w:t>
      </w:r>
      <w:r>
        <w:rPr>
          <w:rFonts w:ascii="Times New Roman" w:hAnsi="Times New Roman"/>
          <w:color w:val="212121"/>
          <w:sz w:val="18"/>
          <w:szCs w:val="18"/>
          <w:lang w:val="ms-MY"/>
        </w:rPr>
        <w:t>l mortar batu kapur Metro Manila adalah 73.</w:t>
      </w:r>
      <w:r w:rsidRPr="00386CC4">
        <w:rPr>
          <w:rFonts w:ascii="Times New Roman" w:hAnsi="Times New Roman"/>
          <w:color w:val="212121"/>
          <w:sz w:val="18"/>
          <w:szCs w:val="18"/>
          <w:lang w:val="ms-MY"/>
        </w:rPr>
        <w:t>54% ± 2.68 untuk E</w:t>
      </w:r>
      <w:r>
        <w:rPr>
          <w:rFonts w:ascii="Times New Roman" w:hAnsi="Times New Roman"/>
          <w:color w:val="212121"/>
          <w:sz w:val="18"/>
          <w:szCs w:val="18"/>
          <w:lang w:val="ms-MY"/>
        </w:rPr>
        <w:t>DTA dan 73.</w:t>
      </w:r>
      <w:r w:rsidRPr="00386CC4">
        <w:rPr>
          <w:rFonts w:ascii="Times New Roman" w:hAnsi="Times New Roman"/>
          <w:color w:val="212121"/>
          <w:sz w:val="18"/>
          <w:szCs w:val="18"/>
          <w:lang w:val="ms-MY"/>
        </w:rPr>
        <w:t>33% ± 6.88 untuk KMnO</w:t>
      </w:r>
      <w:r w:rsidRPr="00386CC4">
        <w:rPr>
          <w:rFonts w:ascii="Times New Roman" w:hAnsi="Times New Roman"/>
          <w:color w:val="212121"/>
          <w:sz w:val="18"/>
          <w:szCs w:val="18"/>
          <w:vertAlign w:val="subscript"/>
          <w:lang w:val="ms-MY"/>
        </w:rPr>
        <w:t>4</w:t>
      </w:r>
      <w:r w:rsidRPr="00386CC4">
        <w:rPr>
          <w:rFonts w:ascii="Times New Roman" w:hAnsi="Times New Roman"/>
          <w:color w:val="212121"/>
          <w:sz w:val="18"/>
          <w:szCs w:val="18"/>
          <w:lang w:val="ms-MY"/>
        </w:rPr>
        <w:t xml:space="preserve">. </w:t>
      </w:r>
      <w:r>
        <w:rPr>
          <w:rFonts w:ascii="Times New Roman" w:hAnsi="Times New Roman"/>
          <w:color w:val="212121"/>
          <w:sz w:val="18"/>
          <w:szCs w:val="18"/>
          <w:lang w:val="ms-MY"/>
        </w:rPr>
        <w:t xml:space="preserve">Analisis ujian-t dan </w:t>
      </w:r>
      <w:r w:rsidRPr="00386CC4">
        <w:rPr>
          <w:rFonts w:ascii="Times New Roman" w:hAnsi="Times New Roman"/>
          <w:color w:val="212121"/>
          <w:sz w:val="18"/>
          <w:szCs w:val="18"/>
          <w:lang w:val="ms-MY"/>
        </w:rPr>
        <w:t>ujian</w:t>
      </w:r>
      <w:r>
        <w:rPr>
          <w:rFonts w:ascii="Times New Roman" w:hAnsi="Times New Roman"/>
          <w:color w:val="212121"/>
          <w:sz w:val="18"/>
          <w:szCs w:val="18"/>
          <w:lang w:val="ms-MY"/>
        </w:rPr>
        <w:t xml:space="preserve">-F </w:t>
      </w:r>
      <w:r w:rsidRPr="00386CC4">
        <w:rPr>
          <w:rFonts w:ascii="Times New Roman" w:hAnsi="Times New Roman"/>
          <w:color w:val="212121"/>
          <w:sz w:val="18"/>
          <w:szCs w:val="18"/>
          <w:lang w:val="ms-MY"/>
        </w:rPr>
        <w:t>mengesahkan baha</w:t>
      </w:r>
      <w:r>
        <w:rPr>
          <w:rFonts w:ascii="Times New Roman" w:hAnsi="Times New Roman"/>
          <w:color w:val="212121"/>
          <w:sz w:val="18"/>
          <w:szCs w:val="18"/>
          <w:lang w:val="ms-MY"/>
        </w:rPr>
        <w:t>wa tidak ada perbezaan signifikan</w:t>
      </w:r>
      <w:r w:rsidRPr="00386CC4">
        <w:rPr>
          <w:rFonts w:ascii="Times New Roman" w:hAnsi="Times New Roman"/>
          <w:color w:val="212121"/>
          <w:sz w:val="18"/>
          <w:szCs w:val="18"/>
          <w:lang w:val="ms-MY"/>
        </w:rPr>
        <w:t xml:space="preserve"> antara kaedah EDTA dan KMnO</w:t>
      </w:r>
      <w:r w:rsidRPr="00386CC4">
        <w:rPr>
          <w:rFonts w:ascii="Times New Roman" w:hAnsi="Times New Roman"/>
          <w:color w:val="212121"/>
          <w:sz w:val="18"/>
          <w:szCs w:val="18"/>
          <w:vertAlign w:val="subscript"/>
          <w:lang w:val="ms-MY"/>
        </w:rPr>
        <w:t>4</w:t>
      </w:r>
      <w:r>
        <w:rPr>
          <w:rFonts w:ascii="Times New Roman" w:hAnsi="Times New Roman"/>
          <w:color w:val="212121"/>
          <w:sz w:val="18"/>
          <w:szCs w:val="18"/>
          <w:lang w:val="ms-MY"/>
        </w:rPr>
        <w:t xml:space="preserve"> dalam penentuan </w:t>
      </w:r>
      <w:r w:rsidRPr="00386CC4">
        <w:rPr>
          <w:rFonts w:ascii="Times New Roman" w:hAnsi="Times New Roman"/>
          <w:color w:val="212121"/>
          <w:sz w:val="18"/>
          <w:szCs w:val="18"/>
          <w:lang w:val="ms-MY"/>
        </w:rPr>
        <w:t xml:space="preserve">kandungan kalsium. </w:t>
      </w:r>
      <w:r>
        <w:rPr>
          <w:rFonts w:ascii="Times New Roman" w:hAnsi="Times New Roman"/>
          <w:color w:val="212121"/>
          <w:sz w:val="18"/>
          <w:szCs w:val="18"/>
          <w:lang w:val="ms-MY"/>
        </w:rPr>
        <w:t xml:space="preserve">Teknik spektroskopi serapan atom </w:t>
      </w:r>
      <w:r w:rsidRPr="00386CC4">
        <w:rPr>
          <w:rFonts w:ascii="Times New Roman" w:hAnsi="Times New Roman"/>
          <w:color w:val="212121"/>
          <w:sz w:val="18"/>
          <w:szCs w:val="18"/>
          <w:lang w:val="ms-MY"/>
        </w:rPr>
        <w:t xml:space="preserve">(AAS) </w:t>
      </w:r>
      <w:r>
        <w:rPr>
          <w:rFonts w:ascii="Times New Roman" w:hAnsi="Times New Roman"/>
          <w:color w:val="212121"/>
          <w:sz w:val="18"/>
          <w:szCs w:val="18"/>
          <w:lang w:val="ms-MY"/>
        </w:rPr>
        <w:t xml:space="preserve">telah menentusahkan </w:t>
      </w:r>
      <w:r w:rsidRPr="00386CC4">
        <w:rPr>
          <w:rFonts w:ascii="Times New Roman" w:hAnsi="Times New Roman"/>
          <w:color w:val="212121"/>
          <w:sz w:val="18"/>
          <w:szCs w:val="18"/>
          <w:lang w:val="ms-MY"/>
        </w:rPr>
        <w:t>nilai kepekatan yang di</w:t>
      </w:r>
      <w:r>
        <w:rPr>
          <w:rFonts w:ascii="Times New Roman" w:hAnsi="Times New Roman"/>
          <w:color w:val="212121"/>
          <w:sz w:val="18"/>
          <w:szCs w:val="18"/>
          <w:lang w:val="ms-MY"/>
        </w:rPr>
        <w:t xml:space="preserve">ambil dari setiap kaedah memberikan </w:t>
      </w:r>
      <w:r w:rsidRPr="00386CC4">
        <w:rPr>
          <w:rFonts w:ascii="Times New Roman" w:hAnsi="Times New Roman"/>
          <w:color w:val="212121"/>
          <w:sz w:val="18"/>
          <w:szCs w:val="18"/>
          <w:lang w:val="ms-MY"/>
        </w:rPr>
        <w:t>p</w:t>
      </w:r>
      <w:r>
        <w:rPr>
          <w:rFonts w:ascii="Times New Roman" w:hAnsi="Times New Roman"/>
          <w:color w:val="212121"/>
          <w:sz w:val="18"/>
          <w:szCs w:val="18"/>
          <w:lang w:val="ms-MY"/>
        </w:rPr>
        <w:t>erbezaan kurang daripada 6.4%. K</w:t>
      </w:r>
      <w:r w:rsidRPr="00386CC4">
        <w:rPr>
          <w:rFonts w:ascii="Times New Roman" w:hAnsi="Times New Roman"/>
          <w:color w:val="212121"/>
          <w:sz w:val="18"/>
          <w:szCs w:val="18"/>
          <w:lang w:val="ms-MY"/>
        </w:rPr>
        <w:t>aedah pentitratan yang dicadangkan adalah mudah, cepat dan cukup tepat, tanpa menggunakan instrumen analisis mahal. Kajian ini merupakan alternatif yang b</w:t>
      </w:r>
      <w:r>
        <w:rPr>
          <w:rFonts w:ascii="Times New Roman" w:hAnsi="Times New Roman"/>
          <w:color w:val="212121"/>
          <w:sz w:val="18"/>
          <w:szCs w:val="18"/>
          <w:lang w:val="ms-MY"/>
        </w:rPr>
        <w:t xml:space="preserve">aik dengan mudah menentukan kandungan kalsium dalam mortar batu </w:t>
      </w:r>
      <w:r w:rsidRPr="00386CC4">
        <w:rPr>
          <w:rFonts w:ascii="Times New Roman" w:hAnsi="Times New Roman"/>
          <w:color w:val="212121"/>
          <w:sz w:val="18"/>
          <w:szCs w:val="18"/>
          <w:lang w:val="ms-MY"/>
        </w:rPr>
        <w:t>kapur bersejarah yang berharga dalam kerja-kerja pemuliharaan warisan dan pemulihan struktur lama di Filipina.</w:t>
      </w:r>
    </w:p>
    <w:p w:rsidR="00CE7D3B" w:rsidRDefault="00CE7D3B" w:rsidP="00CE7D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0" w:hanging="990"/>
        <w:jc w:val="both"/>
        <w:rPr>
          <w:rFonts w:ascii="Times New Roman" w:hAnsi="Times New Roman"/>
          <w:b/>
          <w:color w:val="212121"/>
          <w:sz w:val="18"/>
          <w:szCs w:val="18"/>
          <w:lang w:val="ms-MY"/>
        </w:rPr>
      </w:pPr>
    </w:p>
    <w:p w:rsidR="00CE7D3B" w:rsidRPr="00C80BF0" w:rsidRDefault="00CE7D3B" w:rsidP="00CE7D3B">
      <w:pPr>
        <w:shd w:val="clear" w:color="auto" w:fill="FFFFFF"/>
        <w:spacing w:after="0" w:line="240" w:lineRule="auto"/>
        <w:ind w:left="1080" w:hanging="1080"/>
        <w:jc w:val="both"/>
        <w:rPr>
          <w:rFonts w:ascii="Times New Roman" w:hAnsi="Times New Roman"/>
          <w:color w:val="212121"/>
          <w:sz w:val="18"/>
          <w:szCs w:val="18"/>
          <w:lang w:val="ms-MY"/>
        </w:rPr>
      </w:pPr>
      <w:r w:rsidRPr="00386CC4">
        <w:rPr>
          <w:rFonts w:ascii="Times New Roman" w:hAnsi="Times New Roman"/>
          <w:b/>
          <w:color w:val="212121"/>
          <w:sz w:val="18"/>
          <w:szCs w:val="18"/>
          <w:lang w:val="ms-MY"/>
        </w:rPr>
        <w:t xml:space="preserve">Kata kunci: </w:t>
      </w:r>
      <w:r>
        <w:rPr>
          <w:rFonts w:ascii="Times New Roman" w:hAnsi="Times New Roman"/>
          <w:b/>
          <w:color w:val="212121"/>
          <w:sz w:val="18"/>
          <w:szCs w:val="18"/>
          <w:lang w:val="ms-MY"/>
        </w:rPr>
        <w:tab/>
      </w:r>
      <w:r w:rsidRPr="00386CC4">
        <w:rPr>
          <w:rFonts w:ascii="Times New Roman" w:hAnsi="Times New Roman"/>
          <w:color w:val="212121"/>
          <w:sz w:val="18"/>
          <w:szCs w:val="18"/>
          <w:lang w:val="ms-MY"/>
        </w:rPr>
        <w:t>mortar kapur, pentitratan, spektroskopi inframerah</w:t>
      </w:r>
      <w:r>
        <w:rPr>
          <w:rFonts w:ascii="Times New Roman" w:hAnsi="Times New Roman"/>
          <w:color w:val="212121"/>
          <w:sz w:val="18"/>
          <w:szCs w:val="18"/>
          <w:lang w:val="ms-MY"/>
        </w:rPr>
        <w:t xml:space="preserve"> transformasi Fourier</w:t>
      </w:r>
      <w:r w:rsidRPr="00386CC4">
        <w:rPr>
          <w:rFonts w:ascii="Times New Roman" w:hAnsi="Times New Roman"/>
          <w:color w:val="212121"/>
          <w:sz w:val="18"/>
          <w:szCs w:val="18"/>
          <w:lang w:val="ms-MY"/>
        </w:rPr>
        <w:t xml:space="preserve">, </w:t>
      </w:r>
      <w:r>
        <w:rPr>
          <w:rFonts w:ascii="Times New Roman" w:hAnsi="Times New Roman"/>
          <w:color w:val="212121"/>
          <w:sz w:val="18"/>
          <w:szCs w:val="18"/>
          <w:lang w:val="ms-MY"/>
        </w:rPr>
        <w:t>spektroskopi s</w:t>
      </w:r>
      <w:r w:rsidRPr="00386CC4">
        <w:rPr>
          <w:rFonts w:ascii="Times New Roman" w:hAnsi="Times New Roman"/>
          <w:color w:val="212121"/>
          <w:sz w:val="18"/>
          <w:szCs w:val="18"/>
          <w:lang w:val="ms-MY"/>
        </w:rPr>
        <w:t>erapan atom, pemuliharaan warisan budaya</w:t>
      </w:r>
    </w:p>
    <w:p w:rsidR="006768E9" w:rsidRDefault="006768E9" w:rsidP="00F447A7">
      <w:pPr>
        <w:spacing w:after="0" w:line="240" w:lineRule="auto"/>
        <w:jc w:val="center"/>
        <w:rPr>
          <w:rFonts w:ascii="Times New Roman" w:hAnsi="Times New Roman"/>
          <w:noProof/>
          <w:sz w:val="20"/>
          <w:szCs w:val="20"/>
          <w:lang w:bidi="ar-SA"/>
        </w:rPr>
      </w:pPr>
    </w:p>
    <w:p w:rsidR="00CE7D3B" w:rsidRDefault="00CE7D3B"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CE7D3B" w:rsidRPr="00CE7D3B" w:rsidRDefault="00CE7D3B" w:rsidP="00CE7D3B">
      <w:pPr>
        <w:spacing w:after="0" w:line="240" w:lineRule="auto"/>
        <w:jc w:val="both"/>
        <w:rPr>
          <w:rFonts w:ascii="Times New Roman" w:hAnsi="Times New Roman"/>
          <w:sz w:val="20"/>
          <w:szCs w:val="20"/>
        </w:rPr>
      </w:pPr>
      <w:r w:rsidRPr="00CE7D3B">
        <w:rPr>
          <w:rFonts w:ascii="Times New Roman" w:hAnsi="Times New Roman"/>
          <w:sz w:val="20"/>
          <w:szCs w:val="20"/>
        </w:rPr>
        <w:t>The overall amount of calcium is an important parameter for replicating historic lime-based mortars for restoration work. Calcium is the principal chemical element found in binders which is the component of mortars responsible for holding together the different stone and sand aggregates. Binders are essentially composed of lime or CaCO</w:t>
      </w:r>
      <w:r w:rsidRPr="00CE7D3B">
        <w:rPr>
          <w:rFonts w:ascii="Times New Roman" w:hAnsi="Times New Roman"/>
          <w:sz w:val="20"/>
          <w:szCs w:val="20"/>
          <w:vertAlign w:val="subscript"/>
        </w:rPr>
        <w:t xml:space="preserve">3 </w:t>
      </w:r>
      <w:r w:rsidRPr="00CE7D3B">
        <w:rPr>
          <w:rFonts w:ascii="Times New Roman" w:hAnsi="Times New Roman"/>
          <w:sz w:val="20"/>
          <w:szCs w:val="20"/>
        </w:rPr>
        <w:t xml:space="preserve">produced by burning limestone. In the Philippines, lime can also be obtained from crushed seashells and corals [1]. The temperature and manufacturing process of lime is crucial in determining the mortar’s physical properties and mechanical behaviour. Specifically, the crystal arrangement, porosity and the lime’s reactivity when water is added (slaking) will be affected [2, 3]. The absence of standard methodologies in lime preparation in the past, as well as the lack of detailed documentation on its manufacture in the Philippines, have produced old lime-based mortars which are non-uniform and varied in chemical compositions relative to its location. Hence, proper scientific investigation to understand conventional lime-making techniques in the past based on calcium content is crucial for proper conservation work of historic structures in the Philippines.   </w:t>
      </w:r>
    </w:p>
    <w:p w:rsidR="00CE7D3B" w:rsidRPr="00CE7D3B" w:rsidRDefault="00CE7D3B" w:rsidP="00CE7D3B">
      <w:pPr>
        <w:spacing w:after="0" w:line="240" w:lineRule="auto"/>
        <w:jc w:val="both"/>
        <w:rPr>
          <w:rFonts w:ascii="Times New Roman" w:hAnsi="Times New Roman"/>
          <w:sz w:val="20"/>
          <w:szCs w:val="20"/>
        </w:rPr>
      </w:pPr>
    </w:p>
    <w:p w:rsidR="00CE7D3B" w:rsidRPr="00CE7D3B" w:rsidRDefault="00CE7D3B" w:rsidP="00CE7D3B">
      <w:pPr>
        <w:spacing w:after="0" w:line="240" w:lineRule="auto"/>
        <w:jc w:val="both"/>
        <w:rPr>
          <w:rFonts w:ascii="Times New Roman" w:hAnsi="Times New Roman"/>
          <w:sz w:val="20"/>
          <w:szCs w:val="20"/>
        </w:rPr>
      </w:pPr>
      <w:r w:rsidRPr="00CE7D3B">
        <w:rPr>
          <w:rFonts w:ascii="Times New Roman" w:hAnsi="Times New Roman"/>
          <w:sz w:val="20"/>
          <w:szCs w:val="20"/>
        </w:rPr>
        <w:t xml:space="preserve">This study describes the amount of calcium in a lime-based historic mortar from church ruins built during the Spanish Colonial Period in the Philippines. The country was under Spanish rule for almost 400 years from 1521 to 1898 and was heavily influenced by Roman Catholic traditions. The church ruin in Misamis Oriental in the southern island of Mindanao was built during the mid-1800’s [4] while the one collected from Metro Manila, which is the capital city of the Philippines, was constructed in the early 1800’s [5]. These sites were chosen for this study because of their different geographical locations, hence, different raw materials used in its construction. It also represents the unique building-making methods characteristic of the Jesuits (Misamis Oriental) and the Franciscans (Metro Manila) which are major Catholic religious orders during the Spanish Era in the Philippines.  </w:t>
      </w:r>
    </w:p>
    <w:p w:rsidR="00CE7D3B" w:rsidRPr="00CE7D3B" w:rsidRDefault="00CE7D3B" w:rsidP="00CE7D3B">
      <w:pPr>
        <w:spacing w:after="0" w:line="240" w:lineRule="auto"/>
        <w:jc w:val="both"/>
        <w:rPr>
          <w:rFonts w:ascii="Times New Roman" w:hAnsi="Times New Roman"/>
          <w:sz w:val="20"/>
          <w:szCs w:val="20"/>
        </w:rPr>
      </w:pPr>
    </w:p>
    <w:p w:rsidR="00CE7D3B" w:rsidRPr="00CE7D3B" w:rsidRDefault="00CE7D3B" w:rsidP="00CE7D3B">
      <w:pPr>
        <w:spacing w:after="0" w:line="240" w:lineRule="auto"/>
        <w:jc w:val="both"/>
        <w:rPr>
          <w:rFonts w:ascii="Times New Roman" w:hAnsi="Times New Roman"/>
          <w:sz w:val="20"/>
          <w:szCs w:val="20"/>
        </w:rPr>
      </w:pPr>
      <w:r w:rsidRPr="00CE7D3B">
        <w:rPr>
          <w:rFonts w:ascii="Times New Roman" w:hAnsi="Times New Roman"/>
          <w:sz w:val="20"/>
          <w:szCs w:val="20"/>
        </w:rPr>
        <w:t>Complexometric titration using ethylenediaminetetraacetic acid (EDTA) and oxidation-reduction (redox) titration with potassium permanganate (KMnO</w:t>
      </w:r>
      <w:r w:rsidRPr="00CE7D3B">
        <w:rPr>
          <w:rFonts w:ascii="Times New Roman" w:hAnsi="Times New Roman"/>
          <w:sz w:val="20"/>
          <w:szCs w:val="20"/>
          <w:vertAlign w:val="subscript"/>
        </w:rPr>
        <w:t>4</w:t>
      </w:r>
      <w:r w:rsidRPr="00CE7D3B">
        <w:rPr>
          <w:rFonts w:ascii="Times New Roman" w:hAnsi="Times New Roman"/>
          <w:sz w:val="20"/>
          <w:szCs w:val="20"/>
        </w:rPr>
        <w:t>) were the techniques utilized to quantify the amount of calcium in the historic mortar samples from Misamis Oriental and Metro Manila. The accuracy of these methods was confirmed using atomic absorption spectroscopy (AAS). Statistical analysis (</w:t>
      </w:r>
      <w:r w:rsidRPr="00CE7D3B">
        <w:rPr>
          <w:rFonts w:ascii="Times New Roman" w:hAnsi="Times New Roman"/>
          <w:i/>
          <w:sz w:val="20"/>
          <w:szCs w:val="20"/>
        </w:rPr>
        <w:t>t</w:t>
      </w:r>
      <w:r w:rsidRPr="00CE7D3B">
        <w:rPr>
          <w:rFonts w:ascii="Times New Roman" w:hAnsi="Times New Roman"/>
          <w:sz w:val="20"/>
          <w:szCs w:val="20"/>
        </w:rPr>
        <w:t xml:space="preserve">-test and </w:t>
      </w:r>
      <w:r w:rsidRPr="00CE7D3B">
        <w:rPr>
          <w:rFonts w:ascii="Times New Roman" w:hAnsi="Times New Roman"/>
          <w:i/>
          <w:sz w:val="20"/>
          <w:szCs w:val="20"/>
        </w:rPr>
        <w:t>F</w:t>
      </w:r>
      <w:r w:rsidRPr="00CE7D3B">
        <w:rPr>
          <w:rFonts w:ascii="Times New Roman" w:hAnsi="Times New Roman"/>
          <w:sz w:val="20"/>
          <w:szCs w:val="20"/>
        </w:rPr>
        <w:t>-test) was also employed to determine if both titration methods yield comparable results. EDTA can be completely deprotonated to the anion, EDTA</w:t>
      </w:r>
      <w:r w:rsidRPr="00CE7D3B">
        <w:rPr>
          <w:rFonts w:ascii="Times New Roman" w:hAnsi="Times New Roman"/>
          <w:sz w:val="20"/>
          <w:szCs w:val="20"/>
          <w:vertAlign w:val="superscript"/>
        </w:rPr>
        <w:t>4-</w:t>
      </w:r>
      <w:r w:rsidRPr="00CE7D3B">
        <w:rPr>
          <w:rFonts w:ascii="Times New Roman" w:hAnsi="Times New Roman"/>
          <w:sz w:val="20"/>
          <w:szCs w:val="20"/>
        </w:rPr>
        <w:t xml:space="preserve"> in basic solution, to form a 1:1 complex with the calcium ions present in the lime mortar sample as shown in equation (1). Since EDTA is a stronger complexing agent than the indicator, Eriochrome black T (EBT), it will displace the calcium-EBT complex forcing the indicator to return to its original form (blue color) marking the endpoint of the titration.</w:t>
      </w:r>
    </w:p>
    <w:p w:rsidR="00CE7D3B" w:rsidRPr="00CE7D3B" w:rsidRDefault="00CE7D3B" w:rsidP="00CE7D3B">
      <w:pPr>
        <w:spacing w:after="0" w:line="240" w:lineRule="auto"/>
        <w:jc w:val="both"/>
        <w:rPr>
          <w:rFonts w:ascii="Times New Roman" w:hAnsi="Times New Roman"/>
          <w:sz w:val="20"/>
          <w:szCs w:val="20"/>
        </w:rPr>
      </w:pPr>
    </w:p>
    <w:p w:rsidR="00CE7D3B" w:rsidRPr="00CE7D3B" w:rsidRDefault="00CE7D3B" w:rsidP="00CE7D3B">
      <w:pPr>
        <w:spacing w:after="0" w:line="240" w:lineRule="auto"/>
        <w:jc w:val="both"/>
        <w:rPr>
          <w:rFonts w:ascii="Times New Roman" w:hAnsi="Times New Roman"/>
          <w:sz w:val="20"/>
          <w:szCs w:val="20"/>
          <w:vertAlign w:val="subscript"/>
          <w:lang w:val="es-ES"/>
        </w:rPr>
      </w:pPr>
      <w:r w:rsidRPr="00CE7D3B">
        <w:rPr>
          <w:rFonts w:ascii="Times New Roman" w:hAnsi="Times New Roman"/>
          <w:sz w:val="20"/>
          <w:szCs w:val="20"/>
          <w:lang w:val="es-ES"/>
        </w:rPr>
        <w:tab/>
        <w:t>CaCO</w:t>
      </w:r>
      <w:r w:rsidRPr="00CE7D3B">
        <w:rPr>
          <w:rFonts w:ascii="Times New Roman" w:hAnsi="Times New Roman"/>
          <w:sz w:val="20"/>
          <w:szCs w:val="20"/>
          <w:vertAlign w:val="subscript"/>
          <w:lang w:val="es-ES"/>
        </w:rPr>
        <w:t>3</w:t>
      </w:r>
      <w:r w:rsidRPr="00CE7D3B">
        <w:rPr>
          <w:rFonts w:ascii="Times New Roman" w:hAnsi="Times New Roman"/>
          <w:sz w:val="20"/>
          <w:szCs w:val="20"/>
          <w:lang w:val="es-ES"/>
        </w:rPr>
        <w:t xml:space="preserve"> + EDTA</w:t>
      </w:r>
      <w:r w:rsidRPr="00CE7D3B">
        <w:rPr>
          <w:rFonts w:ascii="Times New Roman" w:hAnsi="Times New Roman"/>
          <w:sz w:val="20"/>
          <w:szCs w:val="20"/>
          <w:vertAlign w:val="superscript"/>
          <w:lang w:val="es-ES"/>
        </w:rPr>
        <w:t>4-</w:t>
      </w:r>
      <w:r w:rsidRPr="00CE7D3B">
        <w:rPr>
          <w:rFonts w:ascii="Times New Roman" w:hAnsi="Times New Roman"/>
          <w:sz w:val="20"/>
          <w:szCs w:val="20"/>
          <w:vertAlign w:val="subscript"/>
          <w:lang w:val="es-ES"/>
        </w:rPr>
        <w:t>(aq)</w:t>
      </w:r>
      <w:r w:rsidRPr="00CE7D3B">
        <w:rPr>
          <w:rFonts w:ascii="Times New Roman" w:hAnsi="Times New Roman"/>
          <w:sz w:val="20"/>
          <w:szCs w:val="20"/>
          <w:lang w:val="es-ES"/>
        </w:rPr>
        <w:t xml:space="preserve"> </w:t>
      </w:r>
      <w:r w:rsidRPr="00CE7D3B">
        <w:rPr>
          <w:rFonts w:ascii="Times New Roman" w:hAnsi="Times New Roman"/>
          <w:sz w:val="20"/>
          <w:szCs w:val="20"/>
        </w:rPr>
        <w:sym w:font="Wingdings" w:char="F0E0"/>
      </w:r>
      <w:r w:rsidRPr="00CE7D3B">
        <w:rPr>
          <w:rFonts w:ascii="Times New Roman" w:hAnsi="Times New Roman"/>
          <w:sz w:val="20"/>
          <w:szCs w:val="20"/>
          <w:lang w:val="es-ES"/>
        </w:rPr>
        <w:t xml:space="preserve"> Ca(EDTA)</w:t>
      </w:r>
      <w:r w:rsidRPr="00CE7D3B">
        <w:rPr>
          <w:rFonts w:ascii="Times New Roman" w:hAnsi="Times New Roman"/>
          <w:sz w:val="20"/>
          <w:szCs w:val="20"/>
          <w:vertAlign w:val="superscript"/>
          <w:lang w:val="es-ES"/>
        </w:rPr>
        <w:t>2-</w:t>
      </w:r>
      <w:r w:rsidRPr="00CE7D3B">
        <w:rPr>
          <w:rFonts w:ascii="Times New Roman" w:hAnsi="Times New Roman"/>
          <w:sz w:val="20"/>
          <w:szCs w:val="20"/>
          <w:vertAlign w:val="subscript"/>
          <w:lang w:val="es-ES"/>
        </w:rPr>
        <w:t>(aq)</w:t>
      </w:r>
      <w:r w:rsidRPr="00CE7D3B">
        <w:rPr>
          <w:rFonts w:ascii="Times New Roman" w:hAnsi="Times New Roman"/>
          <w:sz w:val="20"/>
          <w:szCs w:val="20"/>
          <w:lang w:val="es-ES"/>
        </w:rPr>
        <w:t xml:space="preserve"> + CO</w:t>
      </w:r>
      <w:r w:rsidRPr="00CE7D3B">
        <w:rPr>
          <w:rFonts w:ascii="Times New Roman" w:hAnsi="Times New Roman"/>
          <w:sz w:val="20"/>
          <w:szCs w:val="20"/>
          <w:vertAlign w:val="subscript"/>
          <w:lang w:val="es-ES"/>
        </w:rPr>
        <w:t>3</w:t>
      </w:r>
      <w:r w:rsidRPr="00CE7D3B">
        <w:rPr>
          <w:rFonts w:ascii="Times New Roman" w:hAnsi="Times New Roman"/>
          <w:sz w:val="20"/>
          <w:szCs w:val="20"/>
          <w:vertAlign w:val="superscript"/>
          <w:lang w:val="es-ES"/>
        </w:rPr>
        <w:t>2-</w:t>
      </w:r>
      <w:r w:rsidRPr="00CE7D3B">
        <w:rPr>
          <w:rFonts w:ascii="Times New Roman" w:hAnsi="Times New Roman"/>
          <w:sz w:val="20"/>
          <w:szCs w:val="20"/>
          <w:vertAlign w:val="subscript"/>
          <w:lang w:val="es-ES"/>
        </w:rPr>
        <w:t xml:space="preserve">(aq) </w:t>
      </w:r>
      <w:r w:rsidRPr="00CE7D3B">
        <w:rPr>
          <w:rFonts w:ascii="Times New Roman" w:hAnsi="Times New Roman"/>
          <w:sz w:val="20"/>
          <w:szCs w:val="20"/>
          <w:lang w:val="es-ES"/>
        </w:rPr>
        <w:t xml:space="preserve"> </w:t>
      </w:r>
      <w:r w:rsidRPr="00CE7D3B">
        <w:rPr>
          <w:rFonts w:ascii="Times New Roman" w:hAnsi="Times New Roman"/>
          <w:sz w:val="20"/>
          <w:szCs w:val="20"/>
          <w:lang w:val="es-ES"/>
        </w:rPr>
        <w:tab/>
      </w:r>
      <w:r w:rsidRPr="00CE7D3B">
        <w:rPr>
          <w:rFonts w:ascii="Times New Roman" w:hAnsi="Times New Roman"/>
          <w:sz w:val="20"/>
          <w:szCs w:val="20"/>
          <w:lang w:val="es-ES"/>
        </w:rPr>
        <w:tab/>
      </w:r>
      <w:r w:rsidRPr="00CE7D3B">
        <w:rPr>
          <w:rFonts w:ascii="Times New Roman" w:hAnsi="Times New Roman"/>
          <w:sz w:val="20"/>
          <w:szCs w:val="20"/>
          <w:lang w:val="es-ES"/>
        </w:rPr>
        <w:tab/>
      </w:r>
      <w:r w:rsidRPr="00CE7D3B">
        <w:rPr>
          <w:rFonts w:ascii="Times New Roman" w:hAnsi="Times New Roman"/>
          <w:sz w:val="20"/>
          <w:szCs w:val="20"/>
          <w:lang w:val="es-ES"/>
        </w:rPr>
        <w:tab/>
      </w:r>
      <w:r w:rsidRPr="00CE7D3B">
        <w:rPr>
          <w:rFonts w:ascii="Times New Roman" w:hAnsi="Times New Roman"/>
          <w:sz w:val="20"/>
          <w:szCs w:val="20"/>
          <w:lang w:val="es-ES"/>
        </w:rPr>
        <w:tab/>
      </w:r>
      <w:r w:rsidRPr="00CE7D3B">
        <w:rPr>
          <w:rFonts w:ascii="Times New Roman" w:hAnsi="Times New Roman"/>
          <w:sz w:val="20"/>
          <w:szCs w:val="20"/>
          <w:lang w:val="es-ES"/>
        </w:rPr>
        <w:tab/>
        <w:t xml:space="preserve">   </w:t>
      </w:r>
      <w:r>
        <w:rPr>
          <w:rFonts w:ascii="Times New Roman" w:hAnsi="Times New Roman"/>
          <w:sz w:val="20"/>
          <w:szCs w:val="20"/>
          <w:lang w:val="es-ES"/>
        </w:rPr>
        <w:t xml:space="preserve">      </w:t>
      </w:r>
      <w:r w:rsidRPr="00CE7D3B">
        <w:rPr>
          <w:rFonts w:ascii="Times New Roman" w:hAnsi="Times New Roman"/>
          <w:sz w:val="20"/>
          <w:szCs w:val="20"/>
          <w:lang w:val="es-ES"/>
        </w:rPr>
        <w:t>(1)</w:t>
      </w:r>
    </w:p>
    <w:p w:rsidR="00CE7D3B" w:rsidRPr="00CE7D3B" w:rsidRDefault="00CE7D3B" w:rsidP="00CE7D3B">
      <w:pPr>
        <w:spacing w:after="0" w:line="240" w:lineRule="auto"/>
        <w:jc w:val="both"/>
        <w:rPr>
          <w:rFonts w:ascii="Times New Roman" w:hAnsi="Times New Roman"/>
          <w:sz w:val="20"/>
          <w:szCs w:val="20"/>
          <w:lang w:val="es-ES"/>
        </w:rPr>
      </w:pPr>
    </w:p>
    <w:p w:rsidR="00CE7D3B" w:rsidRPr="00CE7D3B" w:rsidRDefault="00CE7D3B" w:rsidP="00CE7D3B">
      <w:pPr>
        <w:spacing w:after="0" w:line="240" w:lineRule="auto"/>
        <w:jc w:val="both"/>
        <w:rPr>
          <w:rFonts w:ascii="Times New Roman" w:hAnsi="Times New Roman"/>
          <w:sz w:val="20"/>
          <w:szCs w:val="20"/>
        </w:rPr>
      </w:pPr>
      <w:r w:rsidRPr="00CE7D3B">
        <w:rPr>
          <w:rFonts w:ascii="Times New Roman" w:hAnsi="Times New Roman"/>
          <w:sz w:val="20"/>
          <w:szCs w:val="20"/>
        </w:rPr>
        <w:t>The redox reaction between oxalic acid and KMnO</w:t>
      </w:r>
      <w:r w:rsidRPr="00CE7D3B">
        <w:rPr>
          <w:rFonts w:ascii="Times New Roman" w:hAnsi="Times New Roman"/>
          <w:sz w:val="20"/>
          <w:szCs w:val="20"/>
          <w:vertAlign w:val="subscript"/>
        </w:rPr>
        <w:t>4</w:t>
      </w:r>
      <w:r w:rsidRPr="00CE7D3B">
        <w:rPr>
          <w:rFonts w:ascii="Times New Roman" w:hAnsi="Times New Roman"/>
          <w:sz w:val="20"/>
          <w:szCs w:val="20"/>
        </w:rPr>
        <w:t xml:space="preserve"> is another method to detect the amount of calcium in old mortar samples. Calcium was precipitated with oxalate ion and dissolved in dilute acid as represented by equation (2). The liberated oxalic acid was titrated with KMnO</w:t>
      </w:r>
      <w:r w:rsidRPr="00CE7D3B">
        <w:rPr>
          <w:rFonts w:ascii="Times New Roman" w:hAnsi="Times New Roman"/>
          <w:sz w:val="20"/>
          <w:szCs w:val="20"/>
          <w:vertAlign w:val="subscript"/>
        </w:rPr>
        <w:t xml:space="preserve">4 </w:t>
      </w:r>
      <w:r w:rsidRPr="00CE7D3B">
        <w:rPr>
          <w:rFonts w:ascii="Times New Roman" w:hAnsi="Times New Roman"/>
          <w:sz w:val="20"/>
          <w:szCs w:val="20"/>
        </w:rPr>
        <w:t>as shown in equation (3), which is a strong oxidizing agent. Due to the intense color of the permanganate ion, it is already sufficient in detecting the endpoint of the titration. The permanganate ion which forms a Mn</w:t>
      </w:r>
      <w:r w:rsidRPr="00CE7D3B">
        <w:rPr>
          <w:rFonts w:ascii="Times New Roman" w:hAnsi="Times New Roman"/>
          <w:sz w:val="20"/>
          <w:szCs w:val="20"/>
          <w:vertAlign w:val="superscript"/>
        </w:rPr>
        <w:t xml:space="preserve">+7 </w:t>
      </w:r>
      <w:r w:rsidRPr="00CE7D3B">
        <w:rPr>
          <w:rFonts w:ascii="Times New Roman" w:hAnsi="Times New Roman"/>
          <w:sz w:val="20"/>
          <w:szCs w:val="20"/>
        </w:rPr>
        <w:t>oxidation state was reduced to manganese ion with an oxidation state of Mn</w:t>
      </w:r>
      <w:r w:rsidRPr="00CE7D3B">
        <w:rPr>
          <w:rFonts w:ascii="Times New Roman" w:hAnsi="Times New Roman"/>
          <w:sz w:val="20"/>
          <w:szCs w:val="20"/>
          <w:vertAlign w:val="superscript"/>
        </w:rPr>
        <w:t>+2</w:t>
      </w:r>
      <w:r w:rsidRPr="00CE7D3B">
        <w:rPr>
          <w:rFonts w:ascii="Times New Roman" w:hAnsi="Times New Roman"/>
          <w:sz w:val="20"/>
          <w:szCs w:val="20"/>
        </w:rPr>
        <w:t xml:space="preserve"> while carbon was oxidized from C</w:t>
      </w:r>
      <w:r w:rsidRPr="00CE7D3B">
        <w:rPr>
          <w:rFonts w:ascii="Times New Roman" w:hAnsi="Times New Roman"/>
          <w:sz w:val="20"/>
          <w:szCs w:val="20"/>
          <w:vertAlign w:val="superscript"/>
        </w:rPr>
        <w:t>+3</w:t>
      </w:r>
      <w:r w:rsidRPr="00CE7D3B">
        <w:rPr>
          <w:rFonts w:ascii="Times New Roman" w:hAnsi="Times New Roman"/>
          <w:sz w:val="20"/>
          <w:szCs w:val="20"/>
        </w:rPr>
        <w:t xml:space="preserve"> to a C</w:t>
      </w:r>
      <w:r w:rsidRPr="00CE7D3B">
        <w:rPr>
          <w:rFonts w:ascii="Times New Roman" w:hAnsi="Times New Roman"/>
          <w:sz w:val="20"/>
          <w:szCs w:val="20"/>
          <w:vertAlign w:val="superscript"/>
        </w:rPr>
        <w:t>+4</w:t>
      </w:r>
      <w:r w:rsidRPr="00CE7D3B">
        <w:rPr>
          <w:rFonts w:ascii="Times New Roman" w:hAnsi="Times New Roman"/>
          <w:sz w:val="20"/>
          <w:szCs w:val="20"/>
        </w:rPr>
        <w:t xml:space="preserve"> oxidation states. </w:t>
      </w:r>
    </w:p>
    <w:p w:rsidR="00CE7D3B" w:rsidRPr="00CE7D3B" w:rsidRDefault="00CE7D3B" w:rsidP="00CE7D3B">
      <w:pPr>
        <w:spacing w:after="0" w:line="240" w:lineRule="auto"/>
        <w:jc w:val="both"/>
        <w:rPr>
          <w:rFonts w:ascii="Times New Roman" w:hAnsi="Times New Roman"/>
          <w:sz w:val="20"/>
          <w:szCs w:val="20"/>
        </w:rPr>
      </w:pPr>
    </w:p>
    <w:p w:rsidR="00CE7D3B" w:rsidRPr="00CE7D3B" w:rsidRDefault="00CE7D3B" w:rsidP="00CE7D3B">
      <w:pPr>
        <w:pStyle w:val="ListParagraph"/>
        <w:tabs>
          <w:tab w:val="left" w:pos="0"/>
        </w:tabs>
        <w:spacing w:after="0" w:line="240" w:lineRule="auto"/>
        <w:ind w:left="0"/>
        <w:jc w:val="both"/>
        <w:rPr>
          <w:rFonts w:ascii="Times New Roman" w:hAnsi="Times New Roman"/>
          <w:sz w:val="20"/>
          <w:szCs w:val="20"/>
          <w:vertAlign w:val="subscript"/>
          <w:lang w:val="es-ES"/>
        </w:rPr>
      </w:pPr>
      <w:r w:rsidRPr="00CE7D3B">
        <w:rPr>
          <w:rFonts w:ascii="Times New Roman" w:hAnsi="Times New Roman"/>
          <w:sz w:val="20"/>
          <w:szCs w:val="20"/>
          <w:lang w:val="es-ES"/>
        </w:rPr>
        <w:tab/>
        <w:t>CaC</w:t>
      </w:r>
      <w:r w:rsidRPr="00CE7D3B">
        <w:rPr>
          <w:rFonts w:ascii="Times New Roman" w:hAnsi="Times New Roman"/>
          <w:sz w:val="20"/>
          <w:szCs w:val="20"/>
          <w:vertAlign w:val="subscript"/>
          <w:lang w:val="es-ES"/>
        </w:rPr>
        <w:t>2</w:t>
      </w:r>
      <w:r w:rsidRPr="00CE7D3B">
        <w:rPr>
          <w:rFonts w:ascii="Times New Roman" w:hAnsi="Times New Roman"/>
          <w:sz w:val="20"/>
          <w:szCs w:val="20"/>
          <w:lang w:val="es-ES"/>
        </w:rPr>
        <w:t>O</w:t>
      </w:r>
      <w:r w:rsidRPr="00CE7D3B">
        <w:rPr>
          <w:rFonts w:ascii="Times New Roman" w:hAnsi="Times New Roman"/>
          <w:sz w:val="20"/>
          <w:szCs w:val="20"/>
          <w:vertAlign w:val="subscript"/>
          <w:lang w:val="es-ES"/>
        </w:rPr>
        <w:t>4(aq)</w:t>
      </w:r>
      <w:r w:rsidRPr="00CE7D3B">
        <w:rPr>
          <w:rFonts w:ascii="Times New Roman" w:hAnsi="Times New Roman"/>
          <w:sz w:val="20"/>
          <w:szCs w:val="20"/>
          <w:lang w:val="es-ES"/>
        </w:rPr>
        <w:t xml:space="preserve"> + 2H</w:t>
      </w:r>
      <w:r w:rsidRPr="00CE7D3B">
        <w:rPr>
          <w:rFonts w:ascii="Times New Roman" w:hAnsi="Times New Roman"/>
          <w:sz w:val="20"/>
          <w:szCs w:val="20"/>
          <w:vertAlign w:val="superscript"/>
          <w:lang w:val="es-ES"/>
        </w:rPr>
        <w:t>+</w:t>
      </w:r>
      <w:r w:rsidRPr="00CE7D3B">
        <w:rPr>
          <w:rFonts w:ascii="Times New Roman" w:hAnsi="Times New Roman"/>
          <w:sz w:val="20"/>
          <w:szCs w:val="20"/>
          <w:vertAlign w:val="subscript"/>
          <w:lang w:val="es-ES"/>
        </w:rPr>
        <w:t>(aq)</w:t>
      </w:r>
      <w:r w:rsidRPr="00CE7D3B">
        <w:rPr>
          <w:rFonts w:ascii="Times New Roman" w:hAnsi="Times New Roman"/>
          <w:sz w:val="20"/>
          <w:szCs w:val="20"/>
          <w:lang w:val="es-ES"/>
        </w:rPr>
        <w:t xml:space="preserve"> </w:t>
      </w:r>
      <w:r w:rsidRPr="00CE7D3B">
        <w:rPr>
          <w:rFonts w:ascii="Times New Roman" w:hAnsi="Times New Roman"/>
          <w:sz w:val="20"/>
          <w:szCs w:val="20"/>
        </w:rPr>
        <w:sym w:font="Wingdings" w:char="F0E0"/>
      </w:r>
      <w:r w:rsidRPr="00CE7D3B">
        <w:rPr>
          <w:rFonts w:ascii="Times New Roman" w:hAnsi="Times New Roman"/>
          <w:sz w:val="20"/>
          <w:szCs w:val="20"/>
          <w:lang w:val="es-ES"/>
        </w:rPr>
        <w:t xml:space="preserve"> Ca</w:t>
      </w:r>
      <w:r w:rsidRPr="00CE7D3B">
        <w:rPr>
          <w:rFonts w:ascii="Times New Roman" w:hAnsi="Times New Roman"/>
          <w:sz w:val="20"/>
          <w:szCs w:val="20"/>
          <w:vertAlign w:val="superscript"/>
          <w:lang w:val="es-ES"/>
        </w:rPr>
        <w:t>2+</w:t>
      </w:r>
      <w:r w:rsidRPr="00CE7D3B">
        <w:rPr>
          <w:rFonts w:ascii="Times New Roman" w:hAnsi="Times New Roman"/>
          <w:sz w:val="20"/>
          <w:szCs w:val="20"/>
          <w:vertAlign w:val="subscript"/>
          <w:lang w:val="es-ES"/>
        </w:rPr>
        <w:t>(aq)</w:t>
      </w:r>
      <w:r w:rsidRPr="00CE7D3B">
        <w:rPr>
          <w:rFonts w:ascii="Times New Roman" w:hAnsi="Times New Roman"/>
          <w:sz w:val="20"/>
          <w:szCs w:val="20"/>
          <w:lang w:val="es-ES"/>
        </w:rPr>
        <w:t xml:space="preserve"> + H</w:t>
      </w:r>
      <w:r w:rsidRPr="00CE7D3B">
        <w:rPr>
          <w:rFonts w:ascii="Times New Roman" w:hAnsi="Times New Roman"/>
          <w:sz w:val="20"/>
          <w:szCs w:val="20"/>
          <w:vertAlign w:val="subscript"/>
          <w:lang w:val="es-ES"/>
        </w:rPr>
        <w:t>2</w:t>
      </w:r>
      <w:r w:rsidRPr="00CE7D3B">
        <w:rPr>
          <w:rFonts w:ascii="Times New Roman" w:hAnsi="Times New Roman"/>
          <w:sz w:val="20"/>
          <w:szCs w:val="20"/>
          <w:lang w:val="es-ES"/>
        </w:rPr>
        <w:t>C</w:t>
      </w:r>
      <w:r w:rsidRPr="00CE7D3B">
        <w:rPr>
          <w:rFonts w:ascii="Times New Roman" w:hAnsi="Times New Roman"/>
          <w:sz w:val="20"/>
          <w:szCs w:val="20"/>
          <w:vertAlign w:val="subscript"/>
          <w:lang w:val="es-ES"/>
        </w:rPr>
        <w:t>2</w:t>
      </w:r>
      <w:r w:rsidRPr="00CE7D3B">
        <w:rPr>
          <w:rFonts w:ascii="Times New Roman" w:hAnsi="Times New Roman"/>
          <w:sz w:val="20"/>
          <w:szCs w:val="20"/>
          <w:lang w:val="es-ES"/>
        </w:rPr>
        <w:t>O</w:t>
      </w:r>
      <w:r w:rsidRPr="00CE7D3B">
        <w:rPr>
          <w:rFonts w:ascii="Times New Roman" w:hAnsi="Times New Roman"/>
          <w:sz w:val="20"/>
          <w:szCs w:val="20"/>
          <w:vertAlign w:val="subscript"/>
          <w:lang w:val="es-ES"/>
        </w:rPr>
        <w:t xml:space="preserve">4(aq) </w:t>
      </w:r>
      <w:r w:rsidRPr="00CE7D3B">
        <w:rPr>
          <w:rFonts w:ascii="Times New Roman" w:hAnsi="Times New Roman"/>
          <w:sz w:val="20"/>
          <w:szCs w:val="20"/>
          <w:lang w:val="es-ES"/>
        </w:rPr>
        <w:t xml:space="preserve"> </w:t>
      </w:r>
      <w:r w:rsidRPr="00CE7D3B">
        <w:rPr>
          <w:rFonts w:ascii="Times New Roman" w:hAnsi="Times New Roman"/>
          <w:sz w:val="20"/>
          <w:szCs w:val="20"/>
          <w:lang w:val="es-ES"/>
        </w:rPr>
        <w:tab/>
      </w:r>
      <w:r w:rsidRPr="00CE7D3B">
        <w:rPr>
          <w:rFonts w:ascii="Times New Roman" w:hAnsi="Times New Roman"/>
          <w:sz w:val="20"/>
          <w:szCs w:val="20"/>
          <w:lang w:val="es-ES"/>
        </w:rPr>
        <w:tab/>
      </w:r>
      <w:r w:rsidRPr="00CE7D3B">
        <w:rPr>
          <w:rFonts w:ascii="Times New Roman" w:hAnsi="Times New Roman"/>
          <w:sz w:val="20"/>
          <w:szCs w:val="20"/>
          <w:lang w:val="es-ES"/>
        </w:rPr>
        <w:tab/>
      </w:r>
      <w:r w:rsidRPr="00CE7D3B">
        <w:rPr>
          <w:rFonts w:ascii="Times New Roman" w:hAnsi="Times New Roman"/>
          <w:sz w:val="20"/>
          <w:szCs w:val="20"/>
          <w:lang w:val="es-ES"/>
        </w:rPr>
        <w:tab/>
      </w:r>
      <w:r w:rsidRPr="00CE7D3B">
        <w:rPr>
          <w:rFonts w:ascii="Times New Roman" w:hAnsi="Times New Roman"/>
          <w:sz w:val="20"/>
          <w:szCs w:val="20"/>
          <w:lang w:val="es-ES"/>
        </w:rPr>
        <w:tab/>
      </w:r>
      <w:r w:rsidRPr="00CE7D3B">
        <w:rPr>
          <w:rFonts w:ascii="Times New Roman" w:hAnsi="Times New Roman"/>
          <w:sz w:val="20"/>
          <w:szCs w:val="20"/>
          <w:lang w:val="es-ES"/>
        </w:rPr>
        <w:tab/>
      </w:r>
      <w:r w:rsidRPr="00CE7D3B">
        <w:rPr>
          <w:rFonts w:ascii="Times New Roman" w:hAnsi="Times New Roman"/>
          <w:sz w:val="20"/>
          <w:szCs w:val="20"/>
          <w:lang w:val="es-ES"/>
        </w:rPr>
        <w:tab/>
        <w:t xml:space="preserve">   </w:t>
      </w:r>
      <w:r>
        <w:rPr>
          <w:rFonts w:ascii="Times New Roman" w:hAnsi="Times New Roman"/>
          <w:sz w:val="20"/>
          <w:szCs w:val="20"/>
          <w:lang w:val="es-ES"/>
        </w:rPr>
        <w:t xml:space="preserve">      </w:t>
      </w:r>
      <w:r w:rsidRPr="00CE7D3B">
        <w:rPr>
          <w:rFonts w:ascii="Times New Roman" w:hAnsi="Times New Roman"/>
          <w:sz w:val="20"/>
          <w:szCs w:val="20"/>
          <w:lang w:val="es-ES"/>
        </w:rPr>
        <w:t>(2)</w:t>
      </w:r>
    </w:p>
    <w:p w:rsidR="00CE7D3B" w:rsidRPr="00CE7D3B" w:rsidRDefault="00CE7D3B" w:rsidP="00CE7D3B">
      <w:pPr>
        <w:pStyle w:val="ListParagraph"/>
        <w:tabs>
          <w:tab w:val="left" w:pos="0"/>
        </w:tabs>
        <w:spacing w:after="0" w:line="240" w:lineRule="auto"/>
        <w:ind w:left="0"/>
        <w:jc w:val="both"/>
        <w:rPr>
          <w:rFonts w:ascii="Times New Roman" w:hAnsi="Times New Roman"/>
          <w:sz w:val="20"/>
          <w:szCs w:val="20"/>
          <w:vertAlign w:val="subscript"/>
          <w:lang w:val="es-ES"/>
        </w:rPr>
      </w:pPr>
      <w:r w:rsidRPr="00CE7D3B">
        <w:rPr>
          <w:rFonts w:ascii="Times New Roman" w:hAnsi="Times New Roman"/>
          <w:sz w:val="20"/>
          <w:szCs w:val="20"/>
          <w:lang w:val="es-ES"/>
        </w:rPr>
        <w:tab/>
        <w:t>5H</w:t>
      </w:r>
      <w:r w:rsidRPr="00CE7D3B">
        <w:rPr>
          <w:rFonts w:ascii="Times New Roman" w:hAnsi="Times New Roman"/>
          <w:sz w:val="20"/>
          <w:szCs w:val="20"/>
          <w:vertAlign w:val="subscript"/>
          <w:lang w:val="es-ES"/>
        </w:rPr>
        <w:t>2</w:t>
      </w:r>
      <w:r w:rsidRPr="00CE7D3B">
        <w:rPr>
          <w:rFonts w:ascii="Times New Roman" w:hAnsi="Times New Roman"/>
          <w:sz w:val="20"/>
          <w:szCs w:val="20"/>
          <w:lang w:val="es-ES"/>
        </w:rPr>
        <w:t>C</w:t>
      </w:r>
      <w:r w:rsidRPr="00CE7D3B">
        <w:rPr>
          <w:rFonts w:ascii="Times New Roman" w:hAnsi="Times New Roman"/>
          <w:sz w:val="20"/>
          <w:szCs w:val="20"/>
          <w:vertAlign w:val="subscript"/>
          <w:lang w:val="es-ES"/>
        </w:rPr>
        <w:t>2</w:t>
      </w:r>
      <w:r w:rsidRPr="00CE7D3B">
        <w:rPr>
          <w:rFonts w:ascii="Times New Roman" w:hAnsi="Times New Roman"/>
          <w:sz w:val="20"/>
          <w:szCs w:val="20"/>
          <w:lang w:val="es-ES"/>
        </w:rPr>
        <w:t>O</w:t>
      </w:r>
      <w:r w:rsidRPr="00CE7D3B">
        <w:rPr>
          <w:rFonts w:ascii="Times New Roman" w:hAnsi="Times New Roman"/>
          <w:sz w:val="20"/>
          <w:szCs w:val="20"/>
          <w:vertAlign w:val="subscript"/>
          <w:lang w:val="es-ES"/>
        </w:rPr>
        <w:t xml:space="preserve">4(aq) </w:t>
      </w:r>
      <w:r w:rsidRPr="00CE7D3B">
        <w:rPr>
          <w:rFonts w:ascii="Times New Roman" w:hAnsi="Times New Roman"/>
          <w:sz w:val="20"/>
          <w:szCs w:val="20"/>
          <w:lang w:val="es-ES"/>
        </w:rPr>
        <w:t>+ 2MnO</w:t>
      </w:r>
      <w:r w:rsidRPr="00CE7D3B">
        <w:rPr>
          <w:rFonts w:ascii="Times New Roman" w:hAnsi="Times New Roman"/>
          <w:sz w:val="20"/>
          <w:szCs w:val="20"/>
          <w:vertAlign w:val="subscript"/>
          <w:lang w:val="es-ES"/>
        </w:rPr>
        <w:t>4</w:t>
      </w:r>
      <w:r w:rsidRPr="00CE7D3B">
        <w:rPr>
          <w:rFonts w:ascii="Times New Roman" w:hAnsi="Times New Roman"/>
          <w:sz w:val="20"/>
          <w:szCs w:val="20"/>
          <w:vertAlign w:val="superscript"/>
          <w:lang w:val="es-ES"/>
        </w:rPr>
        <w:t>-</w:t>
      </w:r>
      <w:r w:rsidRPr="00CE7D3B">
        <w:rPr>
          <w:rFonts w:ascii="Times New Roman" w:hAnsi="Times New Roman"/>
          <w:sz w:val="20"/>
          <w:szCs w:val="20"/>
          <w:vertAlign w:val="subscript"/>
          <w:lang w:val="es-ES"/>
        </w:rPr>
        <w:t>(aq)</w:t>
      </w:r>
      <w:r w:rsidRPr="00CE7D3B">
        <w:rPr>
          <w:rFonts w:ascii="Times New Roman" w:hAnsi="Times New Roman"/>
          <w:sz w:val="20"/>
          <w:szCs w:val="20"/>
          <w:vertAlign w:val="superscript"/>
          <w:lang w:val="es-ES"/>
        </w:rPr>
        <w:t xml:space="preserve"> </w:t>
      </w:r>
      <w:r w:rsidRPr="00CE7D3B">
        <w:rPr>
          <w:rFonts w:ascii="Times New Roman" w:hAnsi="Times New Roman"/>
          <w:sz w:val="20"/>
          <w:szCs w:val="20"/>
          <w:lang w:val="es-ES"/>
        </w:rPr>
        <w:t>+ 6H</w:t>
      </w:r>
      <w:r w:rsidRPr="00CE7D3B">
        <w:rPr>
          <w:rFonts w:ascii="Times New Roman" w:hAnsi="Times New Roman"/>
          <w:sz w:val="20"/>
          <w:szCs w:val="20"/>
          <w:vertAlign w:val="superscript"/>
          <w:lang w:val="es-ES"/>
        </w:rPr>
        <w:t>+</w:t>
      </w:r>
      <w:r w:rsidRPr="00CE7D3B">
        <w:rPr>
          <w:rFonts w:ascii="Times New Roman" w:hAnsi="Times New Roman"/>
          <w:sz w:val="20"/>
          <w:szCs w:val="20"/>
          <w:vertAlign w:val="subscript"/>
          <w:lang w:val="es-ES"/>
        </w:rPr>
        <w:t>(aq)</w:t>
      </w:r>
      <w:r w:rsidRPr="00CE7D3B">
        <w:rPr>
          <w:rFonts w:ascii="Times New Roman" w:hAnsi="Times New Roman"/>
          <w:sz w:val="20"/>
          <w:szCs w:val="20"/>
          <w:lang w:val="es-ES"/>
        </w:rPr>
        <w:t xml:space="preserve"> </w:t>
      </w:r>
      <w:r w:rsidRPr="00CE7D3B">
        <w:rPr>
          <w:rFonts w:ascii="Times New Roman" w:hAnsi="Times New Roman"/>
          <w:sz w:val="20"/>
          <w:szCs w:val="20"/>
        </w:rPr>
        <w:sym w:font="Wingdings" w:char="F0E0"/>
      </w:r>
      <w:r w:rsidRPr="00CE7D3B">
        <w:rPr>
          <w:rFonts w:ascii="Times New Roman" w:hAnsi="Times New Roman"/>
          <w:sz w:val="20"/>
          <w:szCs w:val="20"/>
          <w:lang w:val="es-ES"/>
        </w:rPr>
        <w:t xml:space="preserve"> 10CO</w:t>
      </w:r>
      <w:r w:rsidRPr="00CE7D3B">
        <w:rPr>
          <w:rFonts w:ascii="Times New Roman" w:hAnsi="Times New Roman"/>
          <w:sz w:val="20"/>
          <w:szCs w:val="20"/>
          <w:vertAlign w:val="subscript"/>
          <w:lang w:val="es-ES"/>
        </w:rPr>
        <w:t>2(g)</w:t>
      </w:r>
      <w:r w:rsidRPr="00CE7D3B">
        <w:rPr>
          <w:rFonts w:ascii="Times New Roman" w:hAnsi="Times New Roman"/>
          <w:sz w:val="20"/>
          <w:szCs w:val="20"/>
          <w:lang w:val="es-ES"/>
        </w:rPr>
        <w:t xml:space="preserve"> + 8H</w:t>
      </w:r>
      <w:r w:rsidRPr="00CE7D3B">
        <w:rPr>
          <w:rFonts w:ascii="Times New Roman" w:hAnsi="Times New Roman"/>
          <w:sz w:val="20"/>
          <w:szCs w:val="20"/>
          <w:vertAlign w:val="subscript"/>
          <w:lang w:val="es-ES"/>
        </w:rPr>
        <w:t>2</w:t>
      </w:r>
      <w:r w:rsidRPr="00CE7D3B">
        <w:rPr>
          <w:rFonts w:ascii="Times New Roman" w:hAnsi="Times New Roman"/>
          <w:sz w:val="20"/>
          <w:szCs w:val="20"/>
          <w:lang w:val="es-ES"/>
        </w:rPr>
        <w:t>O</w:t>
      </w:r>
      <w:r w:rsidRPr="00CE7D3B">
        <w:rPr>
          <w:rFonts w:ascii="Times New Roman" w:hAnsi="Times New Roman"/>
          <w:sz w:val="20"/>
          <w:szCs w:val="20"/>
          <w:vertAlign w:val="subscript"/>
          <w:lang w:val="es-ES"/>
        </w:rPr>
        <w:t>(l)</w:t>
      </w:r>
      <w:r w:rsidRPr="00CE7D3B">
        <w:rPr>
          <w:rFonts w:ascii="Times New Roman" w:hAnsi="Times New Roman"/>
          <w:sz w:val="20"/>
          <w:szCs w:val="20"/>
          <w:lang w:val="es-ES"/>
        </w:rPr>
        <w:t xml:space="preserve"> + 2Mn</w:t>
      </w:r>
      <w:r w:rsidRPr="00CE7D3B">
        <w:rPr>
          <w:rFonts w:ascii="Times New Roman" w:hAnsi="Times New Roman"/>
          <w:sz w:val="20"/>
          <w:szCs w:val="20"/>
          <w:vertAlign w:val="superscript"/>
          <w:lang w:val="es-ES"/>
        </w:rPr>
        <w:t>2+</w:t>
      </w:r>
      <w:r w:rsidRPr="00CE7D3B">
        <w:rPr>
          <w:rFonts w:ascii="Times New Roman" w:hAnsi="Times New Roman"/>
          <w:sz w:val="20"/>
          <w:szCs w:val="20"/>
          <w:vertAlign w:val="subscript"/>
          <w:lang w:val="es-ES"/>
        </w:rPr>
        <w:t xml:space="preserve">(aq) </w:t>
      </w:r>
      <w:r w:rsidRPr="00CE7D3B">
        <w:rPr>
          <w:rFonts w:ascii="Times New Roman" w:hAnsi="Times New Roman"/>
          <w:sz w:val="20"/>
          <w:szCs w:val="20"/>
          <w:lang w:val="es-ES"/>
        </w:rPr>
        <w:t xml:space="preserve"> </w:t>
      </w:r>
      <w:r w:rsidRPr="00CE7D3B">
        <w:rPr>
          <w:rFonts w:ascii="Times New Roman" w:hAnsi="Times New Roman"/>
          <w:sz w:val="20"/>
          <w:szCs w:val="20"/>
          <w:lang w:val="es-ES"/>
        </w:rPr>
        <w:tab/>
      </w:r>
      <w:r w:rsidRPr="00CE7D3B">
        <w:rPr>
          <w:rFonts w:ascii="Times New Roman" w:hAnsi="Times New Roman"/>
          <w:sz w:val="20"/>
          <w:szCs w:val="20"/>
          <w:lang w:val="es-ES"/>
        </w:rPr>
        <w:tab/>
      </w:r>
      <w:r w:rsidRPr="00CE7D3B">
        <w:rPr>
          <w:rFonts w:ascii="Times New Roman" w:hAnsi="Times New Roman"/>
          <w:sz w:val="20"/>
          <w:szCs w:val="20"/>
          <w:lang w:val="es-ES"/>
        </w:rPr>
        <w:tab/>
      </w:r>
      <w:r w:rsidRPr="00CE7D3B">
        <w:rPr>
          <w:rFonts w:ascii="Times New Roman" w:hAnsi="Times New Roman"/>
          <w:sz w:val="20"/>
          <w:szCs w:val="20"/>
          <w:lang w:val="es-ES"/>
        </w:rPr>
        <w:tab/>
        <w:t xml:space="preserve">  </w:t>
      </w:r>
      <w:r>
        <w:rPr>
          <w:rFonts w:ascii="Times New Roman" w:hAnsi="Times New Roman"/>
          <w:sz w:val="20"/>
          <w:szCs w:val="20"/>
          <w:lang w:val="es-ES"/>
        </w:rPr>
        <w:t xml:space="preserve">      </w:t>
      </w:r>
      <w:r w:rsidRPr="00CE7D3B">
        <w:rPr>
          <w:rFonts w:ascii="Times New Roman" w:hAnsi="Times New Roman"/>
          <w:sz w:val="20"/>
          <w:szCs w:val="20"/>
          <w:lang w:val="es-ES"/>
        </w:rPr>
        <w:t xml:space="preserve"> (3)</w:t>
      </w:r>
    </w:p>
    <w:p w:rsidR="00CE7D3B" w:rsidRPr="00CE7D3B" w:rsidRDefault="00CE7D3B" w:rsidP="00CE7D3B">
      <w:pPr>
        <w:spacing w:after="0" w:line="240" w:lineRule="auto"/>
        <w:jc w:val="both"/>
        <w:rPr>
          <w:rFonts w:ascii="Times New Roman" w:hAnsi="Times New Roman"/>
          <w:b/>
          <w:sz w:val="20"/>
          <w:szCs w:val="20"/>
          <w:lang w:val="es-ES"/>
        </w:rPr>
      </w:pPr>
    </w:p>
    <w:p w:rsidR="00CE7D3B" w:rsidRPr="00CE7D3B" w:rsidRDefault="00CE7D3B" w:rsidP="00CE7D3B">
      <w:pPr>
        <w:spacing w:after="0" w:line="240" w:lineRule="auto"/>
        <w:jc w:val="both"/>
        <w:rPr>
          <w:rFonts w:ascii="Times New Roman" w:hAnsi="Times New Roman"/>
          <w:sz w:val="20"/>
          <w:szCs w:val="20"/>
        </w:rPr>
      </w:pPr>
      <w:r w:rsidRPr="00CE7D3B">
        <w:rPr>
          <w:rFonts w:ascii="Times New Roman" w:hAnsi="Times New Roman"/>
          <w:sz w:val="20"/>
          <w:szCs w:val="20"/>
        </w:rPr>
        <w:t xml:space="preserve">Different complexometric and redox titration methods were applied for limestone [6, 7] using a variety of titrants and colored indicators, such as disodium EGTA, calcon and EBT indicators [8, 9], and </w:t>
      </w:r>
      <w:r w:rsidRPr="00CE7D3B">
        <w:rPr>
          <w:rFonts w:ascii="Times New Roman" w:hAnsi="Times New Roman"/>
          <w:color w:val="222222"/>
          <w:sz w:val="20"/>
          <w:szCs w:val="20"/>
        </w:rPr>
        <w:t>azochromotropic acid derivative indicators [10]</w:t>
      </w:r>
      <w:r w:rsidRPr="00CE7D3B">
        <w:rPr>
          <w:rFonts w:ascii="Times New Roman" w:hAnsi="Times New Roman"/>
          <w:sz w:val="20"/>
          <w:szCs w:val="20"/>
        </w:rPr>
        <w:t xml:space="preserve">. Potentiometric titration using calcium sensitive electrodes [11] was also reported in literature, as well as flow-injection analysis [12] and atomic absorption spectroscopy methods </w:t>
      </w:r>
      <w:r w:rsidRPr="00CE7D3B">
        <w:rPr>
          <w:rFonts w:ascii="Times New Roman" w:hAnsi="Times New Roman"/>
          <w:color w:val="222222"/>
          <w:sz w:val="20"/>
          <w:szCs w:val="20"/>
        </w:rPr>
        <w:t>[13]</w:t>
      </w:r>
      <w:r w:rsidRPr="00CE7D3B">
        <w:rPr>
          <w:rFonts w:ascii="Times New Roman" w:hAnsi="Times New Roman"/>
          <w:sz w:val="20"/>
          <w:szCs w:val="20"/>
        </w:rPr>
        <w:t xml:space="preserve">. Calcium oxide was determined in lime mortars by titrating with EDTA and methylene blue indicator </w:t>
      </w:r>
      <w:r w:rsidRPr="00CE7D3B">
        <w:rPr>
          <w:rFonts w:ascii="Times New Roman" w:hAnsi="Times New Roman"/>
          <w:color w:val="222222"/>
          <w:sz w:val="20"/>
          <w:szCs w:val="20"/>
        </w:rPr>
        <w:t>[14]; h</w:t>
      </w:r>
      <w:r w:rsidRPr="00CE7D3B">
        <w:rPr>
          <w:rFonts w:ascii="Times New Roman" w:hAnsi="Times New Roman"/>
          <w:sz w:val="20"/>
          <w:szCs w:val="20"/>
        </w:rPr>
        <w:t xml:space="preserve">owever, the sample preparation and analysis are different from this study. In general, none of these reported methods were applied directly on historic lime-based mortars whose chemical properties were influenced by the local manufacturing process.  </w:t>
      </w:r>
    </w:p>
    <w:p w:rsidR="00CE7D3B" w:rsidRPr="00CE7D3B" w:rsidRDefault="00CE7D3B" w:rsidP="00CE7D3B">
      <w:pPr>
        <w:spacing w:after="0" w:line="240" w:lineRule="auto"/>
        <w:jc w:val="center"/>
        <w:rPr>
          <w:rFonts w:ascii="Times New Roman" w:hAnsi="Times New Roman"/>
          <w:b/>
          <w:sz w:val="20"/>
          <w:szCs w:val="20"/>
        </w:rPr>
      </w:pPr>
    </w:p>
    <w:p w:rsidR="00CE7D3B" w:rsidRPr="00CE7D3B" w:rsidRDefault="00CE7D3B" w:rsidP="00CE7D3B">
      <w:pPr>
        <w:spacing w:after="0" w:line="240" w:lineRule="auto"/>
        <w:jc w:val="center"/>
        <w:rPr>
          <w:rFonts w:ascii="Times New Roman" w:hAnsi="Times New Roman"/>
          <w:b/>
          <w:sz w:val="20"/>
          <w:szCs w:val="20"/>
        </w:rPr>
      </w:pPr>
      <w:r w:rsidRPr="00CE7D3B">
        <w:rPr>
          <w:rFonts w:ascii="Times New Roman" w:hAnsi="Times New Roman"/>
          <w:b/>
          <w:sz w:val="20"/>
          <w:szCs w:val="20"/>
        </w:rPr>
        <w:lastRenderedPageBreak/>
        <w:t>Materials and Methods</w:t>
      </w:r>
    </w:p>
    <w:p w:rsidR="00CE7D3B" w:rsidRPr="00CE7D3B" w:rsidRDefault="00CE7D3B" w:rsidP="00CE7D3B">
      <w:pPr>
        <w:spacing w:after="0" w:line="240" w:lineRule="auto"/>
        <w:jc w:val="both"/>
        <w:rPr>
          <w:rFonts w:ascii="Times New Roman" w:hAnsi="Times New Roman"/>
          <w:b/>
          <w:sz w:val="20"/>
          <w:szCs w:val="20"/>
        </w:rPr>
      </w:pPr>
      <w:r w:rsidRPr="00CE7D3B">
        <w:rPr>
          <w:rFonts w:ascii="Times New Roman" w:hAnsi="Times New Roman"/>
          <w:b/>
          <w:sz w:val="20"/>
          <w:szCs w:val="20"/>
        </w:rPr>
        <w:t>Mortar samples</w:t>
      </w:r>
    </w:p>
    <w:p w:rsidR="00CE7D3B" w:rsidRPr="00CE7D3B" w:rsidRDefault="00CE7D3B" w:rsidP="00CE7D3B">
      <w:pPr>
        <w:spacing w:after="0" w:line="240" w:lineRule="auto"/>
        <w:jc w:val="both"/>
        <w:rPr>
          <w:rFonts w:ascii="Times New Roman" w:hAnsi="Times New Roman"/>
          <w:sz w:val="20"/>
          <w:szCs w:val="20"/>
        </w:rPr>
      </w:pPr>
      <w:r w:rsidRPr="00CE7D3B">
        <w:rPr>
          <w:rFonts w:ascii="Times New Roman" w:hAnsi="Times New Roman"/>
          <w:sz w:val="20"/>
          <w:szCs w:val="20"/>
        </w:rPr>
        <w:t>The lime-based mortar samples were collected from two different sites in the Philippines. One sample was acquired from the southern Mindanao Island at Misamis Oriental in April 2015 and the other was obtained from the northern Luzon Island at Metro Manila, where the capital city of the Philippines is located (Figure 1), in April 2014. Each respective sample was found within the ruins of old Catholic churches built in the 19</w:t>
      </w:r>
      <w:r w:rsidRPr="00CE7D3B">
        <w:rPr>
          <w:rFonts w:ascii="Times New Roman" w:hAnsi="Times New Roman"/>
          <w:sz w:val="20"/>
          <w:szCs w:val="20"/>
          <w:vertAlign w:val="superscript"/>
        </w:rPr>
        <w:t>th</w:t>
      </w:r>
      <w:r w:rsidRPr="00CE7D3B">
        <w:rPr>
          <w:rFonts w:ascii="Times New Roman" w:hAnsi="Times New Roman"/>
          <w:sz w:val="20"/>
          <w:szCs w:val="20"/>
        </w:rPr>
        <w:t xml:space="preserve"> century. The sample from Misamis Oriental (8.2g) was gently scraped-off from a coral-stone wall ruin, which is believed to be part of the church’s window arch, while the Metro Manila sample (14.7g) was taken from a loose brick fragment wall believed to be a segment of the old church foundation. The mortars used in the analysis were removed from its surrounding materials at an approximate depth of about 0.5 to 1.5 cm from its surface to prevent contamination. Both mortars are made entirely of lime binder which was evident from its powdery texture.</w:t>
      </w:r>
    </w:p>
    <w:p w:rsidR="00CE7D3B" w:rsidRPr="00CE7D3B" w:rsidRDefault="00CE7D3B" w:rsidP="00CE7D3B">
      <w:pPr>
        <w:spacing w:after="0" w:line="240" w:lineRule="auto"/>
        <w:jc w:val="both"/>
        <w:rPr>
          <w:rFonts w:ascii="Times New Roman" w:hAnsi="Times New Roman"/>
          <w:sz w:val="20"/>
          <w:szCs w:val="20"/>
        </w:rPr>
      </w:pPr>
    </w:p>
    <w:p w:rsidR="00CE7D3B" w:rsidRPr="00CE7D3B" w:rsidRDefault="00CE7D3B" w:rsidP="00CE7D3B">
      <w:pPr>
        <w:spacing w:after="0" w:line="240" w:lineRule="auto"/>
        <w:jc w:val="both"/>
        <w:rPr>
          <w:rFonts w:ascii="Times New Roman" w:hAnsi="Times New Roman"/>
          <w:sz w:val="20"/>
          <w:szCs w:val="20"/>
        </w:rPr>
      </w:pPr>
      <w:r w:rsidRPr="00CE7D3B">
        <w:rPr>
          <w:rFonts w:ascii="Times New Roman" w:hAnsi="Times New Roman"/>
          <w:noProof/>
          <w:sz w:val="20"/>
          <w:szCs w:val="20"/>
          <w:lang w:bidi="ar-SA"/>
        </w:rPr>
        <w:drawing>
          <wp:anchor distT="0" distB="0" distL="114300" distR="114300" simplePos="0" relativeHeight="251661824" behindDoc="0" locked="0" layoutInCell="1" allowOverlap="1" wp14:anchorId="185A0D2A" wp14:editId="51B7B69C">
            <wp:simplePos x="0" y="0"/>
            <wp:positionH relativeFrom="column">
              <wp:posOffset>2674158</wp:posOffset>
            </wp:positionH>
            <wp:positionV relativeFrom="paragraph">
              <wp:posOffset>111125</wp:posOffset>
            </wp:positionV>
            <wp:extent cx="1697990" cy="1591310"/>
            <wp:effectExtent l="0" t="0" r="0" b="889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217" t="5179" r="4295"/>
                    <a:stretch/>
                  </pic:blipFill>
                  <pic:spPr bwMode="auto">
                    <a:xfrm>
                      <a:off x="0" y="0"/>
                      <a:ext cx="1697990" cy="1591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E7D3B" w:rsidRPr="00CE7D3B" w:rsidRDefault="00CE7D3B" w:rsidP="00CE7D3B">
      <w:pPr>
        <w:tabs>
          <w:tab w:val="left" w:pos="0"/>
        </w:tabs>
        <w:spacing w:after="0" w:line="240" w:lineRule="auto"/>
        <w:jc w:val="both"/>
        <w:rPr>
          <w:rFonts w:ascii="Times New Roman" w:hAnsi="Times New Roman"/>
          <w:sz w:val="20"/>
          <w:szCs w:val="20"/>
        </w:rPr>
      </w:pPr>
      <w:r w:rsidRPr="00CE7D3B">
        <w:rPr>
          <w:rFonts w:ascii="Times New Roman" w:hAnsi="Times New Roman"/>
          <w:noProof/>
          <w:sz w:val="20"/>
          <w:szCs w:val="20"/>
          <w:lang w:bidi="ar-SA"/>
        </w:rPr>
        <w:drawing>
          <wp:anchor distT="0" distB="0" distL="114300" distR="114300" simplePos="0" relativeHeight="251660800" behindDoc="0" locked="0" layoutInCell="1" allowOverlap="1" wp14:anchorId="0FE55AE9" wp14:editId="6CDD671F">
            <wp:simplePos x="0" y="0"/>
            <wp:positionH relativeFrom="column">
              <wp:posOffset>3267248</wp:posOffset>
            </wp:positionH>
            <wp:positionV relativeFrom="paragraph">
              <wp:posOffset>1602105</wp:posOffset>
            </wp:positionV>
            <wp:extent cx="1670685" cy="1614805"/>
            <wp:effectExtent l="0" t="0" r="5715" b="444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717" t="5357" r="10781"/>
                    <a:stretch/>
                  </pic:blipFill>
                  <pic:spPr bwMode="auto">
                    <a:xfrm>
                      <a:off x="0" y="0"/>
                      <a:ext cx="1670685" cy="16148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E7D3B">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04C9FF3C" wp14:editId="545154B9">
                <wp:simplePos x="0" y="0"/>
                <wp:positionH relativeFrom="column">
                  <wp:posOffset>2518583</wp:posOffset>
                </wp:positionH>
                <wp:positionV relativeFrom="paragraph">
                  <wp:posOffset>2117090</wp:posOffset>
                </wp:positionV>
                <wp:extent cx="633095" cy="203835"/>
                <wp:effectExtent l="38100" t="38100" r="52705" b="62865"/>
                <wp:wrapNone/>
                <wp:docPr id="4"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3095" cy="203835"/>
                        </a:xfrm>
                        <a:prstGeom prst="straightConnector1">
                          <a:avLst/>
                        </a:prstGeom>
                        <a:noFill/>
                        <a:ln w="9525">
                          <a:solidFill>
                            <a:srgbClr val="FF0000"/>
                          </a:solidFill>
                          <a:round/>
                          <a:headEnd type="diamond"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9" o:spid="_x0000_s1026" type="#_x0000_t32" style="position:absolute;margin-left:198.3pt;margin-top:166.7pt;width:49.85pt;height:16.05pt;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" strokecolor="red">
                <v:stroke startarrow="diamond" endarrow="block"/>
              </v:shape>
            </w:pict>
          </mc:Fallback>
        </mc:AlternateContent>
      </w:r>
      <w:r w:rsidRPr="00CE7D3B">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4F2C1253" wp14:editId="68C7E12D">
                <wp:simplePos x="0" y="0"/>
                <wp:positionH relativeFrom="column">
                  <wp:posOffset>1742440</wp:posOffset>
                </wp:positionH>
                <wp:positionV relativeFrom="paragraph">
                  <wp:posOffset>954232</wp:posOffset>
                </wp:positionV>
                <wp:extent cx="855980" cy="270510"/>
                <wp:effectExtent l="38100" t="38100" r="58420" b="5334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55980" cy="270510"/>
                        </a:xfrm>
                        <a:prstGeom prst="straightConnector1">
                          <a:avLst/>
                        </a:prstGeom>
                        <a:noFill/>
                        <a:ln w="9525">
                          <a:solidFill>
                            <a:srgbClr val="FF0000"/>
                          </a:solidFill>
                          <a:round/>
                          <a:headEnd type="diamond"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137.2pt;margin-top:75.15pt;width:67.4pt;height:21.3pt;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" strokecolor="red">
                <v:stroke startarrow="diamond" endarrow="block"/>
              </v:shape>
            </w:pict>
          </mc:Fallback>
        </mc:AlternateContent>
      </w:r>
      <w:r w:rsidRPr="00CE7D3B">
        <w:rPr>
          <w:rFonts w:ascii="Times New Roman" w:hAnsi="Times New Roman"/>
          <w:noProof/>
          <w:sz w:val="20"/>
          <w:szCs w:val="20"/>
          <w:lang w:eastAsia="en-PH"/>
        </w:rPr>
        <w:t xml:space="preserve">                       </w:t>
      </w:r>
      <w:r w:rsidRPr="00CE7D3B">
        <w:rPr>
          <w:rFonts w:ascii="Times New Roman" w:hAnsi="Times New Roman"/>
          <w:noProof/>
          <w:sz w:val="20"/>
          <w:szCs w:val="20"/>
          <w:lang w:bidi="ar-SA"/>
        </w:rPr>
        <w:drawing>
          <wp:inline distT="0" distB="0" distL="0" distR="0" wp14:anchorId="5716722F" wp14:editId="13275210">
            <wp:extent cx="2143889" cy="3073613"/>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50018" cy="3082400"/>
                    </a:xfrm>
                    <a:prstGeom prst="rect">
                      <a:avLst/>
                    </a:prstGeom>
                    <a:noFill/>
                    <a:ln>
                      <a:noFill/>
                    </a:ln>
                  </pic:spPr>
                </pic:pic>
              </a:graphicData>
            </a:graphic>
          </wp:inline>
        </w:drawing>
      </w:r>
    </w:p>
    <w:p w:rsidR="00CE7D3B" w:rsidRPr="00CE7D3B" w:rsidRDefault="00CE7D3B" w:rsidP="00CE7D3B">
      <w:pPr>
        <w:tabs>
          <w:tab w:val="left" w:pos="0"/>
        </w:tabs>
        <w:spacing w:after="0" w:line="240" w:lineRule="auto"/>
        <w:jc w:val="both"/>
        <w:rPr>
          <w:rFonts w:ascii="Times New Roman" w:hAnsi="Times New Roman"/>
          <w:sz w:val="20"/>
          <w:szCs w:val="20"/>
        </w:rPr>
      </w:pPr>
    </w:p>
    <w:p w:rsidR="00CE7D3B" w:rsidRPr="00CE7D3B" w:rsidRDefault="00CE7D3B" w:rsidP="00CE7D3B">
      <w:pPr>
        <w:spacing w:after="0" w:line="240" w:lineRule="auto"/>
        <w:jc w:val="both"/>
        <w:rPr>
          <w:rFonts w:ascii="Times New Roman" w:hAnsi="Times New Roman"/>
          <w:sz w:val="20"/>
          <w:szCs w:val="20"/>
        </w:rPr>
      </w:pPr>
    </w:p>
    <w:p w:rsidR="00CE7D3B" w:rsidRPr="00CE7D3B" w:rsidRDefault="00CE7D3B" w:rsidP="00CE7D3B">
      <w:pPr>
        <w:spacing w:after="0" w:line="240" w:lineRule="auto"/>
        <w:ind w:left="851" w:hanging="851"/>
        <w:jc w:val="both"/>
        <w:rPr>
          <w:rFonts w:ascii="Times New Roman" w:hAnsi="Times New Roman"/>
          <w:sz w:val="20"/>
          <w:szCs w:val="20"/>
        </w:rPr>
      </w:pPr>
      <w:r w:rsidRPr="00CE7D3B">
        <w:rPr>
          <w:rFonts w:ascii="Times New Roman" w:hAnsi="Times New Roman"/>
          <w:sz w:val="20"/>
          <w:szCs w:val="20"/>
        </w:rPr>
        <w:t xml:space="preserve">Figure 1. </w:t>
      </w:r>
      <w:r>
        <w:rPr>
          <w:rFonts w:ascii="Times New Roman" w:hAnsi="Times New Roman"/>
          <w:sz w:val="20"/>
          <w:szCs w:val="20"/>
        </w:rPr>
        <w:tab/>
      </w:r>
      <w:r w:rsidRPr="00CE7D3B">
        <w:rPr>
          <w:rFonts w:ascii="Times New Roman" w:hAnsi="Times New Roman"/>
          <w:sz w:val="20"/>
          <w:szCs w:val="20"/>
        </w:rPr>
        <w:t>Location map showing the collection site at Misamis Oriental and Metro Manila. Inset photos show the historical lime mortars used for this study</w:t>
      </w:r>
    </w:p>
    <w:p w:rsidR="00CE7D3B" w:rsidRPr="00CE7D3B" w:rsidRDefault="00CE7D3B" w:rsidP="00CE7D3B">
      <w:pPr>
        <w:spacing w:after="0" w:line="240" w:lineRule="auto"/>
        <w:jc w:val="both"/>
        <w:rPr>
          <w:rFonts w:ascii="Times New Roman" w:hAnsi="Times New Roman"/>
          <w:sz w:val="20"/>
          <w:szCs w:val="20"/>
        </w:rPr>
      </w:pPr>
    </w:p>
    <w:p w:rsidR="00CE7D3B" w:rsidRPr="00CE7D3B" w:rsidRDefault="00CE7D3B" w:rsidP="00CE7D3B">
      <w:pPr>
        <w:spacing w:after="0" w:line="240" w:lineRule="auto"/>
        <w:jc w:val="both"/>
        <w:rPr>
          <w:rFonts w:ascii="Times New Roman" w:hAnsi="Times New Roman"/>
          <w:sz w:val="20"/>
          <w:szCs w:val="20"/>
        </w:rPr>
      </w:pPr>
      <w:r w:rsidRPr="00CE7D3B">
        <w:rPr>
          <w:rFonts w:ascii="Times New Roman" w:hAnsi="Times New Roman"/>
          <w:sz w:val="20"/>
          <w:szCs w:val="20"/>
        </w:rPr>
        <w:t>Each mortar samples (between 4.0 to 8.0g) were gently pulverized into small pieces and disaggregated, ensuring that the original texture of the aggregate is not lost in this process. The crushed materials were sieved through sizes of 4.750, 2.360, 1.180, 0.600, 0.425, 0.250, 0.150 and 0.075 mm using a USA Standard Testing Sieve ASTME11 Specification. Fractions smaller than 0.075 mm and retained in the “pan” were also included. Efficient separation of the different fractions was achieved by having the sieves shaken in a mechanical shaker (US Tyler brand) for 5 minutes. The resulting fractions were individually weighed and labelled according to their respective retained sieve size.</w:t>
      </w:r>
    </w:p>
    <w:p w:rsidR="00CE7D3B" w:rsidRPr="00CE7D3B" w:rsidRDefault="00CE7D3B" w:rsidP="00CE7D3B">
      <w:pPr>
        <w:spacing w:after="0" w:line="240" w:lineRule="auto"/>
        <w:jc w:val="both"/>
        <w:rPr>
          <w:rFonts w:ascii="Times New Roman" w:hAnsi="Times New Roman"/>
          <w:b/>
          <w:i/>
          <w:color w:val="FF0000"/>
          <w:sz w:val="20"/>
          <w:szCs w:val="20"/>
        </w:rPr>
      </w:pPr>
    </w:p>
    <w:p w:rsidR="00CE7D3B" w:rsidRPr="00CE7D3B" w:rsidRDefault="00CE7D3B" w:rsidP="00CE7D3B">
      <w:pPr>
        <w:spacing w:after="0" w:line="240" w:lineRule="auto"/>
        <w:jc w:val="both"/>
        <w:rPr>
          <w:rFonts w:ascii="Times New Roman" w:hAnsi="Times New Roman"/>
          <w:b/>
          <w:sz w:val="20"/>
          <w:szCs w:val="20"/>
        </w:rPr>
      </w:pPr>
      <w:r w:rsidRPr="00CE7D3B">
        <w:rPr>
          <w:rFonts w:ascii="Times New Roman" w:hAnsi="Times New Roman"/>
          <w:b/>
          <w:sz w:val="20"/>
          <w:szCs w:val="20"/>
        </w:rPr>
        <w:t xml:space="preserve">Analysis by Fourier transform infrared spectroscopy </w:t>
      </w:r>
    </w:p>
    <w:p w:rsidR="00CE7D3B" w:rsidRPr="00CE7D3B" w:rsidRDefault="00CE7D3B" w:rsidP="00CE7D3B">
      <w:pPr>
        <w:spacing w:after="0" w:line="240" w:lineRule="auto"/>
        <w:jc w:val="both"/>
        <w:rPr>
          <w:rFonts w:ascii="Times New Roman" w:hAnsi="Times New Roman"/>
          <w:sz w:val="20"/>
          <w:szCs w:val="20"/>
        </w:rPr>
      </w:pPr>
      <w:r w:rsidRPr="00CE7D3B">
        <w:rPr>
          <w:rFonts w:ascii="Times New Roman" w:hAnsi="Times New Roman"/>
          <w:sz w:val="20"/>
          <w:szCs w:val="20"/>
        </w:rPr>
        <w:t>For both mortar samples, a small portion of sieved fraction retained in the “pan” (&lt;0.075mm) was mixed, grounded, and pressed together with KBr powder to form a thin and transparent pellet. The ratio of sample relative to the amount of KBr is about 1 to 2%. Pure analytical grade SiO</w:t>
      </w:r>
      <w:r w:rsidRPr="00CE7D3B">
        <w:rPr>
          <w:rFonts w:ascii="Times New Roman" w:hAnsi="Times New Roman"/>
          <w:sz w:val="20"/>
          <w:szCs w:val="20"/>
          <w:vertAlign w:val="subscript"/>
        </w:rPr>
        <w:t>2</w:t>
      </w:r>
      <w:r w:rsidRPr="00CE7D3B">
        <w:rPr>
          <w:rFonts w:ascii="Times New Roman" w:hAnsi="Times New Roman"/>
          <w:sz w:val="20"/>
          <w:szCs w:val="20"/>
        </w:rPr>
        <w:t xml:space="preserve"> (Sigma-Aldrich) and CaCO</w:t>
      </w:r>
      <w:r w:rsidRPr="00CE7D3B">
        <w:rPr>
          <w:rFonts w:ascii="Times New Roman" w:hAnsi="Times New Roman"/>
          <w:sz w:val="20"/>
          <w:szCs w:val="20"/>
          <w:vertAlign w:val="subscript"/>
        </w:rPr>
        <w:t>3</w:t>
      </w:r>
      <w:r w:rsidRPr="00CE7D3B">
        <w:rPr>
          <w:rFonts w:ascii="Times New Roman" w:hAnsi="Times New Roman"/>
          <w:sz w:val="20"/>
          <w:szCs w:val="20"/>
        </w:rPr>
        <w:t xml:space="preserve"> (Unichem, 98%) were also pelletized with KBr. The IR spectrum was recorded using a Thermo Scientific Nicolet 6700 FT-IR </w:t>
      </w:r>
      <w:r w:rsidRPr="00CE7D3B">
        <w:rPr>
          <w:rFonts w:ascii="Times New Roman" w:hAnsi="Times New Roman"/>
          <w:sz w:val="20"/>
          <w:szCs w:val="20"/>
        </w:rPr>
        <w:lastRenderedPageBreak/>
        <w:t>Spectrophotometer in the finger print region 2400 – 400cm</w:t>
      </w:r>
      <w:r w:rsidRPr="00CE7D3B">
        <w:rPr>
          <w:rFonts w:ascii="Times New Roman" w:hAnsi="Times New Roman"/>
          <w:sz w:val="20"/>
          <w:szCs w:val="20"/>
          <w:vertAlign w:val="superscript"/>
        </w:rPr>
        <w:t xml:space="preserve">-1 </w:t>
      </w:r>
      <w:r w:rsidRPr="00CE7D3B">
        <w:rPr>
          <w:rFonts w:ascii="Times New Roman" w:hAnsi="Times New Roman"/>
          <w:sz w:val="20"/>
          <w:szCs w:val="20"/>
        </w:rPr>
        <w:t>with a resolution of 4 cm</w:t>
      </w:r>
      <w:r w:rsidRPr="00CE7D3B">
        <w:rPr>
          <w:rFonts w:ascii="Times New Roman" w:hAnsi="Times New Roman"/>
          <w:sz w:val="20"/>
          <w:szCs w:val="20"/>
          <w:vertAlign w:val="superscript"/>
        </w:rPr>
        <w:t xml:space="preserve">-1 </w:t>
      </w:r>
      <w:r w:rsidRPr="00CE7D3B">
        <w:rPr>
          <w:rFonts w:ascii="Times New Roman" w:hAnsi="Times New Roman"/>
          <w:sz w:val="20"/>
          <w:szCs w:val="20"/>
        </w:rPr>
        <w:t xml:space="preserve">and 32 scans per spectrum [15]. The spectrum was reported as absorbance relative to the wave number. </w:t>
      </w:r>
    </w:p>
    <w:p w:rsidR="00CE7D3B" w:rsidRPr="00CE7D3B" w:rsidRDefault="00CE7D3B" w:rsidP="00CE7D3B">
      <w:pPr>
        <w:spacing w:after="0" w:line="240" w:lineRule="auto"/>
        <w:jc w:val="both"/>
        <w:rPr>
          <w:rFonts w:ascii="Times New Roman" w:hAnsi="Times New Roman"/>
          <w:sz w:val="20"/>
          <w:szCs w:val="20"/>
        </w:rPr>
      </w:pPr>
      <w:r w:rsidRPr="00CE7D3B">
        <w:rPr>
          <w:rFonts w:ascii="Times New Roman" w:hAnsi="Times New Roman"/>
          <w:sz w:val="20"/>
          <w:szCs w:val="20"/>
        </w:rPr>
        <w:t xml:space="preserve"> </w:t>
      </w:r>
    </w:p>
    <w:p w:rsidR="00CE7D3B" w:rsidRPr="00CE7D3B" w:rsidRDefault="00CE7D3B" w:rsidP="00CE7D3B">
      <w:pPr>
        <w:spacing w:after="0" w:line="240" w:lineRule="auto"/>
        <w:jc w:val="both"/>
        <w:rPr>
          <w:rFonts w:ascii="Times New Roman" w:hAnsi="Times New Roman"/>
          <w:b/>
          <w:sz w:val="20"/>
          <w:szCs w:val="20"/>
        </w:rPr>
      </w:pPr>
      <w:r w:rsidRPr="00CE7D3B">
        <w:rPr>
          <w:rFonts w:ascii="Times New Roman" w:hAnsi="Times New Roman"/>
          <w:b/>
          <w:sz w:val="20"/>
          <w:szCs w:val="20"/>
        </w:rPr>
        <w:t>Titration with EDTA solution: Standardization of EDTA</w:t>
      </w:r>
    </w:p>
    <w:p w:rsidR="00CE7D3B" w:rsidRPr="00CE7D3B" w:rsidRDefault="00CE7D3B" w:rsidP="00CE7D3B">
      <w:pPr>
        <w:spacing w:after="0" w:line="240" w:lineRule="auto"/>
        <w:jc w:val="both"/>
        <w:rPr>
          <w:rFonts w:ascii="Times New Roman" w:hAnsi="Times New Roman"/>
          <w:b/>
          <w:sz w:val="20"/>
          <w:szCs w:val="20"/>
        </w:rPr>
      </w:pPr>
      <w:r w:rsidRPr="00CE7D3B">
        <w:rPr>
          <w:rFonts w:ascii="Times New Roman" w:hAnsi="Times New Roman"/>
          <w:sz w:val="20"/>
          <w:szCs w:val="20"/>
        </w:rPr>
        <w:t>The EDTA solution was prepared by mixing 2.0g EDTA powder (Himedia, 99.5%), 1.0g of NaOH (Unichem, 96%) and 0.15g of MgCl</w:t>
      </w:r>
      <w:r w:rsidRPr="00CE7D3B">
        <w:rPr>
          <w:rFonts w:ascii="Times New Roman" w:hAnsi="Times New Roman"/>
          <w:sz w:val="20"/>
          <w:szCs w:val="20"/>
          <w:vertAlign w:val="subscript"/>
        </w:rPr>
        <w:t>2</w:t>
      </w:r>
      <w:r w:rsidRPr="00CE7D3B">
        <w:rPr>
          <w:rFonts w:ascii="Times New Roman" w:hAnsi="Times New Roman"/>
          <w:sz w:val="20"/>
          <w:szCs w:val="20"/>
        </w:rPr>
        <w:t>•2H</w:t>
      </w:r>
      <w:r w:rsidRPr="00CE7D3B">
        <w:rPr>
          <w:rFonts w:ascii="Times New Roman" w:hAnsi="Times New Roman"/>
          <w:sz w:val="20"/>
          <w:szCs w:val="20"/>
          <w:vertAlign w:val="subscript"/>
        </w:rPr>
        <w:t>2</w:t>
      </w:r>
      <w:r w:rsidRPr="00CE7D3B">
        <w:rPr>
          <w:rFonts w:ascii="Times New Roman" w:hAnsi="Times New Roman"/>
          <w:sz w:val="20"/>
          <w:szCs w:val="20"/>
        </w:rPr>
        <w:t>O (Qualikems, 99%). It was diluted with distilled water in a 1L volumetric flask. All chemical reagents are analytical grade.</w:t>
      </w:r>
    </w:p>
    <w:p w:rsidR="00CE7D3B" w:rsidRPr="00CE7D3B" w:rsidRDefault="00CE7D3B" w:rsidP="00CE7D3B">
      <w:pPr>
        <w:spacing w:after="0" w:line="240" w:lineRule="auto"/>
        <w:jc w:val="both"/>
        <w:rPr>
          <w:rFonts w:ascii="Times New Roman" w:hAnsi="Times New Roman"/>
          <w:sz w:val="20"/>
          <w:szCs w:val="20"/>
        </w:rPr>
      </w:pPr>
    </w:p>
    <w:p w:rsidR="00CE7D3B" w:rsidRPr="00CE7D3B" w:rsidRDefault="00CE7D3B" w:rsidP="00CE7D3B">
      <w:pPr>
        <w:spacing w:after="0" w:line="240" w:lineRule="auto"/>
        <w:jc w:val="both"/>
        <w:rPr>
          <w:rFonts w:ascii="Times New Roman" w:hAnsi="Times New Roman"/>
          <w:b/>
          <w:sz w:val="20"/>
          <w:szCs w:val="20"/>
        </w:rPr>
      </w:pPr>
      <w:r w:rsidRPr="00CE7D3B">
        <w:rPr>
          <w:rFonts w:ascii="Times New Roman" w:hAnsi="Times New Roman"/>
          <w:b/>
          <w:sz w:val="20"/>
          <w:szCs w:val="20"/>
        </w:rPr>
        <w:t>Preparation of standard analyte</w:t>
      </w:r>
    </w:p>
    <w:p w:rsidR="00CE7D3B" w:rsidRPr="00CE7D3B" w:rsidRDefault="00CE7D3B" w:rsidP="00CE7D3B">
      <w:pPr>
        <w:spacing w:after="0" w:line="240" w:lineRule="auto"/>
        <w:jc w:val="both"/>
        <w:rPr>
          <w:rFonts w:ascii="Times New Roman" w:hAnsi="Times New Roman"/>
          <w:sz w:val="20"/>
          <w:szCs w:val="20"/>
        </w:rPr>
      </w:pPr>
      <w:r w:rsidRPr="00CE7D3B">
        <w:rPr>
          <w:rFonts w:ascii="Times New Roman" w:hAnsi="Times New Roman"/>
          <w:sz w:val="20"/>
          <w:szCs w:val="20"/>
        </w:rPr>
        <w:t>The analyte was prepared by measuring 0.20g of oven dried (110</w:t>
      </w:r>
      <w:r w:rsidRPr="00CE7D3B">
        <w:rPr>
          <w:rFonts w:ascii="Cambria Math" w:hAnsi="Cambria Math" w:cs="Cambria Math"/>
          <w:sz w:val="20"/>
          <w:szCs w:val="20"/>
        </w:rPr>
        <w:t>⁰</w:t>
      </w:r>
      <w:r w:rsidRPr="00CE7D3B">
        <w:rPr>
          <w:rFonts w:ascii="Times New Roman" w:hAnsi="Times New Roman"/>
          <w:sz w:val="20"/>
          <w:szCs w:val="20"/>
        </w:rPr>
        <w:t>C for 24 hours.) analytical grade CaCO</w:t>
      </w:r>
      <w:r w:rsidRPr="00CE7D3B">
        <w:rPr>
          <w:rFonts w:ascii="Times New Roman" w:hAnsi="Times New Roman"/>
          <w:sz w:val="20"/>
          <w:szCs w:val="20"/>
          <w:vertAlign w:val="subscript"/>
        </w:rPr>
        <w:t>3</w:t>
      </w:r>
      <w:r w:rsidRPr="00CE7D3B">
        <w:rPr>
          <w:rFonts w:ascii="Times New Roman" w:hAnsi="Times New Roman"/>
          <w:sz w:val="20"/>
          <w:szCs w:val="20"/>
        </w:rPr>
        <w:t xml:space="preserve"> (Unichem, 98%) in three separate 100 mL beakers. Concentrated analytical grade HCl (Macron) was added drop wise until 6.0 mL. This was followed by the addition of 50.0mL distilled water and boiled in water bath for 5 minutes. The solution was transferred into a 250 mL volumetric flask after cooling and diluted with distilled water. </w:t>
      </w:r>
    </w:p>
    <w:p w:rsidR="00CE7D3B" w:rsidRPr="00CE7D3B" w:rsidRDefault="00CE7D3B" w:rsidP="00CE7D3B">
      <w:pPr>
        <w:spacing w:after="0" w:line="240" w:lineRule="auto"/>
        <w:jc w:val="both"/>
        <w:rPr>
          <w:rFonts w:ascii="Times New Roman" w:hAnsi="Times New Roman"/>
          <w:sz w:val="20"/>
          <w:szCs w:val="20"/>
        </w:rPr>
      </w:pPr>
    </w:p>
    <w:p w:rsidR="00CE7D3B" w:rsidRPr="00CE7D3B" w:rsidRDefault="00CE7D3B" w:rsidP="00CE7D3B">
      <w:pPr>
        <w:spacing w:after="0" w:line="240" w:lineRule="auto"/>
        <w:jc w:val="both"/>
        <w:rPr>
          <w:rFonts w:ascii="Times New Roman" w:hAnsi="Times New Roman"/>
          <w:sz w:val="20"/>
          <w:szCs w:val="20"/>
        </w:rPr>
      </w:pPr>
      <w:r w:rsidRPr="00CE7D3B">
        <w:rPr>
          <w:rFonts w:ascii="Times New Roman" w:hAnsi="Times New Roman"/>
          <w:sz w:val="20"/>
          <w:szCs w:val="20"/>
        </w:rPr>
        <w:t>A 25.0 mL aliquot was pipetted in three individual 250 mL Erlenmeyer flasks and combined with 10.0 mL of ammonium buffer and 5 drops of EBT indicator (Merck). A titration set-up was assembled and the CaCO</w:t>
      </w:r>
      <w:r w:rsidRPr="00CE7D3B">
        <w:rPr>
          <w:rFonts w:ascii="Times New Roman" w:hAnsi="Times New Roman"/>
          <w:sz w:val="20"/>
          <w:szCs w:val="20"/>
          <w:vertAlign w:val="subscript"/>
        </w:rPr>
        <w:t>3</w:t>
      </w:r>
      <w:r w:rsidRPr="00CE7D3B">
        <w:rPr>
          <w:rFonts w:ascii="Times New Roman" w:hAnsi="Times New Roman"/>
          <w:sz w:val="20"/>
          <w:szCs w:val="20"/>
        </w:rPr>
        <w:t xml:space="preserve"> solution in the flask was titrated with EDTA solution in the burette until the first appearance of a persistent clear blue color, marking the endpoint of the titration. The concentration of EDTA was calculated in molarity.</w:t>
      </w:r>
    </w:p>
    <w:p w:rsidR="00CE7D3B" w:rsidRPr="00CE7D3B" w:rsidRDefault="00CE7D3B" w:rsidP="00CE7D3B">
      <w:pPr>
        <w:spacing w:after="0" w:line="240" w:lineRule="auto"/>
        <w:jc w:val="both"/>
        <w:rPr>
          <w:rFonts w:ascii="Times New Roman" w:hAnsi="Times New Roman"/>
          <w:sz w:val="20"/>
          <w:szCs w:val="20"/>
        </w:rPr>
      </w:pPr>
    </w:p>
    <w:p w:rsidR="00CE7D3B" w:rsidRPr="00CE7D3B" w:rsidRDefault="00CE7D3B" w:rsidP="00CE7D3B">
      <w:pPr>
        <w:spacing w:after="0" w:line="240" w:lineRule="auto"/>
        <w:jc w:val="both"/>
        <w:rPr>
          <w:rFonts w:ascii="Times New Roman" w:hAnsi="Times New Roman"/>
          <w:b/>
          <w:sz w:val="20"/>
          <w:szCs w:val="20"/>
        </w:rPr>
      </w:pPr>
      <w:r w:rsidRPr="00CE7D3B">
        <w:rPr>
          <w:rFonts w:ascii="Times New Roman" w:hAnsi="Times New Roman"/>
          <w:b/>
          <w:sz w:val="20"/>
          <w:szCs w:val="20"/>
        </w:rPr>
        <w:t>Preparation of unknown analyte</w:t>
      </w:r>
    </w:p>
    <w:p w:rsidR="00CE7D3B" w:rsidRPr="00CE7D3B" w:rsidRDefault="00CE7D3B" w:rsidP="00CE7D3B">
      <w:pPr>
        <w:spacing w:after="0" w:line="240" w:lineRule="auto"/>
        <w:jc w:val="both"/>
        <w:rPr>
          <w:rFonts w:ascii="Times New Roman" w:hAnsi="Times New Roman"/>
          <w:sz w:val="20"/>
          <w:szCs w:val="20"/>
        </w:rPr>
      </w:pPr>
      <w:r w:rsidRPr="00CE7D3B">
        <w:rPr>
          <w:rFonts w:ascii="Times New Roman" w:hAnsi="Times New Roman"/>
          <w:sz w:val="20"/>
          <w:szCs w:val="20"/>
        </w:rPr>
        <w:t xml:space="preserve">About 0.10 to 0.15g of mortar samples from the sieve size left in the pan (&lt;0.075mm) were dried in an oven for 24 hours at 110 </w:t>
      </w:r>
      <w:r w:rsidRPr="00CE7D3B">
        <w:rPr>
          <w:rFonts w:ascii="Cambria Math" w:hAnsi="Cambria Math" w:cs="Cambria Math"/>
          <w:sz w:val="20"/>
          <w:szCs w:val="20"/>
        </w:rPr>
        <w:t>⁰</w:t>
      </w:r>
      <w:r w:rsidRPr="00CE7D3B">
        <w:rPr>
          <w:rFonts w:ascii="Times New Roman" w:hAnsi="Times New Roman"/>
          <w:sz w:val="20"/>
          <w:szCs w:val="20"/>
        </w:rPr>
        <w:t xml:space="preserve">C. Drop-wise addition of concentrated HCl was done directly on the sample until dissolution was complete. It was then boiled in 50 mL distilled water, cooled and diluted to the mark with distilled water in a 250 mL volumetric flask. A 25.0 mL aliquot portion was titrated with the standardized EDTA solution until the appearance of a persistent clear blue color with EBT indicator. Three replicate trials were done. The concentration of calcium in the unknown sample was reported in terms of its percentage composition. </w:t>
      </w:r>
    </w:p>
    <w:p w:rsidR="00CE7D3B" w:rsidRPr="00CE7D3B" w:rsidRDefault="00CE7D3B" w:rsidP="00CE7D3B">
      <w:pPr>
        <w:spacing w:after="0" w:line="240" w:lineRule="auto"/>
        <w:jc w:val="both"/>
        <w:rPr>
          <w:rFonts w:ascii="Times New Roman" w:hAnsi="Times New Roman"/>
          <w:b/>
          <w:sz w:val="20"/>
          <w:szCs w:val="20"/>
        </w:rPr>
      </w:pPr>
    </w:p>
    <w:p w:rsidR="00CE7D3B" w:rsidRPr="00CE7D3B" w:rsidRDefault="00CE7D3B" w:rsidP="00CE7D3B">
      <w:pPr>
        <w:spacing w:after="0" w:line="240" w:lineRule="auto"/>
        <w:jc w:val="both"/>
        <w:rPr>
          <w:rFonts w:ascii="Times New Roman" w:hAnsi="Times New Roman"/>
          <w:b/>
          <w:sz w:val="20"/>
          <w:szCs w:val="20"/>
        </w:rPr>
      </w:pPr>
      <w:r w:rsidRPr="00CE7D3B">
        <w:rPr>
          <w:rFonts w:ascii="Times New Roman" w:hAnsi="Times New Roman"/>
          <w:b/>
          <w:sz w:val="20"/>
          <w:szCs w:val="20"/>
        </w:rPr>
        <w:t>Titration with KMnO</w:t>
      </w:r>
      <w:r w:rsidRPr="00CE7D3B">
        <w:rPr>
          <w:rFonts w:ascii="Times New Roman" w:hAnsi="Times New Roman"/>
          <w:b/>
          <w:sz w:val="20"/>
          <w:szCs w:val="20"/>
          <w:vertAlign w:val="subscript"/>
        </w:rPr>
        <w:t>4</w:t>
      </w:r>
      <w:r w:rsidRPr="00CE7D3B">
        <w:rPr>
          <w:rFonts w:ascii="Times New Roman" w:hAnsi="Times New Roman"/>
          <w:b/>
          <w:sz w:val="20"/>
          <w:szCs w:val="20"/>
        </w:rPr>
        <w:t xml:space="preserve"> solution: Standardization of KMnO</w:t>
      </w:r>
      <w:r w:rsidRPr="00CE7D3B">
        <w:rPr>
          <w:rFonts w:ascii="Times New Roman" w:hAnsi="Times New Roman"/>
          <w:b/>
          <w:sz w:val="20"/>
          <w:szCs w:val="20"/>
          <w:vertAlign w:val="subscript"/>
        </w:rPr>
        <w:t>4</w:t>
      </w:r>
    </w:p>
    <w:p w:rsidR="00CE7D3B" w:rsidRPr="00CE7D3B" w:rsidRDefault="00CE7D3B" w:rsidP="00CE7D3B">
      <w:pPr>
        <w:spacing w:after="0" w:line="240" w:lineRule="auto"/>
        <w:jc w:val="both"/>
        <w:rPr>
          <w:rFonts w:ascii="Times New Roman" w:hAnsi="Times New Roman"/>
          <w:b/>
          <w:sz w:val="20"/>
          <w:szCs w:val="20"/>
        </w:rPr>
      </w:pPr>
      <w:r w:rsidRPr="00CE7D3B">
        <w:rPr>
          <w:rFonts w:ascii="Times New Roman" w:hAnsi="Times New Roman"/>
          <w:sz w:val="20"/>
          <w:szCs w:val="20"/>
        </w:rPr>
        <w:t>The KMnO</w:t>
      </w:r>
      <w:r w:rsidRPr="00CE7D3B">
        <w:rPr>
          <w:rFonts w:ascii="Times New Roman" w:hAnsi="Times New Roman"/>
          <w:sz w:val="20"/>
          <w:szCs w:val="20"/>
          <w:vertAlign w:val="subscript"/>
        </w:rPr>
        <w:t>4</w:t>
      </w:r>
      <w:r w:rsidRPr="00CE7D3B">
        <w:rPr>
          <w:rFonts w:ascii="Times New Roman" w:hAnsi="Times New Roman"/>
          <w:sz w:val="20"/>
          <w:szCs w:val="20"/>
        </w:rPr>
        <w:t xml:space="preserve"> solution was prepared by dissolving 1.58g analytical grade KMnO</w:t>
      </w:r>
      <w:r w:rsidRPr="00CE7D3B">
        <w:rPr>
          <w:rFonts w:ascii="Times New Roman" w:hAnsi="Times New Roman"/>
          <w:sz w:val="20"/>
          <w:szCs w:val="20"/>
          <w:vertAlign w:val="subscript"/>
        </w:rPr>
        <w:t>4</w:t>
      </w:r>
      <w:r w:rsidRPr="00CE7D3B">
        <w:rPr>
          <w:rFonts w:ascii="Times New Roman" w:hAnsi="Times New Roman"/>
          <w:sz w:val="20"/>
          <w:szCs w:val="20"/>
        </w:rPr>
        <w:t xml:space="preserve"> powder (Univar, 99%) in 50.0 mL distilled water and diluted in a 1L volumetric flask. </w:t>
      </w:r>
    </w:p>
    <w:p w:rsidR="00CE7D3B" w:rsidRPr="00CE7D3B" w:rsidRDefault="00CE7D3B" w:rsidP="00CE7D3B">
      <w:pPr>
        <w:spacing w:after="0" w:line="240" w:lineRule="auto"/>
        <w:jc w:val="both"/>
        <w:rPr>
          <w:rFonts w:ascii="Times New Roman" w:hAnsi="Times New Roman"/>
          <w:sz w:val="20"/>
          <w:szCs w:val="20"/>
        </w:rPr>
      </w:pPr>
    </w:p>
    <w:p w:rsidR="00CE7D3B" w:rsidRPr="00CE7D3B" w:rsidRDefault="00CE7D3B" w:rsidP="00CE7D3B">
      <w:pPr>
        <w:spacing w:after="0" w:line="240" w:lineRule="auto"/>
        <w:jc w:val="both"/>
        <w:rPr>
          <w:rFonts w:ascii="Times New Roman" w:hAnsi="Times New Roman"/>
          <w:b/>
          <w:sz w:val="20"/>
          <w:szCs w:val="20"/>
        </w:rPr>
      </w:pPr>
      <w:r w:rsidRPr="00CE7D3B">
        <w:rPr>
          <w:rFonts w:ascii="Times New Roman" w:hAnsi="Times New Roman"/>
          <w:b/>
          <w:sz w:val="20"/>
          <w:szCs w:val="20"/>
        </w:rPr>
        <w:t>Preparation of standard analyte</w:t>
      </w:r>
    </w:p>
    <w:p w:rsidR="00CE7D3B" w:rsidRPr="00CE7D3B" w:rsidRDefault="00CE7D3B" w:rsidP="00CE7D3B">
      <w:pPr>
        <w:spacing w:after="0" w:line="240" w:lineRule="auto"/>
        <w:jc w:val="both"/>
        <w:rPr>
          <w:rFonts w:ascii="Times New Roman" w:hAnsi="Times New Roman"/>
          <w:sz w:val="20"/>
          <w:szCs w:val="20"/>
        </w:rPr>
      </w:pPr>
      <w:r w:rsidRPr="00CE7D3B">
        <w:rPr>
          <w:rFonts w:ascii="Times New Roman" w:hAnsi="Times New Roman"/>
          <w:sz w:val="20"/>
          <w:szCs w:val="20"/>
        </w:rPr>
        <w:t xml:space="preserve">A dried (110 </w:t>
      </w:r>
      <w:r w:rsidRPr="00CE7D3B">
        <w:rPr>
          <w:rFonts w:ascii="Cambria Math" w:hAnsi="Cambria Math" w:cs="Cambria Math"/>
          <w:sz w:val="20"/>
          <w:szCs w:val="20"/>
        </w:rPr>
        <w:t>⁰</w:t>
      </w:r>
      <w:r w:rsidRPr="00CE7D3B">
        <w:rPr>
          <w:rFonts w:ascii="Times New Roman" w:hAnsi="Times New Roman"/>
          <w:sz w:val="20"/>
          <w:szCs w:val="20"/>
        </w:rPr>
        <w:t>C for 2 hours) Na</w:t>
      </w:r>
      <w:r w:rsidRPr="00CE7D3B">
        <w:rPr>
          <w:rFonts w:ascii="Times New Roman" w:hAnsi="Times New Roman"/>
          <w:sz w:val="20"/>
          <w:szCs w:val="20"/>
          <w:vertAlign w:val="subscript"/>
        </w:rPr>
        <w:t>2</w:t>
      </w:r>
      <w:r w:rsidRPr="00CE7D3B">
        <w:rPr>
          <w:rFonts w:ascii="Times New Roman" w:hAnsi="Times New Roman"/>
          <w:sz w:val="20"/>
          <w:szCs w:val="20"/>
        </w:rPr>
        <w:t>C</w:t>
      </w:r>
      <w:r w:rsidRPr="00CE7D3B">
        <w:rPr>
          <w:rFonts w:ascii="Times New Roman" w:hAnsi="Times New Roman"/>
          <w:sz w:val="20"/>
          <w:szCs w:val="20"/>
          <w:vertAlign w:val="subscript"/>
        </w:rPr>
        <w:t>2</w:t>
      </w:r>
      <w:r w:rsidRPr="00CE7D3B">
        <w:rPr>
          <w:rFonts w:ascii="Times New Roman" w:hAnsi="Times New Roman"/>
          <w:sz w:val="20"/>
          <w:szCs w:val="20"/>
        </w:rPr>
        <w:t>O</w:t>
      </w:r>
      <w:r w:rsidRPr="00CE7D3B">
        <w:rPr>
          <w:rFonts w:ascii="Times New Roman" w:hAnsi="Times New Roman"/>
          <w:sz w:val="20"/>
          <w:szCs w:val="20"/>
          <w:vertAlign w:val="subscript"/>
        </w:rPr>
        <w:t xml:space="preserve">4 </w:t>
      </w:r>
      <w:r w:rsidRPr="00CE7D3B">
        <w:rPr>
          <w:rFonts w:ascii="Times New Roman" w:hAnsi="Times New Roman"/>
          <w:sz w:val="20"/>
          <w:szCs w:val="20"/>
        </w:rPr>
        <w:t>(Unichem, 99.8%) measuring about 0.22g was placed in a 500.0 mL beaker and dissolved in 250.0 mL</w:t>
      </w:r>
      <w:r w:rsidRPr="00CE7D3B">
        <w:rPr>
          <w:rFonts w:ascii="Times New Roman" w:hAnsi="Times New Roman"/>
          <w:sz w:val="20"/>
          <w:szCs w:val="20"/>
          <w:vertAlign w:val="subscript"/>
        </w:rPr>
        <w:t xml:space="preserve"> </w:t>
      </w:r>
      <w:r w:rsidRPr="00CE7D3B">
        <w:rPr>
          <w:rFonts w:ascii="Times New Roman" w:hAnsi="Times New Roman"/>
          <w:sz w:val="20"/>
          <w:szCs w:val="20"/>
        </w:rPr>
        <w:t>0.75M H</w:t>
      </w:r>
      <w:r w:rsidRPr="00CE7D3B">
        <w:rPr>
          <w:rFonts w:ascii="Times New Roman" w:hAnsi="Times New Roman"/>
          <w:sz w:val="20"/>
          <w:szCs w:val="20"/>
          <w:vertAlign w:val="subscript"/>
        </w:rPr>
        <w:t>2</w:t>
      </w:r>
      <w:r w:rsidRPr="00CE7D3B">
        <w:rPr>
          <w:rFonts w:ascii="Times New Roman" w:hAnsi="Times New Roman"/>
          <w:sz w:val="20"/>
          <w:szCs w:val="20"/>
        </w:rPr>
        <w:t>SO</w:t>
      </w:r>
      <w:r w:rsidRPr="00CE7D3B">
        <w:rPr>
          <w:rFonts w:ascii="Times New Roman" w:hAnsi="Times New Roman"/>
          <w:sz w:val="20"/>
          <w:szCs w:val="20"/>
          <w:vertAlign w:val="subscript"/>
        </w:rPr>
        <w:t xml:space="preserve">4 </w:t>
      </w:r>
      <w:r w:rsidRPr="00CE7D3B">
        <w:rPr>
          <w:rFonts w:ascii="Times New Roman" w:hAnsi="Times New Roman"/>
          <w:sz w:val="20"/>
          <w:szCs w:val="20"/>
        </w:rPr>
        <w:t xml:space="preserve">(Macron). It was heated and maintained at a temperature between 80 – 90 </w:t>
      </w:r>
      <w:r w:rsidRPr="00CE7D3B">
        <w:rPr>
          <w:rFonts w:ascii="Cambria Math" w:hAnsi="Cambria Math" w:cs="Cambria Math"/>
          <w:sz w:val="20"/>
          <w:szCs w:val="20"/>
        </w:rPr>
        <w:t>⁰</w:t>
      </w:r>
      <w:r w:rsidRPr="00CE7D3B">
        <w:rPr>
          <w:rFonts w:ascii="Times New Roman" w:hAnsi="Times New Roman"/>
          <w:sz w:val="20"/>
          <w:szCs w:val="20"/>
        </w:rPr>
        <w:t>C, while being titrated with the prepared KMnO</w:t>
      </w:r>
      <w:r w:rsidRPr="00CE7D3B">
        <w:rPr>
          <w:rFonts w:ascii="Times New Roman" w:hAnsi="Times New Roman"/>
          <w:sz w:val="20"/>
          <w:szCs w:val="20"/>
          <w:vertAlign w:val="subscript"/>
        </w:rPr>
        <w:t>4</w:t>
      </w:r>
      <w:r w:rsidRPr="00CE7D3B">
        <w:rPr>
          <w:rFonts w:ascii="Times New Roman" w:hAnsi="Times New Roman"/>
          <w:sz w:val="20"/>
          <w:szCs w:val="20"/>
        </w:rPr>
        <w:t xml:space="preserve"> solution. The appearance of a persistent pink color marks the end point of the titration. Three trials were done. A blank sample was also prepared by using 0.75M H</w:t>
      </w:r>
      <w:r w:rsidRPr="00CE7D3B">
        <w:rPr>
          <w:rFonts w:ascii="Times New Roman" w:hAnsi="Times New Roman"/>
          <w:sz w:val="20"/>
          <w:szCs w:val="20"/>
          <w:vertAlign w:val="subscript"/>
        </w:rPr>
        <w:t>2</w:t>
      </w:r>
      <w:r w:rsidRPr="00CE7D3B">
        <w:rPr>
          <w:rFonts w:ascii="Times New Roman" w:hAnsi="Times New Roman"/>
          <w:sz w:val="20"/>
          <w:szCs w:val="20"/>
        </w:rPr>
        <w:t>SO</w:t>
      </w:r>
      <w:r w:rsidRPr="00CE7D3B">
        <w:rPr>
          <w:rFonts w:ascii="Times New Roman" w:hAnsi="Times New Roman"/>
          <w:sz w:val="20"/>
          <w:szCs w:val="20"/>
          <w:vertAlign w:val="subscript"/>
        </w:rPr>
        <w:t>4</w:t>
      </w:r>
      <w:r w:rsidRPr="00CE7D3B">
        <w:rPr>
          <w:rFonts w:ascii="Times New Roman" w:hAnsi="Times New Roman"/>
          <w:sz w:val="20"/>
          <w:szCs w:val="20"/>
        </w:rPr>
        <w:t xml:space="preserve"> and titrated directly with KMnO</w:t>
      </w:r>
      <w:r w:rsidRPr="00CE7D3B">
        <w:rPr>
          <w:rFonts w:ascii="Times New Roman" w:hAnsi="Times New Roman"/>
          <w:sz w:val="20"/>
          <w:szCs w:val="20"/>
          <w:vertAlign w:val="subscript"/>
        </w:rPr>
        <w:t>4</w:t>
      </w:r>
      <w:r w:rsidRPr="00CE7D3B">
        <w:rPr>
          <w:rFonts w:ascii="Times New Roman" w:hAnsi="Times New Roman"/>
          <w:sz w:val="20"/>
          <w:szCs w:val="20"/>
        </w:rPr>
        <w:t>. The volume obtained (0.2 mL) was subtracted from the volume of titrant acquired with the sample. The concentration of KMnO</w:t>
      </w:r>
      <w:r w:rsidRPr="00CE7D3B">
        <w:rPr>
          <w:rFonts w:ascii="Times New Roman" w:hAnsi="Times New Roman"/>
          <w:sz w:val="20"/>
          <w:szCs w:val="20"/>
          <w:vertAlign w:val="subscript"/>
        </w:rPr>
        <w:t>4</w:t>
      </w:r>
      <w:r w:rsidRPr="00CE7D3B">
        <w:rPr>
          <w:rFonts w:ascii="Times New Roman" w:hAnsi="Times New Roman"/>
          <w:sz w:val="20"/>
          <w:szCs w:val="20"/>
        </w:rPr>
        <w:t xml:space="preserve"> was calculated and expressed in molarity.</w:t>
      </w:r>
    </w:p>
    <w:p w:rsidR="00CE7D3B" w:rsidRPr="00CE7D3B" w:rsidRDefault="00CE7D3B" w:rsidP="00CE7D3B">
      <w:pPr>
        <w:spacing w:after="0" w:line="240" w:lineRule="auto"/>
        <w:jc w:val="both"/>
        <w:rPr>
          <w:rFonts w:ascii="Times New Roman" w:hAnsi="Times New Roman"/>
          <w:sz w:val="20"/>
          <w:szCs w:val="20"/>
        </w:rPr>
      </w:pPr>
    </w:p>
    <w:p w:rsidR="00CE7D3B" w:rsidRPr="00CE7D3B" w:rsidRDefault="00CE7D3B" w:rsidP="00CE7D3B">
      <w:pPr>
        <w:spacing w:after="0" w:line="240" w:lineRule="auto"/>
        <w:jc w:val="both"/>
        <w:rPr>
          <w:rFonts w:ascii="Times New Roman" w:hAnsi="Times New Roman"/>
          <w:b/>
          <w:sz w:val="20"/>
          <w:szCs w:val="20"/>
        </w:rPr>
      </w:pPr>
      <w:r w:rsidRPr="00CE7D3B">
        <w:rPr>
          <w:rFonts w:ascii="Times New Roman" w:hAnsi="Times New Roman"/>
          <w:b/>
          <w:sz w:val="20"/>
          <w:szCs w:val="20"/>
        </w:rPr>
        <w:t>Preparation of unknown analyte</w:t>
      </w:r>
    </w:p>
    <w:p w:rsidR="00CE7D3B" w:rsidRPr="00CE7D3B" w:rsidRDefault="00CE7D3B" w:rsidP="00CE7D3B">
      <w:pPr>
        <w:spacing w:after="0" w:line="240" w:lineRule="auto"/>
        <w:jc w:val="both"/>
        <w:rPr>
          <w:rFonts w:ascii="Times New Roman" w:hAnsi="Times New Roman"/>
          <w:sz w:val="20"/>
          <w:szCs w:val="20"/>
        </w:rPr>
      </w:pPr>
      <w:r w:rsidRPr="00CE7D3B">
        <w:rPr>
          <w:rFonts w:ascii="Times New Roman" w:hAnsi="Times New Roman"/>
          <w:sz w:val="20"/>
          <w:szCs w:val="20"/>
        </w:rPr>
        <w:t xml:space="preserve">The sieved fractions retained in the “pan” were dried for 3 hours at 120 </w:t>
      </w:r>
      <w:r w:rsidRPr="00CE7D3B">
        <w:rPr>
          <w:rFonts w:ascii="Cambria Math" w:hAnsi="Cambria Math" w:cs="Cambria Math"/>
          <w:sz w:val="20"/>
          <w:szCs w:val="20"/>
        </w:rPr>
        <w:t>⁰</w:t>
      </w:r>
      <w:r w:rsidRPr="00CE7D3B">
        <w:rPr>
          <w:rFonts w:ascii="Times New Roman" w:hAnsi="Times New Roman"/>
          <w:sz w:val="20"/>
          <w:szCs w:val="20"/>
        </w:rPr>
        <w:t xml:space="preserve">C in an oven and cooled. About 0.25 – 0.30g were obtained for each dried mortar sample and placed in separate 250 mL beakers. To dissolve the solid samples, 20.0 mL drop-wise addition of concentrated analytical grade HCl (Macron) was carefully done. This was followed by mixing 40.0 mL distilled water and stirred for 10 minutes at room temperature (30 </w:t>
      </w:r>
      <w:r w:rsidRPr="00CE7D3B">
        <w:rPr>
          <w:rFonts w:ascii="Cambria Math" w:hAnsi="Cambria Math" w:cs="Cambria Math"/>
          <w:sz w:val="20"/>
          <w:szCs w:val="20"/>
        </w:rPr>
        <w:t>⁰</w:t>
      </w:r>
      <w:r w:rsidRPr="00CE7D3B">
        <w:rPr>
          <w:rFonts w:ascii="Times New Roman" w:hAnsi="Times New Roman"/>
          <w:sz w:val="20"/>
          <w:szCs w:val="20"/>
        </w:rPr>
        <w:t xml:space="preserve">C) until all carbon dioxide was removed from the solution. </w:t>
      </w:r>
    </w:p>
    <w:p w:rsidR="00CE7D3B" w:rsidRPr="00CE7D3B" w:rsidRDefault="00CE7D3B" w:rsidP="00CE7D3B">
      <w:pPr>
        <w:spacing w:after="0" w:line="240" w:lineRule="auto"/>
        <w:jc w:val="both"/>
        <w:rPr>
          <w:rFonts w:ascii="Times New Roman" w:hAnsi="Times New Roman"/>
          <w:b/>
          <w:i/>
          <w:color w:val="FF0000"/>
          <w:sz w:val="20"/>
          <w:szCs w:val="20"/>
        </w:rPr>
      </w:pPr>
    </w:p>
    <w:p w:rsidR="00CE7D3B" w:rsidRPr="00CE7D3B" w:rsidRDefault="00CE7D3B" w:rsidP="00CE7D3B">
      <w:pPr>
        <w:spacing w:after="0" w:line="240" w:lineRule="auto"/>
        <w:jc w:val="both"/>
        <w:rPr>
          <w:rFonts w:ascii="Times New Roman" w:hAnsi="Times New Roman"/>
          <w:sz w:val="20"/>
          <w:szCs w:val="20"/>
        </w:rPr>
      </w:pPr>
      <w:r w:rsidRPr="00CE7D3B">
        <w:rPr>
          <w:rFonts w:ascii="Times New Roman" w:hAnsi="Times New Roman"/>
          <w:sz w:val="20"/>
          <w:szCs w:val="20"/>
        </w:rPr>
        <w:t>A 20.0 mL aliquot of the digested mortar samples was added with 3 drops of saturated bromine water and gently boiled for 3 minutes. Each sample portion was diluted with 20.0 mL distilled water, boiled and added with 15.0 mL of hot 6% (w/v) (NH</w:t>
      </w:r>
      <w:r w:rsidRPr="00CE7D3B">
        <w:rPr>
          <w:rFonts w:ascii="Times New Roman" w:hAnsi="Times New Roman"/>
          <w:sz w:val="20"/>
          <w:szCs w:val="20"/>
          <w:vertAlign w:val="subscript"/>
        </w:rPr>
        <w:t>4</w:t>
      </w:r>
      <w:r w:rsidRPr="00CE7D3B">
        <w:rPr>
          <w:rFonts w:ascii="Times New Roman" w:hAnsi="Times New Roman"/>
          <w:sz w:val="20"/>
          <w:szCs w:val="20"/>
        </w:rPr>
        <w:t>)</w:t>
      </w:r>
      <w:r w:rsidRPr="00CE7D3B">
        <w:rPr>
          <w:rFonts w:ascii="Times New Roman" w:hAnsi="Times New Roman"/>
          <w:sz w:val="20"/>
          <w:szCs w:val="20"/>
          <w:vertAlign w:val="subscript"/>
        </w:rPr>
        <w:t>2</w:t>
      </w:r>
      <w:r w:rsidRPr="00CE7D3B">
        <w:rPr>
          <w:rFonts w:ascii="Times New Roman" w:hAnsi="Times New Roman"/>
          <w:sz w:val="20"/>
          <w:szCs w:val="20"/>
        </w:rPr>
        <w:t>C</w:t>
      </w:r>
      <w:r w:rsidRPr="00CE7D3B">
        <w:rPr>
          <w:rFonts w:ascii="Times New Roman" w:hAnsi="Times New Roman"/>
          <w:sz w:val="20"/>
          <w:szCs w:val="20"/>
          <w:vertAlign w:val="subscript"/>
        </w:rPr>
        <w:t>2</w:t>
      </w:r>
      <w:r w:rsidRPr="00CE7D3B">
        <w:rPr>
          <w:rFonts w:ascii="Times New Roman" w:hAnsi="Times New Roman"/>
          <w:sz w:val="20"/>
          <w:szCs w:val="20"/>
        </w:rPr>
        <w:t>O</w:t>
      </w:r>
      <w:r w:rsidRPr="00CE7D3B">
        <w:rPr>
          <w:rFonts w:ascii="Times New Roman" w:hAnsi="Times New Roman"/>
          <w:sz w:val="20"/>
          <w:szCs w:val="20"/>
          <w:vertAlign w:val="subscript"/>
        </w:rPr>
        <w:t>4</w:t>
      </w:r>
      <w:r w:rsidRPr="00CE7D3B">
        <w:rPr>
          <w:rFonts w:ascii="Times New Roman" w:hAnsi="Times New Roman"/>
          <w:sz w:val="20"/>
          <w:szCs w:val="20"/>
        </w:rPr>
        <w:t xml:space="preserve"> (Mallinckrodt, 99%) solution. To precipitate the CaC</w:t>
      </w:r>
      <w:r w:rsidRPr="00CE7D3B">
        <w:rPr>
          <w:rFonts w:ascii="Times New Roman" w:hAnsi="Times New Roman"/>
          <w:sz w:val="20"/>
          <w:szCs w:val="20"/>
          <w:vertAlign w:val="subscript"/>
        </w:rPr>
        <w:t>2</w:t>
      </w:r>
      <w:r w:rsidRPr="00CE7D3B">
        <w:rPr>
          <w:rFonts w:ascii="Times New Roman" w:hAnsi="Times New Roman"/>
          <w:sz w:val="20"/>
          <w:szCs w:val="20"/>
        </w:rPr>
        <w:t>O</w:t>
      </w:r>
      <w:r w:rsidRPr="00CE7D3B">
        <w:rPr>
          <w:rFonts w:ascii="Times New Roman" w:hAnsi="Times New Roman"/>
          <w:sz w:val="20"/>
          <w:szCs w:val="20"/>
          <w:vertAlign w:val="subscript"/>
        </w:rPr>
        <w:t>4</w:t>
      </w:r>
      <w:r w:rsidRPr="00CE7D3B">
        <w:rPr>
          <w:rFonts w:ascii="Times New Roman" w:hAnsi="Times New Roman"/>
          <w:sz w:val="20"/>
          <w:szCs w:val="20"/>
        </w:rPr>
        <w:t>, 6M NH</w:t>
      </w:r>
      <w:r w:rsidRPr="00CE7D3B">
        <w:rPr>
          <w:rFonts w:ascii="Times New Roman" w:hAnsi="Times New Roman"/>
          <w:sz w:val="20"/>
          <w:szCs w:val="20"/>
          <w:vertAlign w:val="subscript"/>
        </w:rPr>
        <w:t>3</w:t>
      </w:r>
      <w:r w:rsidRPr="00CE7D3B">
        <w:rPr>
          <w:rFonts w:ascii="Times New Roman" w:hAnsi="Times New Roman"/>
          <w:sz w:val="20"/>
          <w:szCs w:val="20"/>
        </w:rPr>
        <w:t xml:space="preserve"> (Merck, 25%) solution was added slowly until color changes from an intermediate yellow-orange or pH range from 4.5 –</w:t>
      </w:r>
    </w:p>
    <w:p w:rsidR="00CE7D3B" w:rsidRPr="00CE7D3B" w:rsidRDefault="00CE7D3B" w:rsidP="00CE7D3B">
      <w:pPr>
        <w:spacing w:after="0" w:line="240" w:lineRule="auto"/>
        <w:jc w:val="both"/>
        <w:rPr>
          <w:rFonts w:ascii="Times New Roman" w:hAnsi="Times New Roman"/>
          <w:sz w:val="20"/>
          <w:szCs w:val="20"/>
        </w:rPr>
      </w:pPr>
      <w:r w:rsidRPr="00CE7D3B">
        <w:rPr>
          <w:rFonts w:ascii="Times New Roman" w:hAnsi="Times New Roman"/>
          <w:sz w:val="20"/>
          <w:szCs w:val="20"/>
        </w:rPr>
        <w:t>5.5. The solution was allowed to stand for 20 minutes and filtered. The precipitate was washed several times with 5.0 mL of cold water to induce the formation of more precipitates.</w:t>
      </w:r>
    </w:p>
    <w:p w:rsidR="00CE7D3B" w:rsidRPr="00CE7D3B" w:rsidRDefault="00CE7D3B" w:rsidP="00CE7D3B">
      <w:pPr>
        <w:spacing w:after="0" w:line="240" w:lineRule="auto"/>
        <w:jc w:val="both"/>
        <w:rPr>
          <w:rFonts w:ascii="Times New Roman" w:hAnsi="Times New Roman"/>
          <w:b/>
          <w:i/>
          <w:color w:val="FF0000"/>
          <w:sz w:val="20"/>
          <w:szCs w:val="20"/>
        </w:rPr>
      </w:pPr>
      <w:r w:rsidRPr="00CE7D3B">
        <w:rPr>
          <w:rFonts w:ascii="Times New Roman" w:hAnsi="Times New Roman"/>
          <w:color w:val="FF0000"/>
          <w:sz w:val="20"/>
          <w:szCs w:val="20"/>
        </w:rPr>
        <w:t xml:space="preserve">  </w:t>
      </w:r>
    </w:p>
    <w:p w:rsidR="00CE7D3B" w:rsidRPr="00CE7D3B" w:rsidRDefault="00CE7D3B" w:rsidP="00CE7D3B">
      <w:pPr>
        <w:spacing w:after="0" w:line="240" w:lineRule="auto"/>
        <w:jc w:val="both"/>
        <w:rPr>
          <w:rFonts w:ascii="Times New Roman" w:hAnsi="Times New Roman"/>
          <w:sz w:val="20"/>
          <w:szCs w:val="20"/>
        </w:rPr>
      </w:pPr>
      <w:r w:rsidRPr="00CE7D3B">
        <w:rPr>
          <w:rFonts w:ascii="Times New Roman" w:hAnsi="Times New Roman"/>
          <w:sz w:val="20"/>
          <w:szCs w:val="20"/>
        </w:rPr>
        <w:lastRenderedPageBreak/>
        <w:t>The CaC</w:t>
      </w:r>
      <w:r w:rsidRPr="00CE7D3B">
        <w:rPr>
          <w:rFonts w:ascii="Times New Roman" w:hAnsi="Times New Roman"/>
          <w:sz w:val="20"/>
          <w:szCs w:val="20"/>
          <w:vertAlign w:val="subscript"/>
        </w:rPr>
        <w:t>2</w:t>
      </w:r>
      <w:r w:rsidRPr="00CE7D3B">
        <w:rPr>
          <w:rFonts w:ascii="Times New Roman" w:hAnsi="Times New Roman"/>
          <w:sz w:val="20"/>
          <w:szCs w:val="20"/>
        </w:rPr>
        <w:t>O</w:t>
      </w:r>
      <w:r w:rsidRPr="00CE7D3B">
        <w:rPr>
          <w:rFonts w:ascii="Times New Roman" w:hAnsi="Times New Roman"/>
          <w:sz w:val="20"/>
          <w:szCs w:val="20"/>
          <w:vertAlign w:val="subscript"/>
        </w:rPr>
        <w:t xml:space="preserve">4 </w:t>
      </w:r>
      <w:r w:rsidRPr="00CE7D3B">
        <w:rPr>
          <w:rFonts w:ascii="Times New Roman" w:hAnsi="Times New Roman"/>
          <w:sz w:val="20"/>
          <w:szCs w:val="20"/>
        </w:rPr>
        <w:t>precipitate from each trial was dissolved in 15.0 mL distilled water and 7.0 mL 3M H</w:t>
      </w:r>
      <w:r w:rsidRPr="00CE7D3B">
        <w:rPr>
          <w:rFonts w:ascii="Times New Roman" w:hAnsi="Times New Roman"/>
          <w:sz w:val="20"/>
          <w:szCs w:val="20"/>
          <w:vertAlign w:val="subscript"/>
        </w:rPr>
        <w:t>2</w:t>
      </w:r>
      <w:r w:rsidRPr="00CE7D3B">
        <w:rPr>
          <w:rFonts w:ascii="Times New Roman" w:hAnsi="Times New Roman"/>
          <w:sz w:val="20"/>
          <w:szCs w:val="20"/>
        </w:rPr>
        <w:t>SO</w:t>
      </w:r>
      <w:r w:rsidRPr="00CE7D3B">
        <w:rPr>
          <w:rFonts w:ascii="Times New Roman" w:hAnsi="Times New Roman"/>
          <w:sz w:val="20"/>
          <w:szCs w:val="20"/>
          <w:vertAlign w:val="subscript"/>
        </w:rPr>
        <w:t>4</w:t>
      </w:r>
      <w:r w:rsidRPr="00CE7D3B">
        <w:rPr>
          <w:rFonts w:ascii="Times New Roman" w:hAnsi="Times New Roman"/>
          <w:sz w:val="20"/>
          <w:szCs w:val="20"/>
        </w:rPr>
        <w:t xml:space="preserve"> in a beaker. It was heated and maintained at a temperature between 80 – 90 </w:t>
      </w:r>
      <w:r w:rsidRPr="00CE7D3B">
        <w:rPr>
          <w:rFonts w:ascii="Cambria Math" w:hAnsi="Cambria Math" w:cs="Cambria Math"/>
          <w:sz w:val="20"/>
          <w:szCs w:val="20"/>
        </w:rPr>
        <w:t>⁰</w:t>
      </w:r>
      <w:r w:rsidRPr="00CE7D3B">
        <w:rPr>
          <w:rFonts w:ascii="Times New Roman" w:hAnsi="Times New Roman"/>
          <w:sz w:val="20"/>
          <w:szCs w:val="20"/>
        </w:rPr>
        <w:t>C while being titrated with the standardized KMnO</w:t>
      </w:r>
      <w:r w:rsidRPr="00CE7D3B">
        <w:rPr>
          <w:rFonts w:ascii="Times New Roman" w:hAnsi="Times New Roman"/>
          <w:sz w:val="20"/>
          <w:szCs w:val="20"/>
          <w:vertAlign w:val="subscript"/>
        </w:rPr>
        <w:t>4</w:t>
      </w:r>
      <w:r w:rsidRPr="00CE7D3B">
        <w:rPr>
          <w:rFonts w:ascii="Times New Roman" w:hAnsi="Times New Roman"/>
          <w:sz w:val="20"/>
          <w:szCs w:val="20"/>
        </w:rPr>
        <w:t>. A blank volume was titrated (0.20 mL) and subtracted from the volume of KMnO</w:t>
      </w:r>
      <w:r w:rsidRPr="00CE7D3B">
        <w:rPr>
          <w:rFonts w:ascii="Times New Roman" w:hAnsi="Times New Roman"/>
          <w:sz w:val="20"/>
          <w:szCs w:val="20"/>
          <w:vertAlign w:val="subscript"/>
        </w:rPr>
        <w:t>4</w:t>
      </w:r>
      <w:r w:rsidRPr="00CE7D3B">
        <w:rPr>
          <w:rFonts w:ascii="Times New Roman" w:hAnsi="Times New Roman"/>
          <w:sz w:val="20"/>
          <w:szCs w:val="20"/>
        </w:rPr>
        <w:t xml:space="preserve"> consumed. The percentage of calcium in the mortar samples was computed.</w:t>
      </w:r>
    </w:p>
    <w:p w:rsidR="00CE7D3B" w:rsidRPr="00CE7D3B" w:rsidRDefault="00CE7D3B" w:rsidP="00CE7D3B">
      <w:pPr>
        <w:spacing w:after="0" w:line="240" w:lineRule="auto"/>
        <w:jc w:val="both"/>
        <w:rPr>
          <w:rFonts w:ascii="Times New Roman" w:hAnsi="Times New Roman"/>
          <w:sz w:val="20"/>
          <w:szCs w:val="20"/>
        </w:rPr>
      </w:pPr>
    </w:p>
    <w:p w:rsidR="00CE7D3B" w:rsidRPr="00CE7D3B" w:rsidRDefault="00CE7D3B" w:rsidP="00CE7D3B">
      <w:pPr>
        <w:spacing w:after="0" w:line="240" w:lineRule="auto"/>
        <w:jc w:val="both"/>
        <w:rPr>
          <w:rFonts w:ascii="Times New Roman" w:hAnsi="Times New Roman"/>
          <w:b/>
          <w:sz w:val="20"/>
          <w:szCs w:val="20"/>
        </w:rPr>
      </w:pPr>
      <w:r w:rsidRPr="00CE7D3B">
        <w:rPr>
          <w:rFonts w:ascii="Times New Roman" w:hAnsi="Times New Roman"/>
          <w:b/>
          <w:sz w:val="20"/>
          <w:szCs w:val="20"/>
        </w:rPr>
        <w:t xml:space="preserve">Calcium determination by atomic absorption spectroscopy </w:t>
      </w:r>
    </w:p>
    <w:p w:rsidR="00CE7D3B" w:rsidRPr="00CE7D3B" w:rsidRDefault="00CE7D3B" w:rsidP="00CE7D3B">
      <w:pPr>
        <w:spacing w:after="0" w:line="240" w:lineRule="auto"/>
        <w:jc w:val="both"/>
        <w:rPr>
          <w:rFonts w:ascii="Times New Roman" w:hAnsi="Times New Roman"/>
          <w:sz w:val="20"/>
          <w:szCs w:val="20"/>
        </w:rPr>
      </w:pPr>
      <w:r w:rsidRPr="00CE7D3B">
        <w:rPr>
          <w:rFonts w:ascii="Times New Roman" w:hAnsi="Times New Roman"/>
          <w:sz w:val="20"/>
          <w:szCs w:val="20"/>
        </w:rPr>
        <w:t>Calibration curves were prepared by diluting a commercially available 1000 ppm analytical standard grade calcium solution (Fluka) to concentrations of 0.10, 0.30, 0.50, 0.80 and 1.0 ppm, respectively, in separate 50 mL volumetric flasks. The concentration range assures that the calibration curve is linear as required by Beer’s Law. A chemical suppressant (2.5 mL, 5.0% w/v strontium nitrate, Sr(NO</w:t>
      </w:r>
      <w:r w:rsidRPr="00CE7D3B">
        <w:rPr>
          <w:rFonts w:ascii="Times New Roman" w:hAnsi="Times New Roman"/>
          <w:sz w:val="20"/>
          <w:szCs w:val="20"/>
          <w:vertAlign w:val="subscript"/>
        </w:rPr>
        <w:t>3</w:t>
      </w:r>
      <w:r w:rsidRPr="00CE7D3B">
        <w:rPr>
          <w:rFonts w:ascii="Times New Roman" w:hAnsi="Times New Roman"/>
          <w:sz w:val="20"/>
          <w:szCs w:val="20"/>
        </w:rPr>
        <w:t>)</w:t>
      </w:r>
      <w:r w:rsidRPr="00CE7D3B">
        <w:rPr>
          <w:rFonts w:ascii="Times New Roman" w:hAnsi="Times New Roman"/>
          <w:sz w:val="20"/>
          <w:szCs w:val="20"/>
          <w:vertAlign w:val="subscript"/>
        </w:rPr>
        <w:t>2</w:t>
      </w:r>
      <w:r w:rsidRPr="00CE7D3B">
        <w:rPr>
          <w:rFonts w:ascii="Times New Roman" w:hAnsi="Times New Roman"/>
          <w:sz w:val="20"/>
          <w:szCs w:val="20"/>
        </w:rPr>
        <w:t>) were also added to each standard solution before diluting to the mark with distilled water. Absorbance readings were recorded in a Shimadzu AA-6300 Atomic Absorption Spectrophotometer in an air-acetylene gas mixture at a detection wavelength of 423 nm. Three replicate measurements were performed. Distilled water was used as solvent blank during the experiment [16].</w:t>
      </w:r>
    </w:p>
    <w:p w:rsidR="00CE7D3B" w:rsidRPr="00CE7D3B" w:rsidRDefault="00CE7D3B" w:rsidP="00CE7D3B">
      <w:pPr>
        <w:spacing w:after="0" w:line="240" w:lineRule="auto"/>
        <w:jc w:val="both"/>
        <w:rPr>
          <w:rFonts w:ascii="Times New Roman" w:hAnsi="Times New Roman"/>
          <w:sz w:val="20"/>
          <w:szCs w:val="20"/>
        </w:rPr>
      </w:pPr>
    </w:p>
    <w:p w:rsidR="00CE7D3B" w:rsidRPr="00CE7D3B" w:rsidRDefault="00CE7D3B" w:rsidP="00CE7D3B">
      <w:pPr>
        <w:spacing w:after="0" w:line="240" w:lineRule="auto"/>
        <w:jc w:val="both"/>
        <w:rPr>
          <w:rFonts w:ascii="Times New Roman" w:hAnsi="Times New Roman"/>
          <w:sz w:val="20"/>
          <w:szCs w:val="20"/>
        </w:rPr>
      </w:pPr>
      <w:r w:rsidRPr="00CE7D3B">
        <w:rPr>
          <w:rFonts w:ascii="Times New Roman" w:hAnsi="Times New Roman"/>
          <w:sz w:val="20"/>
          <w:szCs w:val="20"/>
        </w:rPr>
        <w:t xml:space="preserve">For </w:t>
      </w:r>
      <w:r w:rsidR="00FD4094">
        <w:rPr>
          <w:rFonts w:ascii="Times New Roman" w:hAnsi="Times New Roman"/>
          <w:sz w:val="20"/>
          <w:szCs w:val="20"/>
        </w:rPr>
        <w:t xml:space="preserve"> </w:t>
      </w:r>
      <w:r w:rsidRPr="00CE7D3B">
        <w:rPr>
          <w:rFonts w:ascii="Times New Roman" w:hAnsi="Times New Roman"/>
          <w:sz w:val="20"/>
          <w:szCs w:val="20"/>
        </w:rPr>
        <w:t xml:space="preserve">the </w:t>
      </w:r>
      <w:r w:rsidR="00FD4094">
        <w:rPr>
          <w:rFonts w:ascii="Times New Roman" w:hAnsi="Times New Roman"/>
          <w:sz w:val="20"/>
          <w:szCs w:val="20"/>
        </w:rPr>
        <w:t xml:space="preserve"> </w:t>
      </w:r>
      <w:r w:rsidRPr="00CE7D3B">
        <w:rPr>
          <w:rFonts w:ascii="Times New Roman" w:hAnsi="Times New Roman"/>
          <w:sz w:val="20"/>
          <w:szCs w:val="20"/>
        </w:rPr>
        <w:t xml:space="preserve">mortar samples, 0.20 mL aliquot </w:t>
      </w:r>
      <w:r w:rsidR="00FD4094">
        <w:rPr>
          <w:rFonts w:ascii="Times New Roman" w:hAnsi="Times New Roman"/>
          <w:sz w:val="20"/>
          <w:szCs w:val="20"/>
        </w:rPr>
        <w:t xml:space="preserve"> </w:t>
      </w:r>
      <w:r w:rsidRPr="00CE7D3B">
        <w:rPr>
          <w:rFonts w:ascii="Times New Roman" w:hAnsi="Times New Roman"/>
          <w:sz w:val="20"/>
          <w:szCs w:val="20"/>
        </w:rPr>
        <w:t xml:space="preserve">portion </w:t>
      </w:r>
      <w:r w:rsidR="00FD4094">
        <w:rPr>
          <w:rFonts w:ascii="Times New Roman" w:hAnsi="Times New Roman"/>
          <w:sz w:val="20"/>
          <w:szCs w:val="20"/>
        </w:rPr>
        <w:t xml:space="preserve"> </w:t>
      </w:r>
      <w:r w:rsidRPr="00CE7D3B">
        <w:rPr>
          <w:rFonts w:ascii="Times New Roman" w:hAnsi="Times New Roman"/>
          <w:sz w:val="20"/>
          <w:szCs w:val="20"/>
        </w:rPr>
        <w:t xml:space="preserve">from </w:t>
      </w:r>
      <w:r w:rsidR="00FD4094">
        <w:rPr>
          <w:rFonts w:ascii="Times New Roman" w:hAnsi="Times New Roman"/>
          <w:sz w:val="20"/>
          <w:szCs w:val="20"/>
        </w:rPr>
        <w:t xml:space="preserve"> </w:t>
      </w:r>
      <w:r w:rsidRPr="00CE7D3B">
        <w:rPr>
          <w:rFonts w:ascii="Times New Roman" w:hAnsi="Times New Roman"/>
          <w:sz w:val="20"/>
          <w:szCs w:val="20"/>
        </w:rPr>
        <w:t xml:space="preserve">the </w:t>
      </w:r>
      <w:r w:rsidR="00FD4094">
        <w:rPr>
          <w:rFonts w:ascii="Times New Roman" w:hAnsi="Times New Roman"/>
          <w:sz w:val="20"/>
          <w:szCs w:val="20"/>
        </w:rPr>
        <w:t xml:space="preserve"> </w:t>
      </w:r>
      <w:r w:rsidRPr="00CE7D3B">
        <w:rPr>
          <w:rFonts w:ascii="Times New Roman" w:hAnsi="Times New Roman"/>
          <w:sz w:val="20"/>
          <w:szCs w:val="20"/>
        </w:rPr>
        <w:t xml:space="preserve">original </w:t>
      </w:r>
      <w:r w:rsidR="00FD4094">
        <w:rPr>
          <w:rFonts w:ascii="Times New Roman" w:hAnsi="Times New Roman"/>
          <w:sz w:val="20"/>
          <w:szCs w:val="20"/>
        </w:rPr>
        <w:t xml:space="preserve"> </w:t>
      </w:r>
      <w:r w:rsidRPr="00CE7D3B">
        <w:rPr>
          <w:rFonts w:ascii="Times New Roman" w:hAnsi="Times New Roman"/>
          <w:sz w:val="20"/>
          <w:szCs w:val="20"/>
        </w:rPr>
        <w:t xml:space="preserve">250 mL </w:t>
      </w:r>
      <w:r w:rsidR="00FD4094">
        <w:rPr>
          <w:rFonts w:ascii="Times New Roman" w:hAnsi="Times New Roman"/>
          <w:sz w:val="20"/>
          <w:szCs w:val="20"/>
        </w:rPr>
        <w:t xml:space="preserve"> </w:t>
      </w:r>
      <w:r w:rsidRPr="00CE7D3B">
        <w:rPr>
          <w:rFonts w:ascii="Times New Roman" w:hAnsi="Times New Roman"/>
          <w:sz w:val="20"/>
          <w:szCs w:val="20"/>
        </w:rPr>
        <w:t>EDTA</w:t>
      </w:r>
      <w:r w:rsidR="00FD4094">
        <w:rPr>
          <w:rFonts w:ascii="Times New Roman" w:hAnsi="Times New Roman"/>
          <w:sz w:val="20"/>
          <w:szCs w:val="20"/>
        </w:rPr>
        <w:t xml:space="preserve"> </w:t>
      </w:r>
      <w:r w:rsidRPr="00CE7D3B">
        <w:rPr>
          <w:rFonts w:ascii="Times New Roman" w:hAnsi="Times New Roman"/>
          <w:sz w:val="20"/>
          <w:szCs w:val="20"/>
        </w:rPr>
        <w:t xml:space="preserve"> digested </w:t>
      </w:r>
      <w:r w:rsidR="00FD4094">
        <w:rPr>
          <w:rFonts w:ascii="Times New Roman" w:hAnsi="Times New Roman"/>
          <w:sz w:val="20"/>
          <w:szCs w:val="20"/>
        </w:rPr>
        <w:t xml:space="preserve"> </w:t>
      </w:r>
      <w:r w:rsidRPr="00CE7D3B">
        <w:rPr>
          <w:rFonts w:ascii="Times New Roman" w:hAnsi="Times New Roman"/>
          <w:sz w:val="20"/>
          <w:szCs w:val="20"/>
        </w:rPr>
        <w:t xml:space="preserve">binder </w:t>
      </w:r>
      <w:r w:rsidR="00FD4094">
        <w:rPr>
          <w:rFonts w:ascii="Times New Roman" w:hAnsi="Times New Roman"/>
          <w:sz w:val="20"/>
          <w:szCs w:val="20"/>
        </w:rPr>
        <w:t xml:space="preserve">  </w:t>
      </w:r>
      <w:r w:rsidRPr="00CE7D3B">
        <w:rPr>
          <w:rFonts w:ascii="Times New Roman" w:hAnsi="Times New Roman"/>
          <w:sz w:val="20"/>
          <w:szCs w:val="20"/>
        </w:rPr>
        <w:t xml:space="preserve">fraction </w:t>
      </w:r>
      <w:r>
        <w:rPr>
          <w:rFonts w:ascii="Times New Roman" w:hAnsi="Times New Roman"/>
          <w:sz w:val="20"/>
          <w:szCs w:val="20"/>
        </w:rPr>
        <w:t xml:space="preserve"> </w:t>
      </w:r>
      <w:r w:rsidRPr="00CE7D3B">
        <w:rPr>
          <w:rFonts w:ascii="Times New Roman" w:hAnsi="Times New Roman"/>
          <w:sz w:val="20"/>
          <w:szCs w:val="20"/>
        </w:rPr>
        <w:t>(&lt; 0.075 mm) was added with 0.50 mL of 5.0% Sr(NO</w:t>
      </w:r>
      <w:r w:rsidRPr="00CE7D3B">
        <w:rPr>
          <w:rFonts w:ascii="Times New Roman" w:hAnsi="Times New Roman"/>
          <w:sz w:val="20"/>
          <w:szCs w:val="20"/>
          <w:vertAlign w:val="subscript"/>
        </w:rPr>
        <w:t>3</w:t>
      </w:r>
      <w:r w:rsidRPr="00CE7D3B">
        <w:rPr>
          <w:rFonts w:ascii="Times New Roman" w:hAnsi="Times New Roman"/>
          <w:sz w:val="20"/>
          <w:szCs w:val="20"/>
        </w:rPr>
        <w:t>)</w:t>
      </w:r>
      <w:r w:rsidRPr="00CE7D3B">
        <w:rPr>
          <w:rFonts w:ascii="Times New Roman" w:hAnsi="Times New Roman"/>
          <w:sz w:val="20"/>
          <w:szCs w:val="20"/>
          <w:vertAlign w:val="subscript"/>
        </w:rPr>
        <w:t>2</w:t>
      </w:r>
      <w:r w:rsidRPr="00CE7D3B">
        <w:rPr>
          <w:rFonts w:ascii="Times New Roman" w:hAnsi="Times New Roman"/>
          <w:sz w:val="20"/>
          <w:szCs w:val="20"/>
        </w:rPr>
        <w:t xml:space="preserve"> in separate 100 mL volumetric flasks. The same AAS parameters mentioned in the preparation of the calcium standard curve were followed afterwards.</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355C4C" w:rsidRPr="00355C4C" w:rsidRDefault="00355C4C" w:rsidP="00355C4C">
      <w:pPr>
        <w:spacing w:after="0" w:line="240" w:lineRule="auto"/>
        <w:jc w:val="both"/>
        <w:rPr>
          <w:rFonts w:ascii="Times New Roman" w:hAnsi="Times New Roman"/>
          <w:b/>
          <w:sz w:val="20"/>
          <w:szCs w:val="20"/>
        </w:rPr>
      </w:pPr>
      <w:r w:rsidRPr="00355C4C">
        <w:rPr>
          <w:rFonts w:ascii="Times New Roman" w:hAnsi="Times New Roman"/>
          <w:b/>
          <w:sz w:val="20"/>
          <w:szCs w:val="20"/>
        </w:rPr>
        <w:t>Particle size distribution in mortars</w:t>
      </w:r>
    </w:p>
    <w:p w:rsidR="00355C4C" w:rsidRPr="00355C4C" w:rsidRDefault="00355C4C" w:rsidP="00355C4C">
      <w:pPr>
        <w:spacing w:after="0" w:line="240" w:lineRule="auto"/>
        <w:jc w:val="both"/>
        <w:rPr>
          <w:rFonts w:ascii="Times New Roman" w:hAnsi="Times New Roman"/>
          <w:sz w:val="20"/>
          <w:szCs w:val="20"/>
        </w:rPr>
      </w:pPr>
      <w:r w:rsidRPr="00355C4C">
        <w:rPr>
          <w:rFonts w:ascii="Times New Roman" w:hAnsi="Times New Roman"/>
          <w:sz w:val="20"/>
          <w:szCs w:val="20"/>
        </w:rPr>
        <w:t>The mechanical separation of different grain sizes in the mortar samples was achieved through sieve analysis. The relative sizes of the particles and their distribution in the mortar are related to their engineering behaviour [17]. Figure 2 shows the relationship between the mesh size and the percentage of particles retained in a specific sieve for both lime mortar samples. Based on the American Society for Testing and Materials (ASTM, 1980) classification system, the sample from Misamis Oriental is generally composed of fine sand aggregates since most of its weight retained in the 0.250 mm and 0.150 mm sieve sizes, respectively. The Metro Manila sample, however, is mainly made up of medium to fine sand aggregates due to more particles distributed within the sieve size range of 0.600 mm to 0.250 mm, respectively. The absence of particles retained in the 4.750 mm sieve size for the Misamis Oriental sample was compensated by a higher percentage amount of binder fraction from the “pan” (&lt;0.075 mm) [18] which is comparable in weight with the 0.150 mm sieve size. This is in contrast with the Metro Manila sample which has a well-represented particle size distribution, hence, a relatively lower percentage of the binder fraction was observed. There was no evidence which may suggest that the aggregates in both mortar samples are calcitic (CaCO</w:t>
      </w:r>
      <w:r w:rsidRPr="00355C4C">
        <w:rPr>
          <w:rFonts w:ascii="Times New Roman" w:hAnsi="Times New Roman"/>
          <w:sz w:val="20"/>
          <w:szCs w:val="20"/>
          <w:vertAlign w:val="subscript"/>
        </w:rPr>
        <w:t>3</w:t>
      </w:r>
      <w:r w:rsidRPr="00355C4C">
        <w:rPr>
          <w:rFonts w:ascii="Times New Roman" w:hAnsi="Times New Roman"/>
          <w:sz w:val="20"/>
          <w:szCs w:val="20"/>
        </w:rPr>
        <w:t xml:space="preserve">) in nature.  </w:t>
      </w:r>
    </w:p>
    <w:p w:rsidR="00355C4C" w:rsidRPr="00355C4C" w:rsidRDefault="00355C4C" w:rsidP="00355C4C">
      <w:pPr>
        <w:spacing w:after="120" w:line="240" w:lineRule="auto"/>
        <w:jc w:val="both"/>
        <w:rPr>
          <w:rFonts w:ascii="Times New Roman" w:hAnsi="Times New Roman"/>
          <w:sz w:val="20"/>
          <w:szCs w:val="20"/>
        </w:rPr>
      </w:pPr>
    </w:p>
    <w:p w:rsidR="00355C4C" w:rsidRPr="007757FC" w:rsidRDefault="00355C4C" w:rsidP="007757FC">
      <w:pPr>
        <w:spacing w:after="120" w:line="240" w:lineRule="auto"/>
        <w:jc w:val="both"/>
        <w:rPr>
          <w:rFonts w:ascii="Times New Roman" w:hAnsi="Times New Roman"/>
          <w:b/>
          <w:sz w:val="20"/>
          <w:szCs w:val="20"/>
        </w:rPr>
      </w:pPr>
      <w:r>
        <w:rPr>
          <w:rFonts w:ascii="Times New Roman" w:hAnsi="Times New Roman"/>
          <w:b/>
          <w:sz w:val="20"/>
          <w:szCs w:val="20"/>
        </w:rPr>
        <w:t xml:space="preserve">                          </w:t>
      </w:r>
      <w:r w:rsidRPr="00355C4C">
        <w:rPr>
          <w:rFonts w:ascii="Times New Roman" w:hAnsi="Times New Roman"/>
          <w:noProof/>
          <w:sz w:val="20"/>
          <w:szCs w:val="20"/>
          <w:lang w:bidi="ar-SA"/>
        </w:rPr>
        <w:drawing>
          <wp:inline distT="0" distB="0" distL="0" distR="0" wp14:anchorId="2BC24F08" wp14:editId="585EBE05">
            <wp:extent cx="4280007" cy="2351314"/>
            <wp:effectExtent l="0" t="0" r="6350" b="1143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55C4C" w:rsidRPr="00355C4C" w:rsidRDefault="00355C4C" w:rsidP="00355C4C">
      <w:pPr>
        <w:spacing w:after="0" w:line="240" w:lineRule="auto"/>
        <w:jc w:val="center"/>
        <w:rPr>
          <w:rFonts w:ascii="Times New Roman" w:hAnsi="Times New Roman"/>
          <w:sz w:val="20"/>
          <w:szCs w:val="20"/>
        </w:rPr>
      </w:pPr>
      <w:r w:rsidRPr="00355C4C">
        <w:rPr>
          <w:rFonts w:ascii="Times New Roman" w:hAnsi="Times New Roman"/>
          <w:sz w:val="20"/>
          <w:szCs w:val="20"/>
        </w:rPr>
        <w:t xml:space="preserve">Figure 2. </w:t>
      </w:r>
      <w:r>
        <w:rPr>
          <w:rFonts w:ascii="Times New Roman" w:hAnsi="Times New Roman"/>
          <w:sz w:val="20"/>
          <w:szCs w:val="20"/>
        </w:rPr>
        <w:t xml:space="preserve"> </w:t>
      </w:r>
      <w:r w:rsidRPr="00355C4C">
        <w:rPr>
          <w:rFonts w:ascii="Times New Roman" w:hAnsi="Times New Roman"/>
          <w:sz w:val="20"/>
          <w:szCs w:val="20"/>
        </w:rPr>
        <w:t>Grain size weight distributions of the mortar samples</w:t>
      </w:r>
    </w:p>
    <w:p w:rsidR="00355C4C" w:rsidRPr="00355C4C" w:rsidRDefault="00355C4C" w:rsidP="00355C4C">
      <w:pPr>
        <w:spacing w:after="0" w:line="240" w:lineRule="auto"/>
        <w:jc w:val="both"/>
        <w:rPr>
          <w:rFonts w:ascii="Times New Roman" w:hAnsi="Times New Roman"/>
          <w:sz w:val="20"/>
          <w:szCs w:val="20"/>
        </w:rPr>
      </w:pPr>
    </w:p>
    <w:p w:rsidR="00355C4C" w:rsidRPr="00355C4C" w:rsidRDefault="00355C4C" w:rsidP="00355C4C">
      <w:pPr>
        <w:spacing w:after="0" w:line="240" w:lineRule="auto"/>
        <w:jc w:val="both"/>
        <w:rPr>
          <w:rFonts w:ascii="Times New Roman" w:hAnsi="Times New Roman"/>
          <w:sz w:val="20"/>
          <w:szCs w:val="20"/>
        </w:rPr>
      </w:pPr>
      <w:r w:rsidRPr="00355C4C">
        <w:rPr>
          <w:rFonts w:ascii="Times New Roman" w:hAnsi="Times New Roman"/>
          <w:sz w:val="20"/>
          <w:szCs w:val="20"/>
        </w:rPr>
        <w:lastRenderedPageBreak/>
        <w:t>To know if the old mortar samples were manufactured with good representations of each particle sizes, a gradation curve was plotted as shown in Figure 3. From this logarithmic plot, the important basic parameters of effective size (D</w:t>
      </w:r>
      <w:r w:rsidRPr="00355C4C">
        <w:rPr>
          <w:rFonts w:ascii="Times New Roman" w:hAnsi="Times New Roman"/>
          <w:sz w:val="20"/>
          <w:szCs w:val="20"/>
          <w:vertAlign w:val="subscript"/>
        </w:rPr>
        <w:t>10</w:t>
      </w:r>
      <w:r w:rsidRPr="00355C4C">
        <w:rPr>
          <w:rFonts w:ascii="Times New Roman" w:hAnsi="Times New Roman"/>
          <w:sz w:val="20"/>
          <w:szCs w:val="20"/>
        </w:rPr>
        <w:t>), uniformity coefficient (C</w:t>
      </w:r>
      <w:r w:rsidRPr="00355C4C">
        <w:rPr>
          <w:rFonts w:ascii="Times New Roman" w:hAnsi="Times New Roman"/>
          <w:sz w:val="20"/>
          <w:szCs w:val="20"/>
          <w:vertAlign w:val="subscript"/>
        </w:rPr>
        <w:t>u</w:t>
      </w:r>
      <w:r w:rsidRPr="00355C4C">
        <w:rPr>
          <w:rFonts w:ascii="Times New Roman" w:hAnsi="Times New Roman"/>
          <w:sz w:val="20"/>
          <w:szCs w:val="20"/>
        </w:rPr>
        <w:t>) and coefficient of curvature (C</w:t>
      </w:r>
      <w:r w:rsidRPr="00355C4C">
        <w:rPr>
          <w:rFonts w:ascii="Times New Roman" w:hAnsi="Times New Roman"/>
          <w:sz w:val="20"/>
          <w:szCs w:val="20"/>
          <w:vertAlign w:val="subscript"/>
        </w:rPr>
        <w:t>c</w:t>
      </w:r>
      <w:r w:rsidRPr="00355C4C">
        <w:rPr>
          <w:rFonts w:ascii="Times New Roman" w:hAnsi="Times New Roman"/>
          <w:sz w:val="20"/>
          <w:szCs w:val="20"/>
        </w:rPr>
        <w:t>) were computed. D</w:t>
      </w:r>
      <w:r w:rsidRPr="00355C4C">
        <w:rPr>
          <w:rFonts w:ascii="Times New Roman" w:hAnsi="Times New Roman"/>
          <w:sz w:val="20"/>
          <w:szCs w:val="20"/>
          <w:vertAlign w:val="subscript"/>
        </w:rPr>
        <w:t xml:space="preserve">10 </w:t>
      </w:r>
      <w:r w:rsidRPr="00355C4C">
        <w:rPr>
          <w:rFonts w:ascii="Times New Roman" w:hAnsi="Times New Roman"/>
          <w:sz w:val="20"/>
          <w:szCs w:val="20"/>
        </w:rPr>
        <w:t>is defined as the value for the grain size diameter (D) that passed through the sieve at 10% and was extrapolated on the graph. To compute for C</w:t>
      </w:r>
      <w:r w:rsidRPr="00355C4C">
        <w:rPr>
          <w:rFonts w:ascii="Times New Roman" w:hAnsi="Times New Roman"/>
          <w:sz w:val="20"/>
          <w:szCs w:val="20"/>
          <w:vertAlign w:val="subscript"/>
        </w:rPr>
        <w:t>c</w:t>
      </w:r>
      <w:r w:rsidRPr="00355C4C">
        <w:rPr>
          <w:rFonts w:ascii="Times New Roman" w:hAnsi="Times New Roman"/>
          <w:sz w:val="20"/>
          <w:szCs w:val="20"/>
        </w:rPr>
        <w:t xml:space="preserve"> and C</w:t>
      </w:r>
      <w:r w:rsidRPr="00355C4C">
        <w:rPr>
          <w:rFonts w:ascii="Times New Roman" w:hAnsi="Times New Roman"/>
          <w:sz w:val="20"/>
          <w:szCs w:val="20"/>
          <w:vertAlign w:val="subscript"/>
        </w:rPr>
        <w:t>u</w:t>
      </w:r>
      <w:r w:rsidRPr="00355C4C">
        <w:rPr>
          <w:rFonts w:ascii="Times New Roman" w:hAnsi="Times New Roman"/>
          <w:sz w:val="20"/>
          <w:szCs w:val="20"/>
        </w:rPr>
        <w:t>, the values for D</w:t>
      </w:r>
      <w:r w:rsidRPr="00355C4C">
        <w:rPr>
          <w:rFonts w:ascii="Times New Roman" w:hAnsi="Times New Roman"/>
          <w:sz w:val="20"/>
          <w:szCs w:val="20"/>
          <w:vertAlign w:val="subscript"/>
        </w:rPr>
        <w:t>30</w:t>
      </w:r>
      <w:r w:rsidRPr="00355C4C">
        <w:rPr>
          <w:rFonts w:ascii="Times New Roman" w:hAnsi="Times New Roman"/>
          <w:sz w:val="20"/>
          <w:szCs w:val="20"/>
        </w:rPr>
        <w:t xml:space="preserve"> and D</w:t>
      </w:r>
      <w:r w:rsidRPr="00355C4C">
        <w:rPr>
          <w:rFonts w:ascii="Times New Roman" w:hAnsi="Times New Roman"/>
          <w:sz w:val="20"/>
          <w:szCs w:val="20"/>
          <w:vertAlign w:val="subscript"/>
        </w:rPr>
        <w:t>60</w:t>
      </w:r>
      <w:r w:rsidRPr="00355C4C">
        <w:rPr>
          <w:rFonts w:ascii="Times New Roman" w:hAnsi="Times New Roman"/>
          <w:sz w:val="20"/>
          <w:szCs w:val="20"/>
        </w:rPr>
        <w:t>, or 30% and 60% of particles that passed through the sieve, respectively, were also obtained. The results were tabulated in Table 1 for each mortar samples. Since the values for C</w:t>
      </w:r>
      <w:r w:rsidRPr="00355C4C">
        <w:rPr>
          <w:rFonts w:ascii="Times New Roman" w:hAnsi="Times New Roman"/>
          <w:sz w:val="20"/>
          <w:szCs w:val="20"/>
          <w:vertAlign w:val="subscript"/>
        </w:rPr>
        <w:t>c</w:t>
      </w:r>
      <w:r w:rsidRPr="00355C4C">
        <w:rPr>
          <w:rFonts w:ascii="Times New Roman" w:hAnsi="Times New Roman"/>
          <w:sz w:val="20"/>
          <w:szCs w:val="20"/>
        </w:rPr>
        <w:t xml:space="preserve"> are within the ranges of 1 to 3 and have C</w:t>
      </w:r>
      <w:r w:rsidRPr="00355C4C">
        <w:rPr>
          <w:rFonts w:ascii="Times New Roman" w:hAnsi="Times New Roman"/>
          <w:sz w:val="20"/>
          <w:szCs w:val="20"/>
          <w:vertAlign w:val="subscript"/>
        </w:rPr>
        <w:t>u</w:t>
      </w:r>
      <w:r w:rsidRPr="00355C4C">
        <w:rPr>
          <w:rFonts w:ascii="Times New Roman" w:hAnsi="Times New Roman"/>
          <w:sz w:val="20"/>
          <w:szCs w:val="20"/>
        </w:rPr>
        <w:t xml:space="preserve"> values that are greater than 4, both Misamis Oriental and Metro Manila samples are considered as well-graded [19].</w:t>
      </w:r>
    </w:p>
    <w:p w:rsidR="00355C4C" w:rsidRPr="00355C4C" w:rsidRDefault="00355C4C" w:rsidP="00355C4C">
      <w:pPr>
        <w:spacing w:after="120" w:line="240" w:lineRule="auto"/>
        <w:jc w:val="both"/>
        <w:rPr>
          <w:rFonts w:ascii="Times New Roman" w:hAnsi="Times New Roman"/>
          <w:sz w:val="20"/>
          <w:szCs w:val="20"/>
        </w:rPr>
      </w:pPr>
    </w:p>
    <w:p w:rsidR="00355C4C" w:rsidRPr="007757FC" w:rsidRDefault="00355C4C" w:rsidP="007757FC">
      <w:pPr>
        <w:spacing w:after="120" w:line="240" w:lineRule="auto"/>
        <w:jc w:val="both"/>
        <w:rPr>
          <w:rFonts w:ascii="Times New Roman" w:hAnsi="Times New Roman"/>
          <w:i/>
          <w:sz w:val="20"/>
          <w:szCs w:val="20"/>
        </w:rPr>
      </w:pPr>
      <w:r>
        <w:rPr>
          <w:rFonts w:ascii="Times New Roman" w:hAnsi="Times New Roman"/>
          <w:noProof/>
          <w:sz w:val="20"/>
          <w:szCs w:val="20"/>
        </w:rPr>
        <w:t xml:space="preserve">                     </w:t>
      </w:r>
      <w:r w:rsidRPr="00355C4C">
        <w:rPr>
          <w:rFonts w:ascii="Times New Roman" w:hAnsi="Times New Roman"/>
          <w:noProof/>
          <w:sz w:val="20"/>
          <w:szCs w:val="20"/>
        </w:rPr>
        <w:t xml:space="preserve">  </w:t>
      </w:r>
      <w:r w:rsidRPr="00355C4C">
        <w:rPr>
          <w:rFonts w:ascii="Times New Roman" w:hAnsi="Times New Roman"/>
          <w:noProof/>
          <w:sz w:val="20"/>
          <w:szCs w:val="20"/>
          <w:lang w:bidi="ar-SA"/>
        </w:rPr>
        <w:drawing>
          <wp:inline distT="0" distB="0" distL="0" distR="0" wp14:anchorId="45ACB708" wp14:editId="0DF6995B">
            <wp:extent cx="4495800" cy="2447925"/>
            <wp:effectExtent l="0" t="0" r="0"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55C4C" w:rsidRPr="00355C4C" w:rsidRDefault="00355C4C" w:rsidP="00355C4C">
      <w:pPr>
        <w:spacing w:after="0" w:line="240" w:lineRule="auto"/>
        <w:jc w:val="center"/>
        <w:rPr>
          <w:rFonts w:ascii="Times New Roman" w:hAnsi="Times New Roman"/>
          <w:sz w:val="20"/>
          <w:szCs w:val="20"/>
        </w:rPr>
      </w:pPr>
      <w:r w:rsidRPr="00355C4C">
        <w:rPr>
          <w:rFonts w:ascii="Times New Roman" w:hAnsi="Times New Roman"/>
          <w:sz w:val="20"/>
          <w:szCs w:val="20"/>
        </w:rPr>
        <w:t>Figure 3.</w:t>
      </w:r>
      <w:r>
        <w:rPr>
          <w:rFonts w:ascii="Times New Roman" w:hAnsi="Times New Roman"/>
          <w:sz w:val="20"/>
          <w:szCs w:val="20"/>
        </w:rPr>
        <w:t xml:space="preserve"> </w:t>
      </w:r>
      <w:r w:rsidRPr="00355C4C">
        <w:rPr>
          <w:rFonts w:ascii="Times New Roman" w:hAnsi="Times New Roman"/>
          <w:sz w:val="20"/>
          <w:szCs w:val="20"/>
        </w:rPr>
        <w:t xml:space="preserve"> Particle size gradation curve of the mortar samples</w:t>
      </w:r>
    </w:p>
    <w:p w:rsidR="00355C4C" w:rsidRPr="00355C4C" w:rsidRDefault="00355C4C" w:rsidP="00355C4C">
      <w:pPr>
        <w:spacing w:after="0" w:line="240" w:lineRule="auto"/>
        <w:jc w:val="both"/>
        <w:rPr>
          <w:rFonts w:ascii="Times New Roman" w:hAnsi="Times New Roman"/>
          <w:sz w:val="20"/>
          <w:szCs w:val="20"/>
        </w:rPr>
      </w:pPr>
    </w:p>
    <w:p w:rsidR="00355C4C" w:rsidRPr="00355C4C" w:rsidRDefault="00355C4C" w:rsidP="00355C4C">
      <w:pPr>
        <w:spacing w:after="0" w:line="240" w:lineRule="auto"/>
        <w:jc w:val="both"/>
        <w:rPr>
          <w:rFonts w:ascii="Times New Roman" w:hAnsi="Times New Roman"/>
          <w:sz w:val="20"/>
          <w:szCs w:val="20"/>
        </w:rPr>
      </w:pPr>
    </w:p>
    <w:p w:rsidR="00355C4C" w:rsidRPr="00355C4C" w:rsidRDefault="00355C4C" w:rsidP="00355C4C">
      <w:pPr>
        <w:spacing w:after="120" w:line="240" w:lineRule="auto"/>
        <w:jc w:val="center"/>
        <w:rPr>
          <w:rFonts w:ascii="Times New Roman" w:hAnsi="Times New Roman"/>
          <w:sz w:val="20"/>
          <w:szCs w:val="20"/>
        </w:rPr>
      </w:pPr>
      <w:r w:rsidRPr="00355C4C">
        <w:rPr>
          <w:rFonts w:ascii="Times New Roman" w:hAnsi="Times New Roman"/>
          <w:sz w:val="20"/>
          <w:szCs w:val="20"/>
        </w:rPr>
        <w:t xml:space="preserve">Table 1. </w:t>
      </w:r>
      <w:r>
        <w:rPr>
          <w:rFonts w:ascii="Times New Roman" w:hAnsi="Times New Roman"/>
          <w:sz w:val="20"/>
          <w:szCs w:val="20"/>
        </w:rPr>
        <w:t xml:space="preserve"> </w:t>
      </w:r>
      <w:r w:rsidRPr="00355C4C">
        <w:rPr>
          <w:rFonts w:ascii="Times New Roman" w:hAnsi="Times New Roman"/>
          <w:sz w:val="20"/>
          <w:szCs w:val="20"/>
        </w:rPr>
        <w:t>Soil parameters used for classification of mortar samples</w:t>
      </w:r>
    </w:p>
    <w:tbl>
      <w:tblPr>
        <w:tblStyle w:val="PlainTable2"/>
        <w:tblW w:w="0" w:type="auto"/>
        <w:jc w:val="center"/>
        <w:tblLook w:val="04A0" w:firstRow="1" w:lastRow="0" w:firstColumn="1" w:lastColumn="0" w:noHBand="0" w:noVBand="1"/>
      </w:tblPr>
      <w:tblGrid>
        <w:gridCol w:w="1205"/>
        <w:gridCol w:w="1711"/>
        <w:gridCol w:w="1411"/>
      </w:tblGrid>
      <w:tr w:rsidR="00355C4C" w:rsidRPr="00355C4C" w:rsidTr="00174B4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Pr>
          <w:p w:rsidR="00355C4C" w:rsidRPr="00355C4C" w:rsidRDefault="00355C4C" w:rsidP="00355C4C">
            <w:pPr>
              <w:spacing w:before="60" w:after="0" w:line="240" w:lineRule="auto"/>
              <w:rPr>
                <w:rFonts w:ascii="Times New Roman" w:hAnsi="Times New Roman" w:cs="Times New Roman"/>
                <w:b w:val="0"/>
                <w:sz w:val="20"/>
                <w:szCs w:val="20"/>
              </w:rPr>
            </w:pPr>
            <w:r w:rsidRPr="00355C4C">
              <w:rPr>
                <w:rFonts w:ascii="Times New Roman" w:hAnsi="Times New Roman" w:cs="Times New Roman"/>
                <w:sz w:val="20"/>
                <w:szCs w:val="20"/>
              </w:rPr>
              <w:t>Parameters</w:t>
            </w:r>
          </w:p>
        </w:tc>
        <w:tc>
          <w:tcPr>
            <w:tcW w:w="0" w:type="auto"/>
            <w:gridSpan w:val="2"/>
          </w:tcPr>
          <w:p w:rsidR="00355C4C" w:rsidRPr="00355C4C" w:rsidRDefault="00355C4C" w:rsidP="00355C4C">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55C4C">
              <w:rPr>
                <w:rFonts w:ascii="Times New Roman" w:hAnsi="Times New Roman" w:cs="Times New Roman"/>
                <w:sz w:val="20"/>
                <w:szCs w:val="20"/>
              </w:rPr>
              <w:t>Mortar Samples</w:t>
            </w:r>
          </w:p>
        </w:tc>
      </w:tr>
      <w:tr w:rsidR="00355C4C" w:rsidRPr="00355C4C" w:rsidTr="00174B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Pr>
          <w:p w:rsidR="00355C4C" w:rsidRPr="00355C4C" w:rsidRDefault="00355C4C" w:rsidP="00355C4C">
            <w:pPr>
              <w:spacing w:after="60" w:line="240" w:lineRule="auto"/>
              <w:rPr>
                <w:rFonts w:ascii="Times New Roman" w:hAnsi="Times New Roman" w:cs="Times New Roman"/>
                <w:b w:val="0"/>
                <w:sz w:val="20"/>
                <w:szCs w:val="20"/>
              </w:rPr>
            </w:pPr>
          </w:p>
        </w:tc>
        <w:tc>
          <w:tcPr>
            <w:tcW w:w="0" w:type="auto"/>
          </w:tcPr>
          <w:p w:rsidR="00355C4C" w:rsidRPr="00355C4C" w:rsidRDefault="00355C4C" w:rsidP="00355C4C">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355C4C">
              <w:rPr>
                <w:rFonts w:ascii="Times New Roman" w:hAnsi="Times New Roman" w:cs="Times New Roman"/>
                <w:b/>
                <w:sz w:val="20"/>
                <w:szCs w:val="20"/>
              </w:rPr>
              <w:t>Misamis Oriental</w:t>
            </w:r>
          </w:p>
        </w:tc>
        <w:tc>
          <w:tcPr>
            <w:tcW w:w="0" w:type="auto"/>
          </w:tcPr>
          <w:p w:rsidR="00355C4C" w:rsidRPr="00355C4C" w:rsidRDefault="00355C4C" w:rsidP="00355C4C">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355C4C">
              <w:rPr>
                <w:rFonts w:ascii="Times New Roman" w:hAnsi="Times New Roman" w:cs="Times New Roman"/>
                <w:b/>
                <w:sz w:val="20"/>
                <w:szCs w:val="20"/>
              </w:rPr>
              <w:t>Metro Manila</w:t>
            </w:r>
          </w:p>
        </w:tc>
      </w:tr>
      <w:tr w:rsidR="00355C4C" w:rsidRPr="00355C4C" w:rsidTr="00174B4E">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nil"/>
            </w:tcBorders>
          </w:tcPr>
          <w:p w:rsidR="00355C4C" w:rsidRPr="00355C4C" w:rsidRDefault="00355C4C" w:rsidP="00355C4C">
            <w:pPr>
              <w:spacing w:before="60" w:after="0" w:line="240" w:lineRule="auto"/>
              <w:rPr>
                <w:rFonts w:ascii="Times New Roman" w:hAnsi="Times New Roman" w:cs="Times New Roman"/>
                <w:b w:val="0"/>
                <w:bCs w:val="0"/>
                <w:sz w:val="20"/>
                <w:szCs w:val="20"/>
              </w:rPr>
            </w:pPr>
            <w:r w:rsidRPr="00355C4C">
              <w:rPr>
                <w:rFonts w:ascii="Times New Roman" w:hAnsi="Times New Roman" w:cs="Times New Roman"/>
                <w:b w:val="0"/>
                <w:bCs w:val="0"/>
                <w:sz w:val="20"/>
                <w:szCs w:val="20"/>
              </w:rPr>
              <w:t>D</w:t>
            </w:r>
            <w:r w:rsidRPr="00355C4C">
              <w:rPr>
                <w:rFonts w:ascii="Times New Roman" w:hAnsi="Times New Roman" w:cs="Times New Roman"/>
                <w:b w:val="0"/>
                <w:bCs w:val="0"/>
                <w:sz w:val="20"/>
                <w:szCs w:val="20"/>
                <w:vertAlign w:val="subscript"/>
              </w:rPr>
              <w:t>10</w:t>
            </w:r>
          </w:p>
        </w:tc>
        <w:tc>
          <w:tcPr>
            <w:tcW w:w="0" w:type="auto"/>
            <w:tcBorders>
              <w:top w:val="single" w:sz="4" w:space="0" w:color="7F7F7F" w:themeColor="text1" w:themeTint="80"/>
              <w:bottom w:val="nil"/>
            </w:tcBorders>
          </w:tcPr>
          <w:p w:rsidR="00355C4C" w:rsidRPr="00355C4C" w:rsidRDefault="00355C4C" w:rsidP="00355C4C">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vertAlign w:val="superscript"/>
              </w:rPr>
              <w:t>a</w:t>
            </w:r>
            <w:r w:rsidRPr="00355C4C">
              <w:rPr>
                <w:rFonts w:ascii="Times New Roman" w:hAnsi="Times New Roman" w:cs="Times New Roman"/>
                <w:sz w:val="20"/>
                <w:szCs w:val="20"/>
              </w:rPr>
              <w:t>0.040</w:t>
            </w:r>
          </w:p>
        </w:tc>
        <w:tc>
          <w:tcPr>
            <w:tcW w:w="0" w:type="auto"/>
            <w:tcBorders>
              <w:top w:val="single" w:sz="4" w:space="0" w:color="7F7F7F" w:themeColor="text1" w:themeTint="80"/>
              <w:bottom w:val="nil"/>
            </w:tcBorders>
          </w:tcPr>
          <w:p w:rsidR="00355C4C" w:rsidRPr="00355C4C" w:rsidRDefault="00355C4C" w:rsidP="00355C4C">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0.125</w:t>
            </w:r>
          </w:p>
        </w:tc>
      </w:tr>
      <w:tr w:rsidR="00355C4C" w:rsidRPr="00355C4C" w:rsidTr="00174B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355C4C" w:rsidRPr="00355C4C" w:rsidRDefault="00355C4C" w:rsidP="00355C4C">
            <w:pPr>
              <w:spacing w:before="60" w:after="0" w:line="240" w:lineRule="auto"/>
              <w:rPr>
                <w:rFonts w:ascii="Times New Roman" w:hAnsi="Times New Roman" w:cs="Times New Roman"/>
                <w:b w:val="0"/>
                <w:bCs w:val="0"/>
                <w:sz w:val="20"/>
                <w:szCs w:val="20"/>
              </w:rPr>
            </w:pPr>
            <w:r w:rsidRPr="00355C4C">
              <w:rPr>
                <w:rFonts w:ascii="Times New Roman" w:hAnsi="Times New Roman" w:cs="Times New Roman"/>
                <w:b w:val="0"/>
                <w:bCs w:val="0"/>
                <w:sz w:val="20"/>
                <w:szCs w:val="20"/>
              </w:rPr>
              <w:t>D</w:t>
            </w:r>
            <w:r w:rsidRPr="00355C4C">
              <w:rPr>
                <w:rFonts w:ascii="Times New Roman" w:hAnsi="Times New Roman" w:cs="Times New Roman"/>
                <w:b w:val="0"/>
                <w:bCs w:val="0"/>
                <w:sz w:val="20"/>
                <w:szCs w:val="20"/>
                <w:vertAlign w:val="subscript"/>
              </w:rPr>
              <w:t>30</w:t>
            </w:r>
          </w:p>
        </w:tc>
        <w:tc>
          <w:tcPr>
            <w:tcW w:w="0" w:type="auto"/>
            <w:tcBorders>
              <w:top w:val="nil"/>
              <w:bottom w:val="nil"/>
            </w:tcBorders>
          </w:tcPr>
          <w:p w:rsidR="00355C4C" w:rsidRPr="00355C4C" w:rsidRDefault="00355C4C" w:rsidP="00355C4C">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0.150</w:t>
            </w:r>
          </w:p>
        </w:tc>
        <w:tc>
          <w:tcPr>
            <w:tcW w:w="0" w:type="auto"/>
            <w:tcBorders>
              <w:top w:val="nil"/>
              <w:bottom w:val="nil"/>
            </w:tcBorders>
          </w:tcPr>
          <w:p w:rsidR="00355C4C" w:rsidRPr="00355C4C" w:rsidRDefault="00355C4C" w:rsidP="00355C4C">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0.300</w:t>
            </w:r>
          </w:p>
        </w:tc>
      </w:tr>
      <w:tr w:rsidR="00355C4C" w:rsidRPr="00355C4C" w:rsidTr="00174B4E">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355C4C" w:rsidRPr="00355C4C" w:rsidRDefault="00355C4C" w:rsidP="00355C4C">
            <w:pPr>
              <w:spacing w:before="60" w:after="0" w:line="240" w:lineRule="auto"/>
              <w:rPr>
                <w:rFonts w:ascii="Times New Roman" w:hAnsi="Times New Roman" w:cs="Times New Roman"/>
                <w:b w:val="0"/>
                <w:bCs w:val="0"/>
                <w:sz w:val="20"/>
                <w:szCs w:val="20"/>
              </w:rPr>
            </w:pPr>
            <w:r w:rsidRPr="00355C4C">
              <w:rPr>
                <w:rFonts w:ascii="Times New Roman" w:hAnsi="Times New Roman" w:cs="Times New Roman"/>
                <w:b w:val="0"/>
                <w:bCs w:val="0"/>
                <w:sz w:val="20"/>
                <w:szCs w:val="20"/>
              </w:rPr>
              <w:t>D</w:t>
            </w:r>
            <w:r w:rsidRPr="00355C4C">
              <w:rPr>
                <w:rFonts w:ascii="Times New Roman" w:hAnsi="Times New Roman" w:cs="Times New Roman"/>
                <w:b w:val="0"/>
                <w:bCs w:val="0"/>
                <w:sz w:val="20"/>
                <w:szCs w:val="20"/>
                <w:vertAlign w:val="subscript"/>
              </w:rPr>
              <w:t>60</w:t>
            </w:r>
          </w:p>
        </w:tc>
        <w:tc>
          <w:tcPr>
            <w:tcW w:w="0" w:type="auto"/>
            <w:tcBorders>
              <w:top w:val="nil"/>
              <w:bottom w:val="nil"/>
            </w:tcBorders>
          </w:tcPr>
          <w:p w:rsidR="00355C4C" w:rsidRPr="00355C4C" w:rsidRDefault="00355C4C" w:rsidP="00355C4C">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0.325</w:t>
            </w:r>
          </w:p>
        </w:tc>
        <w:tc>
          <w:tcPr>
            <w:tcW w:w="0" w:type="auto"/>
            <w:tcBorders>
              <w:top w:val="nil"/>
              <w:bottom w:val="nil"/>
            </w:tcBorders>
          </w:tcPr>
          <w:p w:rsidR="00355C4C" w:rsidRPr="00355C4C" w:rsidRDefault="00355C4C" w:rsidP="00355C4C">
            <w:pPr>
              <w:tabs>
                <w:tab w:val="left" w:pos="791"/>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0.525</w:t>
            </w:r>
          </w:p>
        </w:tc>
      </w:tr>
      <w:tr w:rsidR="00355C4C" w:rsidRPr="00355C4C" w:rsidTr="00174B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355C4C" w:rsidRPr="00355C4C" w:rsidRDefault="00355C4C" w:rsidP="00355C4C">
            <w:pPr>
              <w:spacing w:before="60" w:after="0" w:line="240" w:lineRule="auto"/>
              <w:rPr>
                <w:rFonts w:ascii="Times New Roman" w:hAnsi="Times New Roman" w:cs="Times New Roman"/>
                <w:b w:val="0"/>
                <w:bCs w:val="0"/>
                <w:sz w:val="20"/>
                <w:szCs w:val="20"/>
              </w:rPr>
            </w:pPr>
            <w:r w:rsidRPr="00355C4C">
              <w:rPr>
                <w:rFonts w:ascii="Times New Roman" w:hAnsi="Times New Roman" w:cs="Times New Roman"/>
                <w:b w:val="0"/>
                <w:bCs w:val="0"/>
                <w:sz w:val="20"/>
                <w:szCs w:val="20"/>
                <w:vertAlign w:val="superscript"/>
              </w:rPr>
              <w:t>b</w:t>
            </w:r>
            <w:r w:rsidRPr="00355C4C">
              <w:rPr>
                <w:rFonts w:ascii="Times New Roman" w:hAnsi="Times New Roman" w:cs="Times New Roman"/>
                <w:b w:val="0"/>
                <w:bCs w:val="0"/>
                <w:sz w:val="20"/>
                <w:szCs w:val="20"/>
              </w:rPr>
              <w:t>C</w:t>
            </w:r>
            <w:r w:rsidRPr="00355C4C">
              <w:rPr>
                <w:rFonts w:ascii="Times New Roman" w:hAnsi="Times New Roman" w:cs="Times New Roman"/>
                <w:b w:val="0"/>
                <w:bCs w:val="0"/>
                <w:sz w:val="20"/>
                <w:szCs w:val="20"/>
                <w:vertAlign w:val="subscript"/>
              </w:rPr>
              <w:t xml:space="preserve">u </w:t>
            </w:r>
          </w:p>
        </w:tc>
        <w:tc>
          <w:tcPr>
            <w:tcW w:w="0" w:type="auto"/>
            <w:tcBorders>
              <w:top w:val="nil"/>
              <w:bottom w:val="nil"/>
            </w:tcBorders>
          </w:tcPr>
          <w:p w:rsidR="00355C4C" w:rsidRPr="00355C4C" w:rsidRDefault="00355C4C" w:rsidP="00355C4C">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8.13</w:t>
            </w:r>
          </w:p>
        </w:tc>
        <w:tc>
          <w:tcPr>
            <w:tcW w:w="0" w:type="auto"/>
            <w:tcBorders>
              <w:top w:val="nil"/>
              <w:bottom w:val="nil"/>
            </w:tcBorders>
          </w:tcPr>
          <w:p w:rsidR="00355C4C" w:rsidRPr="00355C4C" w:rsidRDefault="00355C4C" w:rsidP="00355C4C">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4.20</w:t>
            </w:r>
          </w:p>
        </w:tc>
      </w:tr>
      <w:tr w:rsidR="00355C4C" w:rsidRPr="00355C4C" w:rsidTr="00174B4E">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hemeColor="text1" w:themeTint="80"/>
            </w:tcBorders>
          </w:tcPr>
          <w:p w:rsidR="00355C4C" w:rsidRPr="00355C4C" w:rsidRDefault="00355C4C" w:rsidP="00355C4C">
            <w:pPr>
              <w:spacing w:before="60" w:after="60" w:line="240" w:lineRule="auto"/>
              <w:rPr>
                <w:rFonts w:ascii="Times New Roman" w:hAnsi="Times New Roman" w:cs="Times New Roman"/>
                <w:b w:val="0"/>
                <w:bCs w:val="0"/>
                <w:sz w:val="20"/>
                <w:szCs w:val="20"/>
              </w:rPr>
            </w:pPr>
            <w:r w:rsidRPr="00355C4C">
              <w:rPr>
                <w:rFonts w:ascii="Times New Roman" w:hAnsi="Times New Roman" w:cs="Times New Roman"/>
                <w:b w:val="0"/>
                <w:bCs w:val="0"/>
                <w:sz w:val="20"/>
                <w:szCs w:val="20"/>
                <w:vertAlign w:val="superscript"/>
              </w:rPr>
              <w:t>c</w:t>
            </w:r>
            <w:r w:rsidRPr="00355C4C">
              <w:rPr>
                <w:rFonts w:ascii="Times New Roman" w:hAnsi="Times New Roman" w:cs="Times New Roman"/>
                <w:b w:val="0"/>
                <w:bCs w:val="0"/>
                <w:sz w:val="20"/>
                <w:szCs w:val="20"/>
              </w:rPr>
              <w:t>C</w:t>
            </w:r>
            <w:r w:rsidRPr="00355C4C">
              <w:rPr>
                <w:rFonts w:ascii="Times New Roman" w:hAnsi="Times New Roman" w:cs="Times New Roman"/>
                <w:b w:val="0"/>
                <w:bCs w:val="0"/>
                <w:sz w:val="20"/>
                <w:szCs w:val="20"/>
                <w:vertAlign w:val="subscript"/>
              </w:rPr>
              <w:t>c</w:t>
            </w:r>
          </w:p>
        </w:tc>
        <w:tc>
          <w:tcPr>
            <w:tcW w:w="0" w:type="auto"/>
            <w:tcBorders>
              <w:top w:val="nil"/>
              <w:bottom w:val="single" w:sz="4" w:space="0" w:color="7F7F7F" w:themeColor="text1" w:themeTint="80"/>
            </w:tcBorders>
          </w:tcPr>
          <w:p w:rsidR="00355C4C" w:rsidRPr="00355C4C" w:rsidRDefault="00355C4C" w:rsidP="00355C4C">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1.73</w:t>
            </w:r>
          </w:p>
        </w:tc>
        <w:tc>
          <w:tcPr>
            <w:tcW w:w="0" w:type="auto"/>
            <w:tcBorders>
              <w:top w:val="nil"/>
              <w:bottom w:val="single" w:sz="4" w:space="0" w:color="7F7F7F" w:themeColor="text1" w:themeTint="80"/>
            </w:tcBorders>
          </w:tcPr>
          <w:p w:rsidR="00355C4C" w:rsidRPr="00355C4C" w:rsidRDefault="00355C4C" w:rsidP="00355C4C">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1.37</w:t>
            </w:r>
          </w:p>
        </w:tc>
      </w:tr>
    </w:tbl>
    <w:p w:rsidR="00355C4C" w:rsidRPr="00355C4C" w:rsidRDefault="00355C4C" w:rsidP="00355C4C">
      <w:pPr>
        <w:spacing w:before="60" w:after="0" w:line="240" w:lineRule="auto"/>
        <w:jc w:val="both"/>
        <w:rPr>
          <w:rFonts w:ascii="Times New Roman" w:hAnsi="Times New Roman"/>
          <w:sz w:val="18"/>
          <w:szCs w:val="18"/>
        </w:rPr>
      </w:pPr>
      <w:r w:rsidRPr="00355C4C">
        <w:rPr>
          <w:rFonts w:ascii="Times New Roman" w:hAnsi="Times New Roman"/>
          <w:sz w:val="20"/>
          <w:szCs w:val="20"/>
        </w:rPr>
        <w:tab/>
      </w:r>
      <w:r w:rsidRPr="00355C4C">
        <w:rPr>
          <w:rFonts w:ascii="Times New Roman" w:hAnsi="Times New Roman"/>
          <w:sz w:val="18"/>
          <w:szCs w:val="18"/>
        </w:rPr>
        <w:t xml:space="preserve">                             </w:t>
      </w:r>
      <w:r>
        <w:rPr>
          <w:rFonts w:ascii="Times New Roman" w:hAnsi="Times New Roman"/>
          <w:sz w:val="18"/>
          <w:szCs w:val="18"/>
        </w:rPr>
        <w:t xml:space="preserve">         </w:t>
      </w:r>
      <w:r w:rsidRPr="00355C4C">
        <w:rPr>
          <w:rFonts w:ascii="Times New Roman" w:hAnsi="Times New Roman"/>
          <w:sz w:val="18"/>
          <w:szCs w:val="18"/>
        </w:rPr>
        <w:t xml:space="preserve">  </w:t>
      </w:r>
      <w:r w:rsidRPr="00355C4C">
        <w:rPr>
          <w:rFonts w:ascii="Times New Roman" w:hAnsi="Times New Roman"/>
          <w:sz w:val="18"/>
          <w:szCs w:val="18"/>
          <w:vertAlign w:val="superscript"/>
        </w:rPr>
        <w:t>a</w:t>
      </w:r>
      <w:r w:rsidRPr="00355C4C">
        <w:rPr>
          <w:rFonts w:ascii="Times New Roman" w:hAnsi="Times New Roman"/>
          <w:sz w:val="18"/>
          <w:szCs w:val="18"/>
        </w:rPr>
        <w:t xml:space="preserve">determined by extrapolation, </w:t>
      </w:r>
      <w:r w:rsidRPr="00355C4C">
        <w:rPr>
          <w:rFonts w:ascii="Times New Roman" w:hAnsi="Times New Roman"/>
          <w:sz w:val="18"/>
          <w:szCs w:val="18"/>
          <w:vertAlign w:val="superscript"/>
        </w:rPr>
        <w:t>b</w:t>
      </w:r>
      <w:r w:rsidRPr="00355C4C">
        <w:rPr>
          <w:rFonts w:ascii="Times New Roman" w:hAnsi="Times New Roman"/>
          <w:sz w:val="18"/>
          <w:szCs w:val="18"/>
        </w:rPr>
        <w:t xml:space="preserve">greater than 4, </w:t>
      </w:r>
      <w:r w:rsidRPr="00355C4C">
        <w:rPr>
          <w:rFonts w:ascii="Times New Roman" w:hAnsi="Times New Roman"/>
          <w:sz w:val="18"/>
          <w:szCs w:val="18"/>
          <w:vertAlign w:val="superscript"/>
        </w:rPr>
        <w:t>c</w:t>
      </w:r>
      <w:r w:rsidRPr="00355C4C">
        <w:rPr>
          <w:rFonts w:ascii="Times New Roman" w:hAnsi="Times New Roman"/>
          <w:sz w:val="18"/>
          <w:szCs w:val="18"/>
        </w:rPr>
        <w:t>between 1-3</w:t>
      </w:r>
    </w:p>
    <w:p w:rsidR="00355C4C" w:rsidRPr="00355C4C" w:rsidRDefault="00355C4C" w:rsidP="00355C4C">
      <w:pPr>
        <w:spacing w:after="120" w:line="240" w:lineRule="auto"/>
        <w:jc w:val="both"/>
        <w:rPr>
          <w:rFonts w:ascii="Times New Roman" w:hAnsi="Times New Roman"/>
          <w:sz w:val="20"/>
          <w:szCs w:val="20"/>
        </w:rPr>
      </w:pPr>
    </w:p>
    <w:p w:rsidR="00355C4C" w:rsidRPr="00355C4C" w:rsidRDefault="00355C4C" w:rsidP="00355C4C">
      <w:pPr>
        <w:spacing w:after="0" w:line="240" w:lineRule="auto"/>
        <w:jc w:val="both"/>
        <w:rPr>
          <w:rFonts w:ascii="Times New Roman" w:hAnsi="Times New Roman"/>
          <w:b/>
          <w:sz w:val="20"/>
          <w:szCs w:val="20"/>
        </w:rPr>
      </w:pPr>
      <w:r w:rsidRPr="00355C4C">
        <w:rPr>
          <w:rFonts w:ascii="Times New Roman" w:hAnsi="Times New Roman"/>
          <w:b/>
          <w:sz w:val="20"/>
          <w:szCs w:val="20"/>
        </w:rPr>
        <w:t>Binder characterization by Fourier transformation infrared spectroscopy</w:t>
      </w:r>
    </w:p>
    <w:p w:rsidR="00355C4C" w:rsidRPr="00355C4C" w:rsidRDefault="00355C4C" w:rsidP="00355C4C">
      <w:pPr>
        <w:spacing w:after="0" w:line="240" w:lineRule="auto"/>
        <w:jc w:val="both"/>
        <w:rPr>
          <w:rFonts w:ascii="Times New Roman" w:hAnsi="Times New Roman"/>
          <w:sz w:val="20"/>
          <w:szCs w:val="20"/>
        </w:rPr>
      </w:pPr>
      <w:r w:rsidRPr="00355C4C">
        <w:rPr>
          <w:rFonts w:ascii="Times New Roman" w:hAnsi="Times New Roman"/>
          <w:sz w:val="20"/>
          <w:szCs w:val="20"/>
        </w:rPr>
        <w:t>There are evidences from X-ray diffraction (XRD) studies that peak intensities corresponding to calcite increases relative to the other minerals present in lime mortars as the sieve size decreases [18]. Hence, the finest fraction which was retained in the “pan” (&lt;0.075 mm) is considered to be the binder fraction and concentrated with CaCO</w:t>
      </w:r>
      <w:r w:rsidRPr="00355C4C">
        <w:rPr>
          <w:rFonts w:ascii="Times New Roman" w:hAnsi="Times New Roman"/>
          <w:sz w:val="20"/>
          <w:szCs w:val="20"/>
          <w:vertAlign w:val="subscript"/>
        </w:rPr>
        <w:t>3</w:t>
      </w:r>
      <w:r w:rsidRPr="00355C4C">
        <w:rPr>
          <w:rFonts w:ascii="Times New Roman" w:hAnsi="Times New Roman"/>
          <w:sz w:val="20"/>
          <w:szCs w:val="20"/>
        </w:rPr>
        <w:t>. Figure 4 shows the infrared spectrum of the mortar sample’s binder fractions (&lt;0.075) compared with pure calcium carbonate and pure silicon dioxide. These will serve as IR absorption standards for comparing the old lime mortar sample with sand (composed of SiO</w:t>
      </w:r>
      <w:r w:rsidRPr="00355C4C">
        <w:rPr>
          <w:rFonts w:ascii="Times New Roman" w:hAnsi="Times New Roman"/>
          <w:sz w:val="20"/>
          <w:szCs w:val="20"/>
          <w:vertAlign w:val="subscript"/>
        </w:rPr>
        <w:t>2</w:t>
      </w:r>
      <w:r w:rsidRPr="00355C4C">
        <w:rPr>
          <w:rFonts w:ascii="Times New Roman" w:hAnsi="Times New Roman"/>
          <w:sz w:val="20"/>
          <w:szCs w:val="20"/>
        </w:rPr>
        <w:t>) and lime (mainly contains CaCO</w:t>
      </w:r>
      <w:r w:rsidRPr="00355C4C">
        <w:rPr>
          <w:rFonts w:ascii="Times New Roman" w:hAnsi="Times New Roman"/>
          <w:sz w:val="20"/>
          <w:szCs w:val="20"/>
          <w:vertAlign w:val="subscript"/>
        </w:rPr>
        <w:t>3</w:t>
      </w:r>
      <w:r w:rsidRPr="00355C4C">
        <w:rPr>
          <w:rFonts w:ascii="Times New Roman" w:hAnsi="Times New Roman"/>
          <w:sz w:val="20"/>
          <w:szCs w:val="20"/>
        </w:rPr>
        <w:t>), respectively, which are raw materials in its manufacture. For calcium carbonate, the characteristic IR absorption peaks are the C-O in-plane bending (ʋ4) at 712 cm</w:t>
      </w:r>
      <w:r w:rsidRPr="00355C4C">
        <w:rPr>
          <w:rFonts w:ascii="Times New Roman" w:hAnsi="Times New Roman"/>
          <w:sz w:val="20"/>
          <w:szCs w:val="20"/>
          <w:vertAlign w:val="superscript"/>
        </w:rPr>
        <w:t>-1</w:t>
      </w:r>
      <w:r w:rsidRPr="00355C4C">
        <w:rPr>
          <w:rFonts w:ascii="Times New Roman" w:hAnsi="Times New Roman"/>
          <w:sz w:val="20"/>
          <w:szCs w:val="20"/>
        </w:rPr>
        <w:t xml:space="preserve"> and C-O out-of-plane bending (ʋ2) at 876 cm</w:t>
      </w:r>
      <w:r w:rsidRPr="00355C4C">
        <w:rPr>
          <w:rFonts w:ascii="Times New Roman" w:hAnsi="Times New Roman"/>
          <w:sz w:val="20"/>
          <w:szCs w:val="20"/>
          <w:vertAlign w:val="superscript"/>
        </w:rPr>
        <w:t>-1</w:t>
      </w:r>
      <w:r w:rsidRPr="00355C4C">
        <w:rPr>
          <w:rFonts w:ascii="Times New Roman" w:hAnsi="Times New Roman"/>
          <w:sz w:val="20"/>
          <w:szCs w:val="20"/>
        </w:rPr>
        <w:t>. These sharp peaks are suitable in determining the presence of CaCO</w:t>
      </w:r>
      <w:r w:rsidRPr="00355C4C">
        <w:rPr>
          <w:rFonts w:ascii="Times New Roman" w:hAnsi="Times New Roman"/>
          <w:sz w:val="20"/>
          <w:szCs w:val="20"/>
          <w:vertAlign w:val="subscript"/>
        </w:rPr>
        <w:t>3</w:t>
      </w:r>
      <w:r w:rsidRPr="00355C4C">
        <w:rPr>
          <w:rFonts w:ascii="Times New Roman" w:hAnsi="Times New Roman"/>
          <w:sz w:val="20"/>
          <w:szCs w:val="20"/>
        </w:rPr>
        <w:t xml:space="preserve"> because few compounds absorb strongly at this wavenumber. Furthermore, the broad peak at 1419 cm</w:t>
      </w:r>
      <w:r w:rsidRPr="00355C4C">
        <w:rPr>
          <w:rFonts w:ascii="Times New Roman" w:hAnsi="Times New Roman"/>
          <w:sz w:val="20"/>
          <w:szCs w:val="20"/>
          <w:vertAlign w:val="superscript"/>
        </w:rPr>
        <w:t xml:space="preserve">-1 </w:t>
      </w:r>
      <w:r w:rsidRPr="00355C4C">
        <w:rPr>
          <w:rFonts w:ascii="Times New Roman" w:hAnsi="Times New Roman"/>
          <w:sz w:val="20"/>
          <w:szCs w:val="20"/>
        </w:rPr>
        <w:t xml:space="preserve">is </w:t>
      </w:r>
      <w:r w:rsidRPr="00355C4C">
        <w:rPr>
          <w:rFonts w:ascii="Times New Roman" w:hAnsi="Times New Roman"/>
          <w:sz w:val="20"/>
          <w:szCs w:val="20"/>
        </w:rPr>
        <w:lastRenderedPageBreak/>
        <w:t>attributed to the C-O asymmetric stretching (ʋ3) of CaCO</w:t>
      </w:r>
      <w:r w:rsidRPr="00355C4C">
        <w:rPr>
          <w:rFonts w:ascii="Times New Roman" w:hAnsi="Times New Roman"/>
          <w:sz w:val="20"/>
          <w:szCs w:val="20"/>
          <w:vertAlign w:val="subscript"/>
        </w:rPr>
        <w:t>3</w:t>
      </w:r>
      <w:r w:rsidRPr="00355C4C">
        <w:rPr>
          <w:rFonts w:ascii="Times New Roman" w:hAnsi="Times New Roman"/>
          <w:sz w:val="20"/>
          <w:szCs w:val="20"/>
        </w:rPr>
        <w:t>. The most intense absorption bands of silicon dioxide are centered at 1082 cm</w:t>
      </w:r>
      <w:r w:rsidRPr="00355C4C">
        <w:rPr>
          <w:rFonts w:ascii="Times New Roman" w:hAnsi="Times New Roman"/>
          <w:sz w:val="20"/>
          <w:szCs w:val="20"/>
          <w:vertAlign w:val="superscript"/>
        </w:rPr>
        <w:t xml:space="preserve">-1 </w:t>
      </w:r>
      <w:r w:rsidRPr="00355C4C">
        <w:rPr>
          <w:rFonts w:ascii="Times New Roman" w:hAnsi="Times New Roman"/>
          <w:sz w:val="20"/>
          <w:szCs w:val="20"/>
        </w:rPr>
        <w:t>assigned to the asymmetric stretching mode of Si-O-Si, 795 cm</w:t>
      </w:r>
      <w:r w:rsidRPr="00355C4C">
        <w:rPr>
          <w:rFonts w:ascii="Times New Roman" w:hAnsi="Times New Roman"/>
          <w:sz w:val="20"/>
          <w:szCs w:val="20"/>
          <w:vertAlign w:val="superscript"/>
        </w:rPr>
        <w:t xml:space="preserve">-1 </w:t>
      </w:r>
      <w:r w:rsidRPr="00355C4C">
        <w:rPr>
          <w:rFonts w:ascii="Times New Roman" w:hAnsi="Times New Roman"/>
          <w:sz w:val="20"/>
          <w:szCs w:val="20"/>
        </w:rPr>
        <w:t>which is the symmetric stretching mode of Si-O-Si and the bending vibrations of Si-O-Si centered at 463 cm</w:t>
      </w:r>
      <w:r w:rsidRPr="00355C4C">
        <w:rPr>
          <w:rFonts w:ascii="Times New Roman" w:hAnsi="Times New Roman"/>
          <w:sz w:val="20"/>
          <w:szCs w:val="20"/>
          <w:vertAlign w:val="superscript"/>
        </w:rPr>
        <w:t>-1</w:t>
      </w:r>
      <w:r w:rsidRPr="00355C4C">
        <w:rPr>
          <w:rFonts w:ascii="Times New Roman" w:hAnsi="Times New Roman"/>
          <w:sz w:val="20"/>
          <w:szCs w:val="20"/>
        </w:rPr>
        <w:t>, respectively [20,21]. Based on the IR spectrum in Figure 4, the binder fractions from both mortar samples have absorption peaks that are very similar with the bands of calcium carbonate. The absence of peaks attributed to silicon dioxide confirms that the binder fraction in the mortar sample is purely CaCO</w:t>
      </w:r>
      <w:r w:rsidRPr="00355C4C">
        <w:rPr>
          <w:rFonts w:ascii="Times New Roman" w:hAnsi="Times New Roman"/>
          <w:sz w:val="20"/>
          <w:szCs w:val="20"/>
          <w:vertAlign w:val="subscript"/>
        </w:rPr>
        <w:t>3</w:t>
      </w:r>
      <w:r w:rsidRPr="00355C4C">
        <w:rPr>
          <w:rFonts w:ascii="Times New Roman" w:hAnsi="Times New Roman"/>
          <w:sz w:val="20"/>
          <w:szCs w:val="20"/>
        </w:rPr>
        <w:t>. Hence, this fraction was targeted for digestion with acid and titrated with EDTA and KMnO</w:t>
      </w:r>
      <w:r w:rsidRPr="00355C4C">
        <w:rPr>
          <w:rFonts w:ascii="Times New Roman" w:hAnsi="Times New Roman"/>
          <w:sz w:val="20"/>
          <w:szCs w:val="20"/>
          <w:vertAlign w:val="subscript"/>
        </w:rPr>
        <w:t>4</w:t>
      </w:r>
      <w:r w:rsidRPr="00355C4C">
        <w:rPr>
          <w:rFonts w:ascii="Times New Roman" w:hAnsi="Times New Roman"/>
          <w:sz w:val="20"/>
          <w:szCs w:val="20"/>
        </w:rPr>
        <w:t xml:space="preserve"> to determine the calcium content. </w:t>
      </w:r>
    </w:p>
    <w:p w:rsidR="00355C4C" w:rsidRPr="00355C4C" w:rsidRDefault="00355C4C" w:rsidP="00355C4C">
      <w:pPr>
        <w:spacing w:after="120" w:line="240" w:lineRule="auto"/>
        <w:jc w:val="both"/>
        <w:rPr>
          <w:rFonts w:ascii="Times New Roman" w:hAnsi="Times New Roman"/>
          <w:sz w:val="20"/>
          <w:szCs w:val="20"/>
        </w:rPr>
      </w:pPr>
    </w:p>
    <w:p w:rsidR="00355C4C" w:rsidRPr="00355C4C" w:rsidRDefault="00355C4C" w:rsidP="007757FC">
      <w:pPr>
        <w:spacing w:after="120" w:line="240" w:lineRule="auto"/>
        <w:jc w:val="center"/>
        <w:rPr>
          <w:rFonts w:ascii="Times New Roman" w:hAnsi="Times New Roman"/>
          <w:sz w:val="20"/>
          <w:szCs w:val="20"/>
        </w:rPr>
      </w:pPr>
      <w:r w:rsidRPr="00355C4C">
        <w:rPr>
          <w:rFonts w:ascii="Times New Roman" w:hAnsi="Times New Roman"/>
          <w:noProof/>
          <w:sz w:val="20"/>
          <w:szCs w:val="20"/>
          <w:lang w:bidi="ar-SA"/>
        </w:rPr>
        <w:drawing>
          <wp:inline distT="0" distB="0" distL="0" distR="0" wp14:anchorId="49C04DEA" wp14:editId="7179D3A9">
            <wp:extent cx="4610100" cy="2624509"/>
            <wp:effectExtent l="19050" t="19050" r="19050" b="2349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12233" cy="2625723"/>
                    </a:xfrm>
                    <a:prstGeom prst="rect">
                      <a:avLst/>
                    </a:prstGeom>
                    <a:noFill/>
                    <a:ln>
                      <a:solidFill>
                        <a:schemeClr val="tx1"/>
                      </a:solidFill>
                    </a:ln>
                  </pic:spPr>
                </pic:pic>
              </a:graphicData>
            </a:graphic>
          </wp:inline>
        </w:drawing>
      </w:r>
    </w:p>
    <w:p w:rsidR="00355C4C" w:rsidRPr="00355C4C" w:rsidRDefault="00355C4C" w:rsidP="00355C4C">
      <w:pPr>
        <w:spacing w:after="0" w:line="240" w:lineRule="auto"/>
        <w:ind w:left="993" w:hanging="993"/>
        <w:jc w:val="center"/>
        <w:rPr>
          <w:rFonts w:ascii="Times New Roman" w:hAnsi="Times New Roman"/>
          <w:sz w:val="20"/>
          <w:szCs w:val="20"/>
        </w:rPr>
      </w:pPr>
      <w:r w:rsidRPr="00355C4C">
        <w:rPr>
          <w:rFonts w:ascii="Times New Roman" w:hAnsi="Times New Roman"/>
          <w:sz w:val="20"/>
          <w:szCs w:val="20"/>
        </w:rPr>
        <w:t xml:space="preserve">Figure 4. </w:t>
      </w:r>
      <w:r>
        <w:rPr>
          <w:rFonts w:ascii="Times New Roman" w:hAnsi="Times New Roman"/>
          <w:sz w:val="20"/>
          <w:szCs w:val="20"/>
        </w:rPr>
        <w:t xml:space="preserve"> </w:t>
      </w:r>
      <w:r w:rsidRPr="00355C4C">
        <w:rPr>
          <w:rFonts w:ascii="Times New Roman" w:hAnsi="Times New Roman"/>
          <w:sz w:val="20"/>
          <w:szCs w:val="20"/>
        </w:rPr>
        <w:t>Spectrum of mortar fractions retained in pan (&lt;0.075 mm) taken at finger print region  (2400 – 400 cm</w:t>
      </w:r>
      <w:r w:rsidRPr="00355C4C">
        <w:rPr>
          <w:rFonts w:ascii="Times New Roman" w:hAnsi="Times New Roman"/>
          <w:sz w:val="20"/>
          <w:szCs w:val="20"/>
          <w:vertAlign w:val="superscript"/>
        </w:rPr>
        <w:t>-1</w:t>
      </w:r>
      <w:r w:rsidRPr="00355C4C">
        <w:rPr>
          <w:rFonts w:ascii="Times New Roman" w:hAnsi="Times New Roman"/>
          <w:sz w:val="20"/>
          <w:szCs w:val="20"/>
        </w:rPr>
        <w:t>)</w:t>
      </w:r>
    </w:p>
    <w:p w:rsidR="00355C4C" w:rsidRPr="00355C4C" w:rsidRDefault="00355C4C" w:rsidP="00355C4C">
      <w:pPr>
        <w:spacing w:after="120" w:line="240" w:lineRule="auto"/>
        <w:jc w:val="both"/>
        <w:rPr>
          <w:rFonts w:ascii="Times New Roman" w:hAnsi="Times New Roman"/>
          <w:sz w:val="20"/>
          <w:szCs w:val="20"/>
        </w:rPr>
      </w:pPr>
    </w:p>
    <w:p w:rsidR="00355C4C" w:rsidRPr="00355C4C" w:rsidRDefault="00355C4C" w:rsidP="00355C4C">
      <w:pPr>
        <w:spacing w:after="0" w:line="240" w:lineRule="auto"/>
        <w:jc w:val="both"/>
        <w:rPr>
          <w:rFonts w:ascii="Times New Roman" w:hAnsi="Times New Roman"/>
          <w:b/>
          <w:sz w:val="20"/>
          <w:szCs w:val="20"/>
        </w:rPr>
      </w:pPr>
      <w:r w:rsidRPr="00355C4C">
        <w:rPr>
          <w:rFonts w:ascii="Times New Roman" w:hAnsi="Times New Roman"/>
          <w:b/>
          <w:sz w:val="20"/>
          <w:szCs w:val="20"/>
        </w:rPr>
        <w:t>Analysis of EDTA titration</w:t>
      </w:r>
    </w:p>
    <w:p w:rsidR="00355C4C" w:rsidRPr="00355C4C" w:rsidRDefault="00355C4C" w:rsidP="00355C4C">
      <w:pPr>
        <w:spacing w:after="0" w:line="240" w:lineRule="auto"/>
        <w:jc w:val="both"/>
        <w:rPr>
          <w:rFonts w:ascii="Times New Roman" w:hAnsi="Times New Roman"/>
          <w:sz w:val="20"/>
          <w:szCs w:val="20"/>
        </w:rPr>
      </w:pPr>
      <w:r w:rsidRPr="00355C4C">
        <w:rPr>
          <w:rFonts w:ascii="Times New Roman" w:hAnsi="Times New Roman"/>
          <w:sz w:val="20"/>
          <w:szCs w:val="20"/>
        </w:rPr>
        <w:t>The mean value obtained from the standardization of EDTA solution using pure analytical grade CaCO</w:t>
      </w:r>
      <w:r w:rsidRPr="00355C4C">
        <w:rPr>
          <w:rFonts w:ascii="Times New Roman" w:hAnsi="Times New Roman"/>
          <w:sz w:val="20"/>
          <w:szCs w:val="20"/>
          <w:vertAlign w:val="subscript"/>
        </w:rPr>
        <w:t>3</w:t>
      </w:r>
      <w:r w:rsidRPr="00355C4C">
        <w:rPr>
          <w:rFonts w:ascii="Times New Roman" w:hAnsi="Times New Roman"/>
          <w:sz w:val="20"/>
          <w:szCs w:val="20"/>
        </w:rPr>
        <w:t xml:space="preserve"> was 4743 ± 132.9 µM at 95% confidence level. The standard deviation of 1.49 x 10</w:t>
      </w:r>
      <w:r w:rsidRPr="00355C4C">
        <w:rPr>
          <w:rFonts w:ascii="Times New Roman" w:hAnsi="Times New Roman"/>
          <w:sz w:val="20"/>
          <w:szCs w:val="20"/>
          <w:vertAlign w:val="superscript"/>
        </w:rPr>
        <w:t xml:space="preserve">-5 </w:t>
      </w:r>
      <w:r w:rsidRPr="00355C4C">
        <w:rPr>
          <w:rFonts w:ascii="Times New Roman" w:hAnsi="Times New Roman"/>
          <w:sz w:val="20"/>
          <w:szCs w:val="20"/>
        </w:rPr>
        <w:t xml:space="preserve">indicates that the concentration of each trial run is precise. From this standardized EDTA concentration, mortar samples from Misamis Oriental and Metro Manila were titrated. Results show that calcium content of the binder fraction for Metro Manila sample (73.54%) is higher compared to the Misamis Oriental sample (59.60%), representing a difference of 13.94%. This implies that the lime material used for making mortars were sourced from different locations which is highly possible because the church ruins are geographically apart. Absence of direct trade of raw materials between Metro Manila and Misamis Oriental was also inferred. Moreover, difference in mortar preparation techniques may contribute to this variation. Since the Misamis Oriental church ruin is located on a promontory, probably sea shells or corals may have been used as sources of lime which accounts to the observed difference. </w:t>
      </w:r>
    </w:p>
    <w:p w:rsidR="00355C4C" w:rsidRPr="00355C4C" w:rsidRDefault="00355C4C" w:rsidP="00355C4C">
      <w:pPr>
        <w:spacing w:after="0" w:line="240" w:lineRule="auto"/>
        <w:jc w:val="both"/>
        <w:rPr>
          <w:rFonts w:ascii="Times New Roman" w:hAnsi="Times New Roman"/>
          <w:sz w:val="20"/>
          <w:szCs w:val="20"/>
        </w:rPr>
      </w:pPr>
    </w:p>
    <w:p w:rsidR="00355C4C" w:rsidRPr="00355C4C" w:rsidRDefault="00355C4C" w:rsidP="00355C4C">
      <w:pPr>
        <w:spacing w:after="0" w:line="240" w:lineRule="auto"/>
        <w:jc w:val="both"/>
        <w:rPr>
          <w:rFonts w:ascii="Times New Roman" w:hAnsi="Times New Roman"/>
          <w:sz w:val="20"/>
          <w:szCs w:val="20"/>
        </w:rPr>
      </w:pPr>
      <w:r w:rsidRPr="00355C4C">
        <w:rPr>
          <w:rFonts w:ascii="Times New Roman" w:hAnsi="Times New Roman"/>
          <w:sz w:val="20"/>
          <w:szCs w:val="20"/>
        </w:rPr>
        <w:t>Table 2 shows the important parameters used to determine the percentage of calcium in the Misamis Oriental sample. Binder fractions in mortars are expected to be homogenously mixed [1, 5]. Therefore, a 95% confidence level for the mean calcium content of 59.60% ± 4.64 gives a range of 54.96% to 64.24%. This percentage represents the true amount of calcium in the entire mortar sample obtained from the site. The percentage calcium from each trial is also within the 95% confidence limits. Since the coefficient of variation is 3.14%, which is less than the acceptable percentage of 5%, the values from this titration are considered precise [22].</w:t>
      </w:r>
    </w:p>
    <w:p w:rsidR="00355C4C" w:rsidRDefault="00355C4C" w:rsidP="00355C4C">
      <w:pPr>
        <w:spacing w:after="0" w:line="240" w:lineRule="auto"/>
        <w:jc w:val="both"/>
        <w:rPr>
          <w:rFonts w:ascii="Times New Roman" w:hAnsi="Times New Roman"/>
          <w:sz w:val="20"/>
          <w:szCs w:val="20"/>
        </w:rPr>
      </w:pPr>
    </w:p>
    <w:p w:rsidR="00355C4C" w:rsidRDefault="00355C4C" w:rsidP="00355C4C">
      <w:pPr>
        <w:spacing w:after="0" w:line="240" w:lineRule="auto"/>
        <w:jc w:val="both"/>
        <w:rPr>
          <w:rFonts w:ascii="Times New Roman" w:hAnsi="Times New Roman"/>
          <w:sz w:val="20"/>
          <w:szCs w:val="20"/>
        </w:rPr>
      </w:pPr>
    </w:p>
    <w:p w:rsidR="007757FC" w:rsidRDefault="007757FC" w:rsidP="00355C4C">
      <w:pPr>
        <w:spacing w:after="0" w:line="240" w:lineRule="auto"/>
        <w:jc w:val="both"/>
        <w:rPr>
          <w:rFonts w:ascii="Times New Roman" w:hAnsi="Times New Roman"/>
          <w:sz w:val="20"/>
          <w:szCs w:val="20"/>
        </w:rPr>
      </w:pPr>
    </w:p>
    <w:p w:rsidR="007757FC" w:rsidRDefault="007757FC" w:rsidP="00355C4C">
      <w:pPr>
        <w:spacing w:after="0" w:line="240" w:lineRule="auto"/>
        <w:jc w:val="both"/>
        <w:rPr>
          <w:rFonts w:ascii="Times New Roman" w:hAnsi="Times New Roman"/>
          <w:sz w:val="20"/>
          <w:szCs w:val="20"/>
        </w:rPr>
      </w:pPr>
    </w:p>
    <w:p w:rsidR="00355C4C" w:rsidRPr="00355C4C" w:rsidRDefault="00355C4C" w:rsidP="00355C4C">
      <w:pPr>
        <w:spacing w:after="0" w:line="240" w:lineRule="auto"/>
        <w:jc w:val="both"/>
        <w:rPr>
          <w:rFonts w:ascii="Times New Roman" w:hAnsi="Times New Roman"/>
          <w:sz w:val="20"/>
          <w:szCs w:val="20"/>
        </w:rPr>
      </w:pPr>
    </w:p>
    <w:p w:rsidR="00355C4C" w:rsidRPr="00355C4C" w:rsidRDefault="00355C4C" w:rsidP="00355C4C">
      <w:pPr>
        <w:spacing w:after="120" w:line="240" w:lineRule="auto"/>
        <w:jc w:val="center"/>
        <w:rPr>
          <w:rFonts w:ascii="Times New Roman" w:hAnsi="Times New Roman"/>
          <w:sz w:val="20"/>
          <w:szCs w:val="20"/>
        </w:rPr>
      </w:pPr>
      <w:r w:rsidRPr="00355C4C">
        <w:rPr>
          <w:rFonts w:ascii="Times New Roman" w:hAnsi="Times New Roman"/>
          <w:sz w:val="20"/>
          <w:szCs w:val="20"/>
        </w:rPr>
        <w:lastRenderedPageBreak/>
        <w:t xml:space="preserve">Table 2. </w:t>
      </w:r>
      <w:r>
        <w:rPr>
          <w:rFonts w:ascii="Times New Roman" w:hAnsi="Times New Roman"/>
          <w:sz w:val="20"/>
          <w:szCs w:val="20"/>
        </w:rPr>
        <w:t xml:space="preserve"> </w:t>
      </w:r>
      <w:r w:rsidRPr="00355C4C">
        <w:rPr>
          <w:rFonts w:ascii="Times New Roman" w:hAnsi="Times New Roman"/>
          <w:sz w:val="20"/>
          <w:szCs w:val="20"/>
        </w:rPr>
        <w:t>Calcium content of Misamis Oriental sample using EDTA</w:t>
      </w:r>
    </w:p>
    <w:tbl>
      <w:tblPr>
        <w:tblStyle w:val="PlainTable2"/>
        <w:tblW w:w="8959" w:type="dxa"/>
        <w:jc w:val="center"/>
        <w:tblLook w:val="04A0" w:firstRow="1" w:lastRow="0" w:firstColumn="1" w:lastColumn="0" w:noHBand="0" w:noVBand="1"/>
      </w:tblPr>
      <w:tblGrid>
        <w:gridCol w:w="1224"/>
        <w:gridCol w:w="650"/>
        <w:gridCol w:w="1708"/>
        <w:gridCol w:w="1692"/>
        <w:gridCol w:w="997"/>
        <w:gridCol w:w="1138"/>
        <w:gridCol w:w="1550"/>
      </w:tblGrid>
      <w:tr w:rsidR="00355C4C" w:rsidRPr="00355C4C" w:rsidTr="00174B4E">
        <w:trPr>
          <w:cnfStyle w:val="100000000000" w:firstRow="1" w:lastRow="0" w:firstColumn="0" w:lastColumn="0" w:oddVBand="0" w:evenVBand="0" w:oddHBand="0" w:evenHBand="0" w:firstRowFirstColumn="0" w:firstRowLastColumn="0" w:lastRowFirstColumn="0" w:lastRowLastColumn="0"/>
          <w:trHeight w:val="672"/>
          <w:jc w:val="center"/>
        </w:trPr>
        <w:tc>
          <w:tcPr>
            <w:cnfStyle w:val="001000000000" w:firstRow="0" w:lastRow="0" w:firstColumn="1" w:lastColumn="0" w:oddVBand="0" w:evenVBand="0" w:oddHBand="0" w:evenHBand="0" w:firstRowFirstColumn="0" w:firstRowLastColumn="0" w:lastRowFirstColumn="0" w:lastRowLastColumn="0"/>
            <w:tcW w:w="0" w:type="auto"/>
          </w:tcPr>
          <w:p w:rsidR="00355C4C" w:rsidRPr="00355C4C" w:rsidRDefault="00355C4C" w:rsidP="00894E05">
            <w:pPr>
              <w:spacing w:before="60" w:after="60" w:line="240" w:lineRule="auto"/>
              <w:rPr>
                <w:rFonts w:ascii="Times New Roman" w:hAnsi="Times New Roman" w:cs="Times New Roman"/>
                <w:sz w:val="20"/>
                <w:szCs w:val="20"/>
              </w:rPr>
            </w:pPr>
            <w:r w:rsidRPr="00355C4C">
              <w:rPr>
                <w:rFonts w:ascii="Times New Roman" w:hAnsi="Times New Roman" w:cs="Times New Roman"/>
                <w:sz w:val="20"/>
                <w:szCs w:val="20"/>
              </w:rPr>
              <w:t>Mass of Mortar Sample (g)</w:t>
            </w:r>
          </w:p>
        </w:tc>
        <w:tc>
          <w:tcPr>
            <w:tcW w:w="0" w:type="auto"/>
          </w:tcPr>
          <w:p w:rsidR="00355C4C" w:rsidRPr="00355C4C" w:rsidRDefault="00355C4C" w:rsidP="00355C4C">
            <w:pPr>
              <w:spacing w:before="60"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Trial</w:t>
            </w:r>
          </w:p>
        </w:tc>
        <w:tc>
          <w:tcPr>
            <w:tcW w:w="1708" w:type="dxa"/>
          </w:tcPr>
          <w:p w:rsidR="00355C4C" w:rsidRPr="00355C4C" w:rsidRDefault="00355C4C" w:rsidP="00894E0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Volume of EDTA Consumed (mL)</w:t>
            </w:r>
          </w:p>
        </w:tc>
        <w:tc>
          <w:tcPr>
            <w:tcW w:w="0" w:type="auto"/>
          </w:tcPr>
          <w:p w:rsidR="00355C4C" w:rsidRPr="00355C4C" w:rsidRDefault="00355C4C" w:rsidP="00894E0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Concentration of Ca (ppm)</w:t>
            </w:r>
          </w:p>
        </w:tc>
        <w:tc>
          <w:tcPr>
            <w:tcW w:w="0" w:type="auto"/>
          </w:tcPr>
          <w:p w:rsidR="00355C4C" w:rsidRPr="00355C4C" w:rsidRDefault="00355C4C" w:rsidP="00894E0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Mass of Ca (g)</w:t>
            </w:r>
          </w:p>
        </w:tc>
        <w:tc>
          <w:tcPr>
            <w:tcW w:w="0" w:type="auto"/>
          </w:tcPr>
          <w:p w:rsidR="00355C4C" w:rsidRPr="00355C4C" w:rsidRDefault="00355C4C" w:rsidP="00894E0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 Ca (w/w) in Sample</w:t>
            </w:r>
          </w:p>
        </w:tc>
        <w:tc>
          <w:tcPr>
            <w:tcW w:w="0" w:type="auto"/>
          </w:tcPr>
          <w:p w:rsidR="00355C4C" w:rsidRPr="00355C4C" w:rsidRDefault="00355C4C" w:rsidP="00894E0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Mean (w/w) and Standard Deviation</w:t>
            </w:r>
          </w:p>
        </w:tc>
      </w:tr>
      <w:tr w:rsidR="00355C4C" w:rsidRPr="00355C4C" w:rsidTr="00174B4E">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bottom w:val="nil"/>
            </w:tcBorders>
          </w:tcPr>
          <w:p w:rsidR="00355C4C" w:rsidRPr="00355C4C" w:rsidRDefault="00355C4C" w:rsidP="00894E05">
            <w:pPr>
              <w:spacing w:before="60" w:after="0" w:line="240" w:lineRule="auto"/>
              <w:rPr>
                <w:rFonts w:ascii="Times New Roman" w:hAnsi="Times New Roman" w:cs="Times New Roman"/>
                <w:b w:val="0"/>
                <w:bCs w:val="0"/>
                <w:sz w:val="20"/>
                <w:szCs w:val="20"/>
              </w:rPr>
            </w:pPr>
            <w:r w:rsidRPr="00355C4C">
              <w:rPr>
                <w:rFonts w:ascii="Times New Roman" w:hAnsi="Times New Roman" w:cs="Times New Roman"/>
                <w:b w:val="0"/>
                <w:bCs w:val="0"/>
                <w:sz w:val="20"/>
                <w:szCs w:val="20"/>
              </w:rPr>
              <w:t>0.1079</w:t>
            </w:r>
          </w:p>
        </w:tc>
        <w:tc>
          <w:tcPr>
            <w:tcW w:w="0" w:type="auto"/>
            <w:tcBorders>
              <w:bottom w:val="nil"/>
            </w:tcBorders>
          </w:tcPr>
          <w:p w:rsidR="00355C4C" w:rsidRPr="00355C4C" w:rsidRDefault="00355C4C" w:rsidP="00894E05">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1</w:t>
            </w:r>
          </w:p>
        </w:tc>
        <w:tc>
          <w:tcPr>
            <w:tcW w:w="1708" w:type="dxa"/>
            <w:tcBorders>
              <w:bottom w:val="nil"/>
            </w:tcBorders>
          </w:tcPr>
          <w:p w:rsidR="00355C4C" w:rsidRPr="00355C4C" w:rsidRDefault="00355C4C" w:rsidP="00894E05">
            <w:pPr>
              <w:tabs>
                <w:tab w:val="left" w:pos="-72"/>
              </w:tabs>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32.70</w:t>
            </w:r>
          </w:p>
        </w:tc>
        <w:tc>
          <w:tcPr>
            <w:tcW w:w="0" w:type="auto"/>
            <w:tcBorders>
              <w:bottom w:val="nil"/>
            </w:tcBorders>
          </w:tcPr>
          <w:p w:rsidR="00355C4C" w:rsidRPr="00355C4C" w:rsidRDefault="00355C4C" w:rsidP="00894E05">
            <w:pPr>
              <w:tabs>
                <w:tab w:val="left" w:pos="-72"/>
              </w:tabs>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248.62</w:t>
            </w:r>
          </w:p>
        </w:tc>
        <w:tc>
          <w:tcPr>
            <w:tcW w:w="0" w:type="auto"/>
            <w:tcBorders>
              <w:bottom w:val="nil"/>
            </w:tcBorders>
          </w:tcPr>
          <w:p w:rsidR="00355C4C" w:rsidRPr="00355C4C" w:rsidRDefault="00355C4C" w:rsidP="00894E05">
            <w:pPr>
              <w:spacing w:before="60" w:after="0" w:line="240" w:lineRule="auto"/>
              <w:ind w:hanging="1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0.06216</w:t>
            </w:r>
          </w:p>
        </w:tc>
        <w:tc>
          <w:tcPr>
            <w:tcW w:w="0" w:type="auto"/>
            <w:tcBorders>
              <w:bottom w:val="nil"/>
            </w:tcBorders>
          </w:tcPr>
          <w:p w:rsidR="00355C4C" w:rsidRPr="00355C4C" w:rsidRDefault="00355C4C" w:rsidP="00894E05">
            <w:pPr>
              <w:tabs>
                <w:tab w:val="left" w:pos="-72"/>
              </w:tabs>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57.60</w:t>
            </w:r>
          </w:p>
        </w:tc>
        <w:tc>
          <w:tcPr>
            <w:tcW w:w="0" w:type="auto"/>
            <w:vMerge w:val="restart"/>
          </w:tcPr>
          <w:p w:rsidR="00355C4C" w:rsidRPr="00355C4C" w:rsidRDefault="00355C4C" w:rsidP="00894E0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59.60% ± 4.64*</w:t>
            </w:r>
          </w:p>
          <w:p w:rsidR="00355C4C" w:rsidRPr="00355C4C" w:rsidRDefault="00355C4C" w:rsidP="00894E0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(1.87)</w:t>
            </w:r>
          </w:p>
        </w:tc>
      </w:tr>
      <w:tr w:rsidR="00355C4C" w:rsidRPr="00355C4C" w:rsidTr="00174B4E">
        <w:trPr>
          <w:trHeight w:val="235"/>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tcPr>
          <w:p w:rsidR="00355C4C" w:rsidRPr="00355C4C" w:rsidRDefault="00355C4C" w:rsidP="00355C4C">
            <w:pPr>
              <w:spacing w:after="0" w:line="240" w:lineRule="auto"/>
              <w:rPr>
                <w:rFonts w:ascii="Times New Roman" w:hAnsi="Times New Roman" w:cs="Times New Roman"/>
                <w:sz w:val="20"/>
                <w:szCs w:val="20"/>
              </w:rPr>
            </w:pPr>
          </w:p>
        </w:tc>
        <w:tc>
          <w:tcPr>
            <w:tcW w:w="0" w:type="auto"/>
            <w:tcBorders>
              <w:top w:val="nil"/>
              <w:bottom w:val="nil"/>
            </w:tcBorders>
          </w:tcPr>
          <w:p w:rsidR="00355C4C" w:rsidRPr="00355C4C" w:rsidRDefault="00355C4C" w:rsidP="00894E05">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2</w:t>
            </w:r>
          </w:p>
        </w:tc>
        <w:tc>
          <w:tcPr>
            <w:tcW w:w="1708" w:type="dxa"/>
            <w:tcBorders>
              <w:top w:val="nil"/>
              <w:bottom w:val="nil"/>
            </w:tcBorders>
          </w:tcPr>
          <w:p w:rsidR="00355C4C" w:rsidRPr="00355C4C" w:rsidRDefault="00355C4C" w:rsidP="00894E05">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34.80</w:t>
            </w:r>
          </w:p>
        </w:tc>
        <w:tc>
          <w:tcPr>
            <w:tcW w:w="0" w:type="auto"/>
            <w:tcBorders>
              <w:top w:val="nil"/>
              <w:bottom w:val="nil"/>
            </w:tcBorders>
          </w:tcPr>
          <w:p w:rsidR="00355C4C" w:rsidRPr="00355C4C" w:rsidRDefault="00355C4C" w:rsidP="00894E05">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264.59</w:t>
            </w:r>
          </w:p>
        </w:tc>
        <w:tc>
          <w:tcPr>
            <w:tcW w:w="0" w:type="auto"/>
            <w:tcBorders>
              <w:top w:val="nil"/>
              <w:bottom w:val="nil"/>
            </w:tcBorders>
          </w:tcPr>
          <w:p w:rsidR="00355C4C" w:rsidRPr="00355C4C" w:rsidRDefault="00355C4C" w:rsidP="00894E05">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0.06615</w:t>
            </w:r>
          </w:p>
        </w:tc>
        <w:tc>
          <w:tcPr>
            <w:tcW w:w="0" w:type="auto"/>
            <w:tcBorders>
              <w:top w:val="nil"/>
              <w:bottom w:val="nil"/>
            </w:tcBorders>
          </w:tcPr>
          <w:p w:rsidR="00355C4C" w:rsidRPr="00355C4C" w:rsidRDefault="00355C4C" w:rsidP="00894E05">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61.30</w:t>
            </w:r>
          </w:p>
        </w:tc>
        <w:tc>
          <w:tcPr>
            <w:tcW w:w="0" w:type="auto"/>
            <w:vMerge/>
          </w:tcPr>
          <w:p w:rsidR="00355C4C" w:rsidRPr="00355C4C" w:rsidRDefault="00355C4C" w:rsidP="00355C4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55C4C" w:rsidRPr="00355C4C" w:rsidTr="00174B4E">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tcBorders>
          </w:tcPr>
          <w:p w:rsidR="00355C4C" w:rsidRPr="00355C4C" w:rsidRDefault="00355C4C" w:rsidP="00355C4C">
            <w:pPr>
              <w:spacing w:after="0" w:line="240" w:lineRule="auto"/>
              <w:rPr>
                <w:rFonts w:ascii="Times New Roman" w:hAnsi="Times New Roman" w:cs="Times New Roman"/>
                <w:sz w:val="20"/>
                <w:szCs w:val="20"/>
              </w:rPr>
            </w:pPr>
          </w:p>
        </w:tc>
        <w:tc>
          <w:tcPr>
            <w:tcW w:w="0" w:type="auto"/>
            <w:tcBorders>
              <w:top w:val="nil"/>
            </w:tcBorders>
          </w:tcPr>
          <w:p w:rsidR="00355C4C" w:rsidRPr="00355C4C" w:rsidRDefault="00355C4C" w:rsidP="00894E05">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3</w:t>
            </w:r>
          </w:p>
        </w:tc>
        <w:tc>
          <w:tcPr>
            <w:tcW w:w="1708" w:type="dxa"/>
            <w:tcBorders>
              <w:top w:val="nil"/>
            </w:tcBorders>
          </w:tcPr>
          <w:p w:rsidR="00355C4C" w:rsidRPr="00355C4C" w:rsidRDefault="00355C4C" w:rsidP="00894E0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34.00</w:t>
            </w:r>
          </w:p>
        </w:tc>
        <w:tc>
          <w:tcPr>
            <w:tcW w:w="0" w:type="auto"/>
            <w:tcBorders>
              <w:top w:val="nil"/>
            </w:tcBorders>
          </w:tcPr>
          <w:p w:rsidR="00355C4C" w:rsidRPr="00355C4C" w:rsidRDefault="00355C4C" w:rsidP="00894E0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258.50</w:t>
            </w:r>
          </w:p>
        </w:tc>
        <w:tc>
          <w:tcPr>
            <w:tcW w:w="0" w:type="auto"/>
            <w:tcBorders>
              <w:top w:val="nil"/>
            </w:tcBorders>
          </w:tcPr>
          <w:p w:rsidR="00355C4C" w:rsidRPr="00355C4C" w:rsidRDefault="00355C4C" w:rsidP="00894E0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0.06463</w:t>
            </w:r>
          </w:p>
        </w:tc>
        <w:tc>
          <w:tcPr>
            <w:tcW w:w="0" w:type="auto"/>
            <w:tcBorders>
              <w:top w:val="nil"/>
            </w:tcBorders>
          </w:tcPr>
          <w:p w:rsidR="00355C4C" w:rsidRPr="00355C4C" w:rsidRDefault="00355C4C" w:rsidP="00894E0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59.89</w:t>
            </w:r>
          </w:p>
        </w:tc>
        <w:tc>
          <w:tcPr>
            <w:tcW w:w="0" w:type="auto"/>
            <w:vMerge/>
          </w:tcPr>
          <w:p w:rsidR="00355C4C" w:rsidRPr="00355C4C" w:rsidRDefault="00355C4C" w:rsidP="00355C4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rsidR="00355C4C" w:rsidRPr="00894E05" w:rsidRDefault="00894E05" w:rsidP="00894E05">
      <w:pPr>
        <w:spacing w:before="60" w:after="0" w:line="240" w:lineRule="auto"/>
        <w:jc w:val="both"/>
        <w:rPr>
          <w:rFonts w:ascii="Times New Roman" w:hAnsi="Times New Roman"/>
          <w:sz w:val="18"/>
          <w:szCs w:val="18"/>
        </w:rPr>
      </w:pPr>
      <w:r>
        <w:rPr>
          <w:rFonts w:ascii="Times New Roman" w:hAnsi="Times New Roman"/>
          <w:sz w:val="18"/>
          <w:szCs w:val="18"/>
        </w:rPr>
        <w:t xml:space="preserve"> </w:t>
      </w:r>
      <w:r w:rsidR="00355C4C" w:rsidRPr="00894E05">
        <w:rPr>
          <w:rFonts w:ascii="Times New Roman" w:hAnsi="Times New Roman"/>
          <w:sz w:val="18"/>
          <w:szCs w:val="18"/>
        </w:rPr>
        <w:t xml:space="preserve">  * at 95% confidence level</w:t>
      </w:r>
    </w:p>
    <w:p w:rsidR="00355C4C" w:rsidRPr="00355C4C" w:rsidRDefault="00355C4C" w:rsidP="00894E05">
      <w:pPr>
        <w:spacing w:after="120" w:line="240" w:lineRule="auto"/>
        <w:jc w:val="both"/>
        <w:rPr>
          <w:rFonts w:ascii="Times New Roman" w:hAnsi="Times New Roman"/>
          <w:sz w:val="20"/>
          <w:szCs w:val="20"/>
        </w:rPr>
      </w:pPr>
    </w:p>
    <w:p w:rsidR="00355C4C" w:rsidRPr="00355C4C" w:rsidRDefault="00355C4C" w:rsidP="00355C4C">
      <w:pPr>
        <w:spacing w:after="0" w:line="240" w:lineRule="auto"/>
        <w:jc w:val="both"/>
        <w:rPr>
          <w:rFonts w:ascii="Times New Roman" w:hAnsi="Times New Roman"/>
          <w:sz w:val="20"/>
          <w:szCs w:val="20"/>
        </w:rPr>
      </w:pPr>
      <w:r w:rsidRPr="00355C4C">
        <w:rPr>
          <w:rFonts w:ascii="Times New Roman" w:hAnsi="Times New Roman"/>
          <w:sz w:val="20"/>
          <w:szCs w:val="20"/>
        </w:rPr>
        <w:t>Results from Table 3 shows that the Metro Manila sample has a 95% confidence level for the mean calcium content of 73.54% ± 2.68 or a calcium percentage range of 70.86% to 76.22%. Hence, the actual calcium content for the entire Metro Manila mortar sample obtained from the site should be within this interval range. The individually measured calcium concentration per trial also falls in these confidence limits. The titration of the Metro Manila sample was considered to be more precise than the Misamis Oriental sample based on the smaller confidence interval value which is attributed to random errors brought about by the visual determination of the end point color. The computed coefficient of variation (1.47%) supports this higher precision compared to the Misamis Oriental titration. Samples from both sites yielded mean calcium contents that are statistically consistent with each other suggesting that EDTA titration can be used for old lime mortar samples.</w:t>
      </w:r>
    </w:p>
    <w:p w:rsidR="00355C4C" w:rsidRPr="00355C4C" w:rsidRDefault="00355C4C" w:rsidP="00894E05">
      <w:pPr>
        <w:spacing w:after="120" w:line="240" w:lineRule="auto"/>
        <w:jc w:val="both"/>
        <w:rPr>
          <w:rFonts w:ascii="Times New Roman" w:hAnsi="Times New Roman"/>
          <w:sz w:val="20"/>
          <w:szCs w:val="20"/>
        </w:rPr>
      </w:pPr>
    </w:p>
    <w:p w:rsidR="00355C4C" w:rsidRPr="00355C4C" w:rsidRDefault="00355C4C" w:rsidP="00894E05">
      <w:pPr>
        <w:spacing w:after="120" w:line="240" w:lineRule="auto"/>
        <w:jc w:val="center"/>
        <w:rPr>
          <w:rFonts w:ascii="Times New Roman" w:hAnsi="Times New Roman"/>
          <w:sz w:val="20"/>
          <w:szCs w:val="20"/>
        </w:rPr>
      </w:pPr>
      <w:r w:rsidRPr="00355C4C">
        <w:rPr>
          <w:rFonts w:ascii="Times New Roman" w:hAnsi="Times New Roman"/>
          <w:sz w:val="20"/>
          <w:szCs w:val="20"/>
        </w:rPr>
        <w:t xml:space="preserve">Table 3. </w:t>
      </w:r>
      <w:r w:rsidR="00894E05">
        <w:rPr>
          <w:rFonts w:ascii="Times New Roman" w:hAnsi="Times New Roman"/>
          <w:sz w:val="20"/>
          <w:szCs w:val="20"/>
        </w:rPr>
        <w:t xml:space="preserve"> </w:t>
      </w:r>
      <w:r w:rsidRPr="00355C4C">
        <w:rPr>
          <w:rFonts w:ascii="Times New Roman" w:hAnsi="Times New Roman"/>
          <w:sz w:val="20"/>
          <w:szCs w:val="20"/>
        </w:rPr>
        <w:t>Calcium content of Metro Manila sample using EDTA</w:t>
      </w:r>
    </w:p>
    <w:tbl>
      <w:tblPr>
        <w:tblStyle w:val="PlainTable2"/>
        <w:tblW w:w="8716" w:type="dxa"/>
        <w:jc w:val="center"/>
        <w:tblLook w:val="04A0" w:firstRow="1" w:lastRow="0" w:firstColumn="1" w:lastColumn="0" w:noHBand="0" w:noVBand="1"/>
      </w:tblPr>
      <w:tblGrid>
        <w:gridCol w:w="1203"/>
        <w:gridCol w:w="650"/>
        <w:gridCol w:w="1679"/>
        <w:gridCol w:w="1552"/>
        <w:gridCol w:w="990"/>
        <w:gridCol w:w="1121"/>
        <w:gridCol w:w="1521"/>
      </w:tblGrid>
      <w:tr w:rsidR="00355C4C" w:rsidRPr="00355C4C" w:rsidTr="00174B4E">
        <w:trPr>
          <w:cnfStyle w:val="100000000000" w:firstRow="1" w:lastRow="0" w:firstColumn="0" w:lastColumn="0" w:oddVBand="0" w:evenVBand="0" w:oddHBand="0" w:evenHBand="0" w:firstRowFirstColumn="0" w:firstRowLastColumn="0" w:lastRowFirstColumn="0" w:lastRowLastColumn="0"/>
          <w:trHeight w:val="674"/>
          <w:jc w:val="center"/>
        </w:trPr>
        <w:tc>
          <w:tcPr>
            <w:cnfStyle w:val="001000000000" w:firstRow="0" w:lastRow="0" w:firstColumn="1" w:lastColumn="0" w:oddVBand="0" w:evenVBand="0" w:oddHBand="0" w:evenHBand="0" w:firstRowFirstColumn="0" w:firstRowLastColumn="0" w:lastRowFirstColumn="0" w:lastRowLastColumn="0"/>
            <w:tcW w:w="0" w:type="auto"/>
          </w:tcPr>
          <w:p w:rsidR="00355C4C" w:rsidRPr="00355C4C" w:rsidRDefault="00355C4C" w:rsidP="00894E05">
            <w:pPr>
              <w:spacing w:before="60" w:after="60" w:line="240" w:lineRule="auto"/>
              <w:rPr>
                <w:rFonts w:ascii="Times New Roman" w:hAnsi="Times New Roman" w:cs="Times New Roman"/>
                <w:sz w:val="20"/>
                <w:szCs w:val="20"/>
              </w:rPr>
            </w:pPr>
            <w:r w:rsidRPr="00355C4C">
              <w:rPr>
                <w:rFonts w:ascii="Times New Roman" w:hAnsi="Times New Roman" w:cs="Times New Roman"/>
                <w:sz w:val="20"/>
                <w:szCs w:val="20"/>
              </w:rPr>
              <w:t>Mass of Mortar Sample (g)</w:t>
            </w:r>
          </w:p>
        </w:tc>
        <w:tc>
          <w:tcPr>
            <w:tcW w:w="0" w:type="auto"/>
          </w:tcPr>
          <w:p w:rsidR="00355C4C" w:rsidRPr="00355C4C" w:rsidRDefault="00355C4C" w:rsidP="00894E05">
            <w:pPr>
              <w:spacing w:before="60"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Trial</w:t>
            </w:r>
          </w:p>
        </w:tc>
        <w:tc>
          <w:tcPr>
            <w:tcW w:w="1679" w:type="dxa"/>
          </w:tcPr>
          <w:p w:rsidR="00355C4C" w:rsidRPr="00355C4C" w:rsidRDefault="00355C4C" w:rsidP="00894E0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Volume of EDTA Consumed (mL)</w:t>
            </w:r>
          </w:p>
        </w:tc>
        <w:tc>
          <w:tcPr>
            <w:tcW w:w="1552" w:type="dxa"/>
          </w:tcPr>
          <w:p w:rsidR="00355C4C" w:rsidRPr="00355C4C" w:rsidRDefault="00355C4C" w:rsidP="00894E0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Concentration of Ca (ppm)</w:t>
            </w:r>
          </w:p>
        </w:tc>
        <w:tc>
          <w:tcPr>
            <w:tcW w:w="0" w:type="auto"/>
          </w:tcPr>
          <w:p w:rsidR="00355C4C" w:rsidRPr="00355C4C" w:rsidRDefault="00355C4C" w:rsidP="00894E0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Mass of Ca (g)</w:t>
            </w:r>
          </w:p>
        </w:tc>
        <w:tc>
          <w:tcPr>
            <w:tcW w:w="0" w:type="auto"/>
          </w:tcPr>
          <w:p w:rsidR="00355C4C" w:rsidRPr="00355C4C" w:rsidRDefault="00355C4C" w:rsidP="00894E0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 Ca (w/w) in Sample</w:t>
            </w:r>
          </w:p>
        </w:tc>
        <w:tc>
          <w:tcPr>
            <w:tcW w:w="0" w:type="auto"/>
          </w:tcPr>
          <w:p w:rsidR="00355C4C" w:rsidRPr="00355C4C" w:rsidRDefault="00355C4C" w:rsidP="00894E0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Mean (w/w) and Standard Deviation</w:t>
            </w:r>
          </w:p>
        </w:tc>
      </w:tr>
      <w:tr w:rsidR="00355C4C" w:rsidRPr="00355C4C" w:rsidTr="00174B4E">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bottom w:val="nil"/>
            </w:tcBorders>
          </w:tcPr>
          <w:p w:rsidR="00355C4C" w:rsidRPr="00355C4C" w:rsidRDefault="00355C4C" w:rsidP="00894E05">
            <w:pPr>
              <w:spacing w:before="60" w:after="0" w:line="240" w:lineRule="auto"/>
              <w:rPr>
                <w:rFonts w:ascii="Times New Roman" w:hAnsi="Times New Roman" w:cs="Times New Roman"/>
                <w:b w:val="0"/>
                <w:bCs w:val="0"/>
                <w:sz w:val="20"/>
                <w:szCs w:val="20"/>
              </w:rPr>
            </w:pPr>
            <w:r w:rsidRPr="00355C4C">
              <w:rPr>
                <w:rFonts w:ascii="Times New Roman" w:hAnsi="Times New Roman" w:cs="Times New Roman"/>
                <w:b w:val="0"/>
                <w:bCs w:val="0"/>
                <w:sz w:val="20"/>
                <w:szCs w:val="20"/>
              </w:rPr>
              <w:t>0.1027</w:t>
            </w:r>
          </w:p>
          <w:p w:rsidR="00355C4C" w:rsidRPr="00355C4C" w:rsidRDefault="00355C4C" w:rsidP="00894E05">
            <w:pPr>
              <w:spacing w:before="60" w:after="0" w:line="240" w:lineRule="auto"/>
              <w:rPr>
                <w:rFonts w:ascii="Times New Roman" w:hAnsi="Times New Roman" w:cs="Times New Roman"/>
                <w:b w:val="0"/>
                <w:bCs w:val="0"/>
                <w:sz w:val="20"/>
                <w:szCs w:val="20"/>
              </w:rPr>
            </w:pPr>
          </w:p>
        </w:tc>
        <w:tc>
          <w:tcPr>
            <w:tcW w:w="0" w:type="auto"/>
            <w:tcBorders>
              <w:bottom w:val="nil"/>
            </w:tcBorders>
          </w:tcPr>
          <w:p w:rsidR="00355C4C" w:rsidRPr="00355C4C" w:rsidRDefault="00355C4C" w:rsidP="00894E05">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1</w:t>
            </w:r>
          </w:p>
        </w:tc>
        <w:tc>
          <w:tcPr>
            <w:tcW w:w="1679" w:type="dxa"/>
            <w:tcBorders>
              <w:bottom w:val="nil"/>
            </w:tcBorders>
          </w:tcPr>
          <w:p w:rsidR="00355C4C" w:rsidRPr="00355C4C" w:rsidRDefault="00355C4C" w:rsidP="00894E0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39.30</w:t>
            </w:r>
          </w:p>
        </w:tc>
        <w:tc>
          <w:tcPr>
            <w:tcW w:w="1552" w:type="dxa"/>
            <w:tcBorders>
              <w:bottom w:val="nil"/>
            </w:tcBorders>
          </w:tcPr>
          <w:p w:rsidR="00355C4C" w:rsidRPr="00355C4C" w:rsidRDefault="00355C4C" w:rsidP="00894E05">
            <w:pPr>
              <w:spacing w:before="60" w:after="0" w:line="240" w:lineRule="auto"/>
              <w:ind w:hanging="1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298.80</w:t>
            </w:r>
          </w:p>
        </w:tc>
        <w:tc>
          <w:tcPr>
            <w:tcW w:w="0" w:type="auto"/>
            <w:tcBorders>
              <w:bottom w:val="nil"/>
            </w:tcBorders>
          </w:tcPr>
          <w:p w:rsidR="00355C4C" w:rsidRPr="00355C4C" w:rsidRDefault="00355C4C" w:rsidP="00894E05">
            <w:pPr>
              <w:spacing w:before="60" w:after="0" w:line="240" w:lineRule="auto"/>
              <w:ind w:hanging="1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0.07470</w:t>
            </w:r>
          </w:p>
        </w:tc>
        <w:tc>
          <w:tcPr>
            <w:tcW w:w="0" w:type="auto"/>
            <w:tcBorders>
              <w:bottom w:val="nil"/>
            </w:tcBorders>
          </w:tcPr>
          <w:p w:rsidR="00355C4C" w:rsidRPr="00355C4C" w:rsidRDefault="00355C4C" w:rsidP="00894E0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72.74</w:t>
            </w:r>
          </w:p>
        </w:tc>
        <w:tc>
          <w:tcPr>
            <w:tcW w:w="0" w:type="auto"/>
            <w:vMerge w:val="restart"/>
          </w:tcPr>
          <w:p w:rsidR="00355C4C" w:rsidRPr="00355C4C" w:rsidRDefault="00355C4C" w:rsidP="00894E0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73.54% ± 2.68*</w:t>
            </w:r>
          </w:p>
          <w:p w:rsidR="00355C4C" w:rsidRPr="00355C4C" w:rsidRDefault="00355C4C" w:rsidP="00894E0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(1.08)</w:t>
            </w:r>
          </w:p>
          <w:p w:rsidR="00355C4C" w:rsidRPr="00355C4C" w:rsidRDefault="00355C4C" w:rsidP="00894E0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355C4C" w:rsidRPr="00355C4C" w:rsidTr="00174B4E">
        <w:trPr>
          <w:trHeight w:val="234"/>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tcPr>
          <w:p w:rsidR="00355C4C" w:rsidRPr="00355C4C" w:rsidRDefault="00355C4C" w:rsidP="00894E05">
            <w:pPr>
              <w:spacing w:after="0" w:line="240" w:lineRule="auto"/>
              <w:rPr>
                <w:rFonts w:ascii="Times New Roman" w:hAnsi="Times New Roman" w:cs="Times New Roman"/>
                <w:b w:val="0"/>
                <w:bCs w:val="0"/>
                <w:sz w:val="20"/>
                <w:szCs w:val="20"/>
              </w:rPr>
            </w:pPr>
          </w:p>
        </w:tc>
        <w:tc>
          <w:tcPr>
            <w:tcW w:w="0" w:type="auto"/>
            <w:tcBorders>
              <w:top w:val="nil"/>
              <w:bottom w:val="nil"/>
            </w:tcBorders>
          </w:tcPr>
          <w:p w:rsidR="00355C4C" w:rsidRPr="00355C4C" w:rsidRDefault="00355C4C" w:rsidP="00894E05">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2</w:t>
            </w:r>
          </w:p>
        </w:tc>
        <w:tc>
          <w:tcPr>
            <w:tcW w:w="1679" w:type="dxa"/>
            <w:tcBorders>
              <w:top w:val="nil"/>
              <w:bottom w:val="nil"/>
            </w:tcBorders>
          </w:tcPr>
          <w:p w:rsidR="00355C4C" w:rsidRPr="00355C4C" w:rsidRDefault="00355C4C" w:rsidP="00894E05">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39.50</w:t>
            </w:r>
          </w:p>
        </w:tc>
        <w:tc>
          <w:tcPr>
            <w:tcW w:w="1552" w:type="dxa"/>
            <w:tcBorders>
              <w:top w:val="nil"/>
              <w:bottom w:val="nil"/>
            </w:tcBorders>
          </w:tcPr>
          <w:p w:rsidR="00355C4C" w:rsidRPr="00355C4C" w:rsidRDefault="00355C4C" w:rsidP="00894E05">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300.32</w:t>
            </w:r>
          </w:p>
        </w:tc>
        <w:tc>
          <w:tcPr>
            <w:tcW w:w="0" w:type="auto"/>
            <w:tcBorders>
              <w:top w:val="nil"/>
              <w:bottom w:val="nil"/>
            </w:tcBorders>
          </w:tcPr>
          <w:p w:rsidR="00355C4C" w:rsidRPr="00355C4C" w:rsidRDefault="00355C4C" w:rsidP="00894E05">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0.07508</w:t>
            </w:r>
          </w:p>
        </w:tc>
        <w:tc>
          <w:tcPr>
            <w:tcW w:w="0" w:type="auto"/>
            <w:tcBorders>
              <w:top w:val="nil"/>
              <w:bottom w:val="nil"/>
            </w:tcBorders>
          </w:tcPr>
          <w:p w:rsidR="00355C4C" w:rsidRPr="00355C4C" w:rsidRDefault="00355C4C" w:rsidP="00894E05">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73.11</w:t>
            </w:r>
          </w:p>
        </w:tc>
        <w:tc>
          <w:tcPr>
            <w:tcW w:w="0" w:type="auto"/>
            <w:vMerge/>
          </w:tcPr>
          <w:p w:rsidR="00355C4C" w:rsidRPr="00355C4C" w:rsidRDefault="00355C4C" w:rsidP="00894E0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55C4C" w:rsidRPr="00355C4C" w:rsidTr="00174B4E">
        <w:trPr>
          <w:cnfStyle w:val="000000100000" w:firstRow="0" w:lastRow="0" w:firstColumn="0" w:lastColumn="0" w:oddVBand="0" w:evenVBand="0" w:oddHBand="1" w:evenHBand="0" w:firstRowFirstColumn="0" w:firstRowLastColumn="0" w:lastRowFirstColumn="0" w:lastRowLastColumn="0"/>
          <w:trHeight w:val="234"/>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tcBorders>
          </w:tcPr>
          <w:p w:rsidR="00355C4C" w:rsidRPr="00355C4C" w:rsidRDefault="00355C4C" w:rsidP="00894E05">
            <w:pPr>
              <w:spacing w:after="0" w:line="240" w:lineRule="auto"/>
              <w:rPr>
                <w:rFonts w:ascii="Times New Roman" w:hAnsi="Times New Roman" w:cs="Times New Roman"/>
                <w:b w:val="0"/>
                <w:bCs w:val="0"/>
                <w:sz w:val="20"/>
                <w:szCs w:val="20"/>
              </w:rPr>
            </w:pPr>
          </w:p>
        </w:tc>
        <w:tc>
          <w:tcPr>
            <w:tcW w:w="0" w:type="auto"/>
            <w:tcBorders>
              <w:top w:val="nil"/>
            </w:tcBorders>
          </w:tcPr>
          <w:p w:rsidR="00355C4C" w:rsidRPr="00355C4C" w:rsidRDefault="00355C4C" w:rsidP="00894E05">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3</w:t>
            </w:r>
          </w:p>
        </w:tc>
        <w:tc>
          <w:tcPr>
            <w:tcW w:w="1679" w:type="dxa"/>
            <w:tcBorders>
              <w:top w:val="nil"/>
            </w:tcBorders>
          </w:tcPr>
          <w:p w:rsidR="00355C4C" w:rsidRPr="00355C4C" w:rsidRDefault="00355C4C" w:rsidP="00894E0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40.40</w:t>
            </w:r>
          </w:p>
        </w:tc>
        <w:tc>
          <w:tcPr>
            <w:tcW w:w="1552" w:type="dxa"/>
            <w:tcBorders>
              <w:top w:val="nil"/>
            </w:tcBorders>
          </w:tcPr>
          <w:p w:rsidR="00355C4C" w:rsidRPr="00355C4C" w:rsidRDefault="00355C4C" w:rsidP="00894E0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307.16</w:t>
            </w:r>
          </w:p>
        </w:tc>
        <w:tc>
          <w:tcPr>
            <w:tcW w:w="0" w:type="auto"/>
            <w:tcBorders>
              <w:top w:val="nil"/>
            </w:tcBorders>
          </w:tcPr>
          <w:p w:rsidR="00355C4C" w:rsidRPr="00355C4C" w:rsidRDefault="00355C4C" w:rsidP="00894E0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0.07679</w:t>
            </w:r>
          </w:p>
        </w:tc>
        <w:tc>
          <w:tcPr>
            <w:tcW w:w="0" w:type="auto"/>
            <w:tcBorders>
              <w:top w:val="nil"/>
            </w:tcBorders>
          </w:tcPr>
          <w:p w:rsidR="00355C4C" w:rsidRPr="00355C4C" w:rsidRDefault="00355C4C" w:rsidP="00894E0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74.77</w:t>
            </w:r>
          </w:p>
        </w:tc>
        <w:tc>
          <w:tcPr>
            <w:tcW w:w="0" w:type="auto"/>
            <w:vMerge/>
          </w:tcPr>
          <w:p w:rsidR="00355C4C" w:rsidRPr="00355C4C" w:rsidRDefault="00355C4C" w:rsidP="00894E0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rsidR="00355C4C" w:rsidRPr="00894E05" w:rsidRDefault="00355C4C" w:rsidP="00894E05">
      <w:pPr>
        <w:spacing w:before="60" w:after="0" w:line="240" w:lineRule="auto"/>
        <w:jc w:val="both"/>
        <w:rPr>
          <w:rFonts w:ascii="Times New Roman" w:hAnsi="Times New Roman"/>
          <w:sz w:val="18"/>
          <w:szCs w:val="18"/>
        </w:rPr>
      </w:pPr>
      <w:r w:rsidRPr="00894E05">
        <w:rPr>
          <w:rFonts w:ascii="Times New Roman" w:hAnsi="Times New Roman"/>
          <w:sz w:val="18"/>
          <w:szCs w:val="18"/>
        </w:rPr>
        <w:t xml:space="preserve">    </w:t>
      </w:r>
      <w:r w:rsidR="00894E05">
        <w:rPr>
          <w:rFonts w:ascii="Times New Roman" w:hAnsi="Times New Roman"/>
          <w:sz w:val="18"/>
          <w:szCs w:val="18"/>
        </w:rPr>
        <w:t xml:space="preserve">   </w:t>
      </w:r>
      <w:r w:rsidRPr="00894E05">
        <w:rPr>
          <w:rFonts w:ascii="Times New Roman" w:hAnsi="Times New Roman"/>
          <w:sz w:val="18"/>
          <w:szCs w:val="18"/>
        </w:rPr>
        <w:t>* at 95% confidence level</w:t>
      </w:r>
    </w:p>
    <w:p w:rsidR="00355C4C" w:rsidRPr="00355C4C" w:rsidRDefault="00355C4C" w:rsidP="00894E05">
      <w:pPr>
        <w:spacing w:after="120" w:line="240" w:lineRule="auto"/>
        <w:jc w:val="both"/>
        <w:rPr>
          <w:rFonts w:ascii="Times New Roman" w:hAnsi="Times New Roman"/>
          <w:sz w:val="20"/>
          <w:szCs w:val="20"/>
        </w:rPr>
      </w:pPr>
    </w:p>
    <w:p w:rsidR="00355C4C" w:rsidRPr="00355C4C" w:rsidRDefault="00355C4C" w:rsidP="00355C4C">
      <w:pPr>
        <w:spacing w:after="0" w:line="240" w:lineRule="auto"/>
        <w:jc w:val="both"/>
        <w:rPr>
          <w:rFonts w:ascii="Times New Roman" w:hAnsi="Times New Roman"/>
          <w:b/>
          <w:sz w:val="20"/>
          <w:szCs w:val="20"/>
          <w:vertAlign w:val="subscript"/>
        </w:rPr>
      </w:pPr>
      <w:r w:rsidRPr="00355C4C">
        <w:rPr>
          <w:rFonts w:ascii="Times New Roman" w:hAnsi="Times New Roman"/>
          <w:b/>
          <w:sz w:val="20"/>
          <w:szCs w:val="20"/>
        </w:rPr>
        <w:t>Analysis of KMnO</w:t>
      </w:r>
      <w:r w:rsidRPr="00355C4C">
        <w:rPr>
          <w:rFonts w:ascii="Times New Roman" w:hAnsi="Times New Roman"/>
          <w:b/>
          <w:sz w:val="20"/>
          <w:szCs w:val="20"/>
          <w:vertAlign w:val="subscript"/>
        </w:rPr>
        <w:t>4</w:t>
      </w:r>
      <w:r w:rsidRPr="00355C4C">
        <w:rPr>
          <w:rFonts w:ascii="Times New Roman" w:hAnsi="Times New Roman"/>
          <w:b/>
          <w:sz w:val="20"/>
          <w:szCs w:val="20"/>
        </w:rPr>
        <w:t xml:space="preserve"> titration </w:t>
      </w:r>
    </w:p>
    <w:p w:rsidR="00355C4C" w:rsidRPr="00355C4C" w:rsidRDefault="00355C4C" w:rsidP="00355C4C">
      <w:pPr>
        <w:spacing w:after="0" w:line="240" w:lineRule="auto"/>
        <w:jc w:val="both"/>
        <w:rPr>
          <w:rFonts w:ascii="Times New Roman" w:hAnsi="Times New Roman"/>
          <w:sz w:val="20"/>
          <w:szCs w:val="20"/>
        </w:rPr>
      </w:pPr>
      <w:r w:rsidRPr="00355C4C">
        <w:rPr>
          <w:rFonts w:ascii="Times New Roman" w:hAnsi="Times New Roman"/>
          <w:sz w:val="20"/>
          <w:szCs w:val="20"/>
        </w:rPr>
        <w:t>The KMnO</w:t>
      </w:r>
      <w:r w:rsidRPr="00355C4C">
        <w:rPr>
          <w:rFonts w:ascii="Times New Roman" w:hAnsi="Times New Roman"/>
          <w:sz w:val="20"/>
          <w:szCs w:val="20"/>
          <w:vertAlign w:val="subscript"/>
        </w:rPr>
        <w:t>4</w:t>
      </w:r>
      <w:r w:rsidRPr="00355C4C">
        <w:rPr>
          <w:rFonts w:ascii="Times New Roman" w:hAnsi="Times New Roman"/>
          <w:sz w:val="20"/>
          <w:szCs w:val="20"/>
        </w:rPr>
        <w:t xml:space="preserve"> solution was first standardized using sodium oxalate and the mean concentration is 10660 ± 640.5 µM at a 95% confidence level. Precision for the standardization method was considered high due to the small value (2.58 x 10</w:t>
      </w:r>
      <w:r w:rsidRPr="00355C4C">
        <w:rPr>
          <w:rFonts w:ascii="Times New Roman" w:hAnsi="Times New Roman"/>
          <w:sz w:val="20"/>
          <w:szCs w:val="20"/>
          <w:vertAlign w:val="superscript"/>
        </w:rPr>
        <w:t>-4</w:t>
      </w:r>
      <w:r w:rsidRPr="00355C4C">
        <w:rPr>
          <w:rFonts w:ascii="Times New Roman" w:hAnsi="Times New Roman"/>
          <w:sz w:val="20"/>
          <w:szCs w:val="20"/>
        </w:rPr>
        <w:t>) of the standard deviation. The results of KMnO</w:t>
      </w:r>
      <w:r w:rsidRPr="00355C4C">
        <w:rPr>
          <w:rFonts w:ascii="Times New Roman" w:hAnsi="Times New Roman"/>
          <w:sz w:val="20"/>
          <w:szCs w:val="20"/>
          <w:vertAlign w:val="subscript"/>
        </w:rPr>
        <w:t>4</w:t>
      </w:r>
      <w:r w:rsidRPr="00355C4C">
        <w:rPr>
          <w:rFonts w:ascii="Times New Roman" w:hAnsi="Times New Roman"/>
          <w:sz w:val="20"/>
          <w:szCs w:val="20"/>
        </w:rPr>
        <w:t xml:space="preserve"> titration on the Misamis Oriental sample shown in Table 4 is consistent with the mean calcium concentration values obtained from EDTA titration and differs only by 1.47 units. However, the confidence limits (± 6.68) and standard deviation equal to 2.69 is higher compared to that of the EDTA titration. This is due to the tedious process of crystallization and in maintaining the temperature during the titration which may introduce random errors in the system. Nevertheless, the measured calcium concentration values per replicate are within the allowable confidence limits and the coefficient of variation (4.45%) is still less than 5%, making the titration process precise. </w:t>
      </w:r>
    </w:p>
    <w:p w:rsidR="00355C4C" w:rsidRDefault="00355C4C" w:rsidP="00355C4C">
      <w:pPr>
        <w:spacing w:after="0" w:line="240" w:lineRule="auto"/>
        <w:jc w:val="both"/>
        <w:rPr>
          <w:rFonts w:ascii="Times New Roman" w:hAnsi="Times New Roman"/>
          <w:sz w:val="20"/>
          <w:szCs w:val="20"/>
        </w:rPr>
      </w:pPr>
    </w:p>
    <w:p w:rsidR="00DF5F15" w:rsidRDefault="00DF5F15" w:rsidP="00355C4C">
      <w:pPr>
        <w:spacing w:after="0" w:line="240" w:lineRule="auto"/>
        <w:jc w:val="both"/>
        <w:rPr>
          <w:rFonts w:ascii="Times New Roman" w:hAnsi="Times New Roman"/>
          <w:sz w:val="20"/>
          <w:szCs w:val="20"/>
        </w:rPr>
      </w:pPr>
    </w:p>
    <w:p w:rsidR="00DF5F15" w:rsidRDefault="00DF5F15" w:rsidP="00355C4C">
      <w:pPr>
        <w:spacing w:after="0" w:line="240" w:lineRule="auto"/>
        <w:jc w:val="both"/>
        <w:rPr>
          <w:rFonts w:ascii="Times New Roman" w:hAnsi="Times New Roman"/>
          <w:sz w:val="20"/>
          <w:szCs w:val="20"/>
        </w:rPr>
      </w:pPr>
    </w:p>
    <w:p w:rsidR="00DF5F15" w:rsidRDefault="00DF5F15" w:rsidP="00355C4C">
      <w:pPr>
        <w:spacing w:after="0" w:line="240" w:lineRule="auto"/>
        <w:jc w:val="both"/>
        <w:rPr>
          <w:rFonts w:ascii="Times New Roman" w:hAnsi="Times New Roman"/>
          <w:sz w:val="20"/>
          <w:szCs w:val="20"/>
        </w:rPr>
      </w:pPr>
    </w:p>
    <w:p w:rsidR="00DF5F15" w:rsidRDefault="00DF5F15" w:rsidP="00355C4C">
      <w:pPr>
        <w:spacing w:after="0" w:line="240" w:lineRule="auto"/>
        <w:jc w:val="both"/>
        <w:rPr>
          <w:rFonts w:ascii="Times New Roman" w:hAnsi="Times New Roman"/>
          <w:sz w:val="20"/>
          <w:szCs w:val="20"/>
        </w:rPr>
      </w:pPr>
    </w:p>
    <w:p w:rsidR="00DF5F15" w:rsidRDefault="00DF5F15" w:rsidP="00355C4C">
      <w:pPr>
        <w:spacing w:after="0" w:line="240" w:lineRule="auto"/>
        <w:jc w:val="both"/>
        <w:rPr>
          <w:rFonts w:ascii="Times New Roman" w:hAnsi="Times New Roman"/>
          <w:sz w:val="20"/>
          <w:szCs w:val="20"/>
        </w:rPr>
      </w:pPr>
    </w:p>
    <w:p w:rsidR="00DF5F15" w:rsidRDefault="00DF5F15" w:rsidP="00355C4C">
      <w:pPr>
        <w:spacing w:after="0" w:line="240" w:lineRule="auto"/>
        <w:jc w:val="both"/>
        <w:rPr>
          <w:rFonts w:ascii="Times New Roman" w:hAnsi="Times New Roman"/>
          <w:sz w:val="20"/>
          <w:szCs w:val="20"/>
        </w:rPr>
      </w:pPr>
    </w:p>
    <w:p w:rsidR="00DF5F15" w:rsidRDefault="00DF5F15" w:rsidP="00355C4C">
      <w:pPr>
        <w:spacing w:after="0" w:line="240" w:lineRule="auto"/>
        <w:jc w:val="both"/>
        <w:rPr>
          <w:rFonts w:ascii="Times New Roman" w:hAnsi="Times New Roman"/>
          <w:sz w:val="20"/>
          <w:szCs w:val="20"/>
        </w:rPr>
      </w:pPr>
    </w:p>
    <w:p w:rsidR="00DF5F15" w:rsidRPr="00355C4C" w:rsidRDefault="00DF5F15" w:rsidP="00355C4C">
      <w:pPr>
        <w:spacing w:after="0" w:line="240" w:lineRule="auto"/>
        <w:jc w:val="both"/>
        <w:rPr>
          <w:rFonts w:ascii="Times New Roman" w:hAnsi="Times New Roman"/>
          <w:sz w:val="20"/>
          <w:szCs w:val="20"/>
        </w:rPr>
      </w:pPr>
    </w:p>
    <w:p w:rsidR="00355C4C" w:rsidRPr="00894E05" w:rsidRDefault="00355C4C" w:rsidP="00894E05">
      <w:pPr>
        <w:spacing w:after="120" w:line="240" w:lineRule="auto"/>
        <w:jc w:val="center"/>
        <w:rPr>
          <w:rFonts w:ascii="Times New Roman" w:hAnsi="Times New Roman"/>
          <w:sz w:val="20"/>
          <w:szCs w:val="20"/>
          <w:vertAlign w:val="subscript"/>
        </w:rPr>
      </w:pPr>
      <w:r w:rsidRPr="00355C4C">
        <w:rPr>
          <w:rFonts w:ascii="Times New Roman" w:hAnsi="Times New Roman"/>
          <w:sz w:val="20"/>
          <w:szCs w:val="20"/>
        </w:rPr>
        <w:lastRenderedPageBreak/>
        <w:t xml:space="preserve">Table 4. </w:t>
      </w:r>
      <w:r w:rsidR="00894E05">
        <w:rPr>
          <w:rFonts w:ascii="Times New Roman" w:hAnsi="Times New Roman"/>
          <w:sz w:val="20"/>
          <w:szCs w:val="20"/>
        </w:rPr>
        <w:t xml:space="preserve"> </w:t>
      </w:r>
      <w:r w:rsidRPr="00355C4C">
        <w:rPr>
          <w:rFonts w:ascii="Times New Roman" w:hAnsi="Times New Roman"/>
          <w:sz w:val="20"/>
          <w:szCs w:val="20"/>
        </w:rPr>
        <w:t>Calcium content of Misamis Oriental sample using KMnO</w:t>
      </w:r>
      <w:r w:rsidRPr="00355C4C">
        <w:rPr>
          <w:rFonts w:ascii="Times New Roman" w:hAnsi="Times New Roman"/>
          <w:sz w:val="20"/>
          <w:szCs w:val="20"/>
          <w:vertAlign w:val="subscript"/>
        </w:rPr>
        <w:t>4</w:t>
      </w:r>
    </w:p>
    <w:tbl>
      <w:tblPr>
        <w:tblStyle w:val="PlainTable2"/>
        <w:tblW w:w="8614" w:type="dxa"/>
        <w:jc w:val="center"/>
        <w:tblLook w:val="04A0" w:firstRow="1" w:lastRow="0" w:firstColumn="1" w:lastColumn="0" w:noHBand="0" w:noVBand="1"/>
      </w:tblPr>
      <w:tblGrid>
        <w:gridCol w:w="1637"/>
        <w:gridCol w:w="650"/>
        <w:gridCol w:w="1958"/>
        <w:gridCol w:w="1094"/>
        <w:gridCol w:w="1349"/>
        <w:gridCol w:w="1926"/>
      </w:tblGrid>
      <w:tr w:rsidR="00355C4C" w:rsidRPr="00355C4C" w:rsidTr="00174B4E">
        <w:trPr>
          <w:cnfStyle w:val="100000000000" w:firstRow="1" w:lastRow="0" w:firstColumn="0" w:lastColumn="0" w:oddVBand="0" w:evenVBand="0" w:oddHBand="0" w:evenHBand="0" w:firstRowFirstColumn="0" w:firstRowLastColumn="0" w:lastRowFirstColumn="0" w:lastRowLastColumn="0"/>
          <w:trHeight w:val="446"/>
          <w:jc w:val="center"/>
        </w:trPr>
        <w:tc>
          <w:tcPr>
            <w:cnfStyle w:val="001000000000" w:firstRow="0" w:lastRow="0" w:firstColumn="1" w:lastColumn="0" w:oddVBand="0" w:evenVBand="0" w:oddHBand="0" w:evenHBand="0" w:firstRowFirstColumn="0" w:firstRowLastColumn="0" w:lastRowFirstColumn="0" w:lastRowLastColumn="0"/>
            <w:tcW w:w="1637" w:type="dxa"/>
          </w:tcPr>
          <w:p w:rsidR="00355C4C" w:rsidRPr="00355C4C" w:rsidRDefault="00355C4C" w:rsidP="00894E05">
            <w:pPr>
              <w:spacing w:before="60" w:after="60" w:line="240" w:lineRule="auto"/>
              <w:rPr>
                <w:rFonts w:ascii="Times New Roman" w:hAnsi="Times New Roman" w:cs="Times New Roman"/>
                <w:sz w:val="20"/>
                <w:szCs w:val="20"/>
              </w:rPr>
            </w:pPr>
            <w:r w:rsidRPr="00355C4C">
              <w:rPr>
                <w:rFonts w:ascii="Times New Roman" w:hAnsi="Times New Roman" w:cs="Times New Roman"/>
                <w:sz w:val="20"/>
                <w:szCs w:val="20"/>
              </w:rPr>
              <w:t>Mass of Mortar Sample (g)</w:t>
            </w:r>
          </w:p>
        </w:tc>
        <w:tc>
          <w:tcPr>
            <w:tcW w:w="566" w:type="dxa"/>
          </w:tcPr>
          <w:p w:rsidR="00355C4C" w:rsidRPr="00355C4C" w:rsidRDefault="00355C4C" w:rsidP="00894E05">
            <w:pPr>
              <w:spacing w:before="60"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Trial</w:t>
            </w:r>
          </w:p>
        </w:tc>
        <w:tc>
          <w:tcPr>
            <w:tcW w:w="0" w:type="auto"/>
          </w:tcPr>
          <w:p w:rsidR="00355C4C" w:rsidRPr="00355C4C" w:rsidRDefault="00355C4C" w:rsidP="00894E0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Volume of KMnO</w:t>
            </w:r>
            <w:r w:rsidRPr="00355C4C">
              <w:rPr>
                <w:rFonts w:ascii="Times New Roman" w:hAnsi="Times New Roman" w:cs="Times New Roman"/>
                <w:sz w:val="20"/>
                <w:szCs w:val="20"/>
                <w:vertAlign w:val="subscript"/>
              </w:rPr>
              <w:t>4</w:t>
            </w:r>
            <w:r w:rsidRPr="00355C4C">
              <w:rPr>
                <w:rFonts w:ascii="Times New Roman" w:hAnsi="Times New Roman" w:cs="Times New Roman"/>
                <w:sz w:val="20"/>
                <w:szCs w:val="20"/>
              </w:rPr>
              <w:t xml:space="preserve"> Consumed (mL)</w:t>
            </w:r>
          </w:p>
        </w:tc>
        <w:tc>
          <w:tcPr>
            <w:tcW w:w="0" w:type="auto"/>
          </w:tcPr>
          <w:p w:rsidR="00355C4C" w:rsidRPr="00355C4C" w:rsidRDefault="00355C4C" w:rsidP="00894E0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Mass of Ca (g)</w:t>
            </w:r>
          </w:p>
        </w:tc>
        <w:tc>
          <w:tcPr>
            <w:tcW w:w="0" w:type="auto"/>
          </w:tcPr>
          <w:p w:rsidR="00355C4C" w:rsidRPr="00355C4C" w:rsidRDefault="00355C4C" w:rsidP="00894E0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 Ca (w/w) in Sample</w:t>
            </w:r>
          </w:p>
        </w:tc>
        <w:tc>
          <w:tcPr>
            <w:tcW w:w="0" w:type="auto"/>
          </w:tcPr>
          <w:p w:rsidR="00355C4C" w:rsidRPr="00355C4C" w:rsidRDefault="00355C4C" w:rsidP="00DF5F1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Mean (w/w) and Standard Deviation</w:t>
            </w:r>
          </w:p>
        </w:tc>
      </w:tr>
      <w:tr w:rsidR="00355C4C" w:rsidRPr="00355C4C" w:rsidTr="00174B4E">
        <w:trPr>
          <w:cnfStyle w:val="000000100000" w:firstRow="0" w:lastRow="0" w:firstColumn="0" w:lastColumn="0" w:oddVBand="0" w:evenVBand="0" w:oddHBand="1" w:evenHBand="0" w:firstRowFirstColumn="0" w:firstRowLastColumn="0" w:lastRowFirstColumn="0" w:lastRowLastColumn="0"/>
          <w:trHeight w:val="223"/>
          <w:jc w:val="center"/>
        </w:trPr>
        <w:tc>
          <w:tcPr>
            <w:cnfStyle w:val="001000000000" w:firstRow="0" w:lastRow="0" w:firstColumn="1" w:lastColumn="0" w:oddVBand="0" w:evenVBand="0" w:oddHBand="0" w:evenHBand="0" w:firstRowFirstColumn="0" w:firstRowLastColumn="0" w:lastRowFirstColumn="0" w:lastRowLastColumn="0"/>
            <w:tcW w:w="1637" w:type="dxa"/>
            <w:vMerge w:val="restart"/>
            <w:tcBorders>
              <w:bottom w:val="nil"/>
            </w:tcBorders>
          </w:tcPr>
          <w:p w:rsidR="00355C4C" w:rsidRPr="00355C4C" w:rsidRDefault="00355C4C" w:rsidP="00DF5F15">
            <w:pPr>
              <w:spacing w:before="60" w:after="0" w:line="240" w:lineRule="auto"/>
              <w:rPr>
                <w:rFonts w:ascii="Times New Roman" w:hAnsi="Times New Roman" w:cs="Times New Roman"/>
                <w:b w:val="0"/>
                <w:bCs w:val="0"/>
                <w:sz w:val="20"/>
                <w:szCs w:val="20"/>
              </w:rPr>
            </w:pPr>
            <w:r w:rsidRPr="00355C4C">
              <w:rPr>
                <w:rFonts w:ascii="Times New Roman" w:hAnsi="Times New Roman" w:cs="Times New Roman"/>
                <w:b w:val="0"/>
                <w:bCs w:val="0"/>
                <w:sz w:val="20"/>
                <w:szCs w:val="20"/>
              </w:rPr>
              <w:t>0.03597</w:t>
            </w:r>
          </w:p>
        </w:tc>
        <w:tc>
          <w:tcPr>
            <w:tcW w:w="566" w:type="dxa"/>
            <w:tcBorders>
              <w:bottom w:val="nil"/>
            </w:tcBorders>
          </w:tcPr>
          <w:p w:rsidR="00355C4C" w:rsidRPr="00355C4C" w:rsidRDefault="00355C4C" w:rsidP="00DF5F15">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1</w:t>
            </w:r>
          </w:p>
        </w:tc>
        <w:tc>
          <w:tcPr>
            <w:tcW w:w="0" w:type="auto"/>
            <w:tcBorders>
              <w:bottom w:val="nil"/>
            </w:tcBorders>
          </w:tcPr>
          <w:p w:rsidR="00355C4C" w:rsidRPr="00355C4C" w:rsidRDefault="00355C4C" w:rsidP="00DF5F15">
            <w:pPr>
              <w:tabs>
                <w:tab w:val="left" w:pos="-72"/>
              </w:tabs>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20.50</w:t>
            </w:r>
          </w:p>
        </w:tc>
        <w:tc>
          <w:tcPr>
            <w:tcW w:w="0" w:type="auto"/>
            <w:tcBorders>
              <w:bottom w:val="nil"/>
            </w:tcBorders>
          </w:tcPr>
          <w:p w:rsidR="00355C4C" w:rsidRPr="00355C4C" w:rsidRDefault="00355C4C" w:rsidP="00DF5F15">
            <w:pPr>
              <w:spacing w:before="60" w:after="0" w:line="240" w:lineRule="auto"/>
              <w:ind w:hanging="1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0.02190</w:t>
            </w:r>
          </w:p>
        </w:tc>
        <w:tc>
          <w:tcPr>
            <w:tcW w:w="0" w:type="auto"/>
            <w:tcBorders>
              <w:bottom w:val="nil"/>
            </w:tcBorders>
          </w:tcPr>
          <w:p w:rsidR="00355C4C" w:rsidRPr="00355C4C" w:rsidRDefault="00355C4C" w:rsidP="00DF5F15">
            <w:pPr>
              <w:tabs>
                <w:tab w:val="left" w:pos="-72"/>
              </w:tabs>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60.87</w:t>
            </w:r>
          </w:p>
        </w:tc>
        <w:tc>
          <w:tcPr>
            <w:tcW w:w="0" w:type="auto"/>
            <w:vMerge w:val="restart"/>
          </w:tcPr>
          <w:p w:rsidR="00DF5F15" w:rsidRDefault="00DF5F15" w:rsidP="00DF5F1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60.48% ± 6.68*</w:t>
            </w:r>
          </w:p>
          <w:p w:rsidR="00355C4C" w:rsidRDefault="00355C4C" w:rsidP="00DF5F1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(2.69)</w:t>
            </w:r>
          </w:p>
          <w:p w:rsidR="00DF5F15" w:rsidRPr="00355C4C" w:rsidRDefault="00DF5F15" w:rsidP="00DF5F1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355C4C" w:rsidRPr="00355C4C" w:rsidTr="00174B4E">
        <w:trPr>
          <w:trHeight w:val="235"/>
          <w:jc w:val="center"/>
        </w:trPr>
        <w:tc>
          <w:tcPr>
            <w:cnfStyle w:val="001000000000" w:firstRow="0" w:lastRow="0" w:firstColumn="1" w:lastColumn="0" w:oddVBand="0" w:evenVBand="0" w:oddHBand="0" w:evenHBand="0" w:firstRowFirstColumn="0" w:firstRowLastColumn="0" w:lastRowFirstColumn="0" w:lastRowLastColumn="0"/>
            <w:tcW w:w="1637" w:type="dxa"/>
            <w:vMerge/>
            <w:tcBorders>
              <w:top w:val="nil"/>
              <w:bottom w:val="nil"/>
            </w:tcBorders>
          </w:tcPr>
          <w:p w:rsidR="00355C4C" w:rsidRPr="00355C4C" w:rsidRDefault="00355C4C" w:rsidP="00894E05">
            <w:pPr>
              <w:spacing w:after="0" w:line="240" w:lineRule="auto"/>
              <w:rPr>
                <w:rFonts w:ascii="Times New Roman" w:hAnsi="Times New Roman" w:cs="Times New Roman"/>
                <w:b w:val="0"/>
                <w:bCs w:val="0"/>
                <w:color w:val="FF0000"/>
                <w:sz w:val="20"/>
                <w:szCs w:val="20"/>
              </w:rPr>
            </w:pPr>
          </w:p>
        </w:tc>
        <w:tc>
          <w:tcPr>
            <w:tcW w:w="566" w:type="dxa"/>
            <w:tcBorders>
              <w:top w:val="nil"/>
              <w:bottom w:val="nil"/>
            </w:tcBorders>
          </w:tcPr>
          <w:p w:rsidR="00355C4C" w:rsidRPr="00355C4C" w:rsidRDefault="00355C4C" w:rsidP="00DF5F15">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2</w:t>
            </w:r>
          </w:p>
        </w:tc>
        <w:tc>
          <w:tcPr>
            <w:tcW w:w="0" w:type="auto"/>
            <w:tcBorders>
              <w:top w:val="nil"/>
              <w:bottom w:val="nil"/>
            </w:tcBorders>
          </w:tcPr>
          <w:p w:rsidR="00355C4C" w:rsidRPr="00355C4C" w:rsidRDefault="00355C4C" w:rsidP="00DF5F15">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21.20</w:t>
            </w:r>
          </w:p>
        </w:tc>
        <w:tc>
          <w:tcPr>
            <w:tcW w:w="0" w:type="auto"/>
            <w:tcBorders>
              <w:top w:val="nil"/>
              <w:bottom w:val="nil"/>
            </w:tcBorders>
          </w:tcPr>
          <w:p w:rsidR="00355C4C" w:rsidRPr="00355C4C" w:rsidRDefault="00355C4C" w:rsidP="00DF5F15">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0.02264</w:t>
            </w:r>
          </w:p>
        </w:tc>
        <w:tc>
          <w:tcPr>
            <w:tcW w:w="0" w:type="auto"/>
            <w:tcBorders>
              <w:top w:val="nil"/>
              <w:bottom w:val="nil"/>
            </w:tcBorders>
          </w:tcPr>
          <w:p w:rsidR="00355C4C" w:rsidRPr="00355C4C" w:rsidRDefault="00355C4C" w:rsidP="00DF5F15">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62.95</w:t>
            </w:r>
          </w:p>
        </w:tc>
        <w:tc>
          <w:tcPr>
            <w:tcW w:w="0" w:type="auto"/>
            <w:vMerge/>
          </w:tcPr>
          <w:p w:rsidR="00355C4C" w:rsidRPr="00355C4C" w:rsidRDefault="00355C4C" w:rsidP="00894E0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55C4C" w:rsidRPr="00355C4C" w:rsidTr="00174B4E">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1637" w:type="dxa"/>
            <w:vMerge/>
            <w:tcBorders>
              <w:top w:val="nil"/>
            </w:tcBorders>
          </w:tcPr>
          <w:p w:rsidR="00355C4C" w:rsidRPr="00355C4C" w:rsidRDefault="00355C4C" w:rsidP="00894E05">
            <w:pPr>
              <w:spacing w:after="0" w:line="240" w:lineRule="auto"/>
              <w:rPr>
                <w:rFonts w:ascii="Times New Roman" w:hAnsi="Times New Roman" w:cs="Times New Roman"/>
                <w:b w:val="0"/>
                <w:bCs w:val="0"/>
                <w:color w:val="FF0000"/>
                <w:sz w:val="20"/>
                <w:szCs w:val="20"/>
              </w:rPr>
            </w:pPr>
          </w:p>
        </w:tc>
        <w:tc>
          <w:tcPr>
            <w:tcW w:w="566" w:type="dxa"/>
            <w:tcBorders>
              <w:top w:val="nil"/>
            </w:tcBorders>
          </w:tcPr>
          <w:p w:rsidR="00355C4C" w:rsidRPr="00355C4C" w:rsidRDefault="00355C4C" w:rsidP="00DF5F15">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3</w:t>
            </w:r>
          </w:p>
        </w:tc>
        <w:tc>
          <w:tcPr>
            <w:tcW w:w="0" w:type="auto"/>
            <w:tcBorders>
              <w:top w:val="nil"/>
            </w:tcBorders>
          </w:tcPr>
          <w:p w:rsidR="00355C4C" w:rsidRPr="00355C4C" w:rsidRDefault="00355C4C" w:rsidP="00DF5F1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19.40</w:t>
            </w:r>
          </w:p>
        </w:tc>
        <w:tc>
          <w:tcPr>
            <w:tcW w:w="0" w:type="auto"/>
            <w:tcBorders>
              <w:top w:val="nil"/>
            </w:tcBorders>
          </w:tcPr>
          <w:p w:rsidR="00355C4C" w:rsidRPr="00355C4C" w:rsidRDefault="00355C4C" w:rsidP="00DF5F1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0.02072</w:t>
            </w:r>
          </w:p>
        </w:tc>
        <w:tc>
          <w:tcPr>
            <w:tcW w:w="0" w:type="auto"/>
            <w:tcBorders>
              <w:top w:val="nil"/>
            </w:tcBorders>
          </w:tcPr>
          <w:p w:rsidR="00355C4C" w:rsidRPr="00355C4C" w:rsidRDefault="00355C4C" w:rsidP="00DF5F1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57.61</w:t>
            </w:r>
          </w:p>
        </w:tc>
        <w:tc>
          <w:tcPr>
            <w:tcW w:w="0" w:type="auto"/>
            <w:vMerge/>
          </w:tcPr>
          <w:p w:rsidR="00355C4C" w:rsidRPr="00355C4C" w:rsidRDefault="00355C4C" w:rsidP="00894E0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rsidR="00355C4C" w:rsidRPr="00DF5F15" w:rsidRDefault="00355C4C" w:rsidP="00DF5F15">
      <w:pPr>
        <w:spacing w:before="60" w:after="0" w:line="240" w:lineRule="auto"/>
        <w:jc w:val="both"/>
        <w:rPr>
          <w:rFonts w:ascii="Times New Roman" w:hAnsi="Times New Roman"/>
          <w:sz w:val="18"/>
          <w:szCs w:val="18"/>
        </w:rPr>
      </w:pPr>
      <w:r w:rsidRPr="00DF5F15">
        <w:rPr>
          <w:rFonts w:ascii="Times New Roman" w:hAnsi="Times New Roman"/>
          <w:sz w:val="18"/>
          <w:szCs w:val="18"/>
        </w:rPr>
        <w:t xml:space="preserve">  </w:t>
      </w:r>
      <w:r w:rsidR="00DF5F15">
        <w:rPr>
          <w:rFonts w:ascii="Times New Roman" w:hAnsi="Times New Roman"/>
          <w:sz w:val="18"/>
          <w:szCs w:val="18"/>
        </w:rPr>
        <w:t xml:space="preserve">    </w:t>
      </w:r>
      <w:r w:rsidRPr="00DF5F15">
        <w:rPr>
          <w:rFonts w:ascii="Times New Roman" w:hAnsi="Times New Roman"/>
          <w:sz w:val="18"/>
          <w:szCs w:val="18"/>
        </w:rPr>
        <w:t xml:space="preserve">  * at 95% confidence level</w:t>
      </w:r>
    </w:p>
    <w:p w:rsidR="00355C4C" w:rsidRPr="00355C4C" w:rsidRDefault="00355C4C" w:rsidP="00DF5F15">
      <w:pPr>
        <w:spacing w:after="120" w:line="240" w:lineRule="auto"/>
        <w:jc w:val="both"/>
        <w:rPr>
          <w:rFonts w:ascii="Times New Roman" w:hAnsi="Times New Roman"/>
          <w:sz w:val="20"/>
          <w:szCs w:val="20"/>
        </w:rPr>
      </w:pPr>
    </w:p>
    <w:p w:rsidR="00355C4C" w:rsidRPr="00355C4C" w:rsidRDefault="00355C4C" w:rsidP="00355C4C">
      <w:pPr>
        <w:spacing w:after="0" w:line="240" w:lineRule="auto"/>
        <w:jc w:val="both"/>
        <w:rPr>
          <w:rFonts w:ascii="Times New Roman" w:hAnsi="Times New Roman"/>
          <w:sz w:val="20"/>
          <w:szCs w:val="20"/>
        </w:rPr>
      </w:pPr>
      <w:r w:rsidRPr="00355C4C">
        <w:rPr>
          <w:rFonts w:ascii="Times New Roman" w:hAnsi="Times New Roman"/>
          <w:sz w:val="20"/>
          <w:szCs w:val="20"/>
        </w:rPr>
        <w:t>The same pattern of consistency was also observed for KMnO</w:t>
      </w:r>
      <w:r w:rsidRPr="00355C4C">
        <w:rPr>
          <w:rFonts w:ascii="Times New Roman" w:hAnsi="Times New Roman"/>
          <w:sz w:val="20"/>
          <w:szCs w:val="20"/>
          <w:vertAlign w:val="subscript"/>
        </w:rPr>
        <w:t>4</w:t>
      </w:r>
      <w:r w:rsidRPr="00355C4C">
        <w:rPr>
          <w:rFonts w:ascii="Times New Roman" w:hAnsi="Times New Roman"/>
          <w:sz w:val="20"/>
          <w:szCs w:val="20"/>
        </w:rPr>
        <w:t xml:space="preserve"> titration of Metro Manila sample shown in Table 5 compared to the results of EDTA titration and differs by 0.286 units. A high confidence limit value (± 6.88) and standard deviation (2.77) were also obtained from the Metro Manila sample supporting the idea that KMnO</w:t>
      </w:r>
      <w:r w:rsidRPr="00355C4C">
        <w:rPr>
          <w:rFonts w:ascii="Times New Roman" w:hAnsi="Times New Roman"/>
          <w:sz w:val="20"/>
          <w:szCs w:val="20"/>
          <w:vertAlign w:val="subscript"/>
        </w:rPr>
        <w:t>4</w:t>
      </w:r>
      <w:r w:rsidRPr="00355C4C">
        <w:rPr>
          <w:rFonts w:ascii="Times New Roman" w:hAnsi="Times New Roman"/>
          <w:sz w:val="20"/>
          <w:szCs w:val="20"/>
        </w:rPr>
        <w:t xml:space="preserve"> titration method is more prone to random errors. A coefficient of variation of 3.78% and calcium concentration values per replicate, which are within the given confidence limits, make the data obtained precise and reliable.</w:t>
      </w:r>
    </w:p>
    <w:p w:rsidR="00355C4C" w:rsidRPr="00355C4C" w:rsidRDefault="00355C4C" w:rsidP="00DF5F15">
      <w:pPr>
        <w:spacing w:after="120" w:line="240" w:lineRule="auto"/>
        <w:jc w:val="both"/>
        <w:rPr>
          <w:rFonts w:ascii="Times New Roman" w:hAnsi="Times New Roman"/>
          <w:sz w:val="20"/>
          <w:szCs w:val="20"/>
        </w:rPr>
      </w:pPr>
      <w:r w:rsidRPr="00355C4C">
        <w:rPr>
          <w:rFonts w:ascii="Times New Roman" w:hAnsi="Times New Roman"/>
          <w:sz w:val="20"/>
          <w:szCs w:val="20"/>
        </w:rPr>
        <w:t xml:space="preserve"> </w:t>
      </w:r>
    </w:p>
    <w:p w:rsidR="00355C4C" w:rsidRPr="00DF5F15" w:rsidRDefault="00355C4C" w:rsidP="00DF5F15">
      <w:pPr>
        <w:spacing w:after="120" w:line="240" w:lineRule="auto"/>
        <w:jc w:val="center"/>
        <w:rPr>
          <w:rFonts w:ascii="Times New Roman" w:hAnsi="Times New Roman"/>
          <w:sz w:val="20"/>
          <w:szCs w:val="20"/>
          <w:vertAlign w:val="subscript"/>
        </w:rPr>
      </w:pPr>
      <w:r w:rsidRPr="00355C4C">
        <w:rPr>
          <w:rFonts w:ascii="Times New Roman" w:hAnsi="Times New Roman"/>
          <w:sz w:val="20"/>
          <w:szCs w:val="20"/>
        </w:rPr>
        <w:t xml:space="preserve">Table 5. </w:t>
      </w:r>
      <w:r w:rsidR="00DF5F15">
        <w:rPr>
          <w:rFonts w:ascii="Times New Roman" w:hAnsi="Times New Roman"/>
          <w:sz w:val="20"/>
          <w:szCs w:val="20"/>
        </w:rPr>
        <w:t xml:space="preserve"> </w:t>
      </w:r>
      <w:r w:rsidRPr="00355C4C">
        <w:rPr>
          <w:rFonts w:ascii="Times New Roman" w:hAnsi="Times New Roman"/>
          <w:sz w:val="20"/>
          <w:szCs w:val="20"/>
        </w:rPr>
        <w:t>Calcium content of Metro Manila sample using KMnO</w:t>
      </w:r>
      <w:r w:rsidRPr="00355C4C">
        <w:rPr>
          <w:rFonts w:ascii="Times New Roman" w:hAnsi="Times New Roman"/>
          <w:sz w:val="20"/>
          <w:szCs w:val="20"/>
          <w:vertAlign w:val="subscript"/>
        </w:rPr>
        <w:t>4</w:t>
      </w:r>
    </w:p>
    <w:tbl>
      <w:tblPr>
        <w:tblStyle w:val="PlainTable2"/>
        <w:tblW w:w="0" w:type="auto"/>
        <w:jc w:val="center"/>
        <w:tblLayout w:type="fixed"/>
        <w:tblLook w:val="04A0" w:firstRow="1" w:lastRow="0" w:firstColumn="1" w:lastColumn="0" w:noHBand="0" w:noVBand="1"/>
      </w:tblPr>
      <w:tblGrid>
        <w:gridCol w:w="1375"/>
        <w:gridCol w:w="764"/>
        <w:gridCol w:w="1783"/>
        <w:gridCol w:w="1358"/>
        <w:gridCol w:w="1180"/>
        <w:gridCol w:w="1961"/>
      </w:tblGrid>
      <w:tr w:rsidR="00355C4C" w:rsidRPr="00355C4C" w:rsidTr="00174B4E">
        <w:trPr>
          <w:cnfStyle w:val="100000000000" w:firstRow="1" w:lastRow="0" w:firstColumn="0" w:lastColumn="0" w:oddVBand="0" w:evenVBand="0" w:oddHBand="0" w:evenHBand="0" w:firstRowFirstColumn="0" w:firstRowLastColumn="0" w:lastRowFirstColumn="0" w:lastRowLastColumn="0"/>
          <w:trHeight w:val="672"/>
          <w:jc w:val="center"/>
        </w:trPr>
        <w:tc>
          <w:tcPr>
            <w:cnfStyle w:val="001000000000" w:firstRow="0" w:lastRow="0" w:firstColumn="1" w:lastColumn="0" w:oddVBand="0" w:evenVBand="0" w:oddHBand="0" w:evenHBand="0" w:firstRowFirstColumn="0" w:firstRowLastColumn="0" w:lastRowFirstColumn="0" w:lastRowLastColumn="0"/>
            <w:tcW w:w="1375" w:type="dxa"/>
          </w:tcPr>
          <w:p w:rsidR="00355C4C" w:rsidRPr="00355C4C" w:rsidRDefault="00355C4C" w:rsidP="00DF5F15">
            <w:pPr>
              <w:spacing w:before="60" w:after="60" w:line="240" w:lineRule="auto"/>
              <w:rPr>
                <w:rFonts w:ascii="Times New Roman" w:hAnsi="Times New Roman" w:cs="Times New Roman"/>
                <w:sz w:val="20"/>
                <w:szCs w:val="20"/>
              </w:rPr>
            </w:pPr>
            <w:r w:rsidRPr="00355C4C">
              <w:rPr>
                <w:rFonts w:ascii="Times New Roman" w:hAnsi="Times New Roman" w:cs="Times New Roman"/>
                <w:sz w:val="20"/>
                <w:szCs w:val="20"/>
              </w:rPr>
              <w:t>Mass of Mortar Sample (g)</w:t>
            </w:r>
          </w:p>
        </w:tc>
        <w:tc>
          <w:tcPr>
            <w:tcW w:w="764" w:type="dxa"/>
          </w:tcPr>
          <w:p w:rsidR="00355C4C" w:rsidRPr="00355C4C" w:rsidRDefault="00355C4C" w:rsidP="00DF5F15">
            <w:pPr>
              <w:spacing w:before="60"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Trial</w:t>
            </w:r>
          </w:p>
        </w:tc>
        <w:tc>
          <w:tcPr>
            <w:tcW w:w="1783" w:type="dxa"/>
          </w:tcPr>
          <w:p w:rsidR="00355C4C" w:rsidRPr="00355C4C" w:rsidRDefault="00355C4C" w:rsidP="00DF5F1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Volume of KMnO</w:t>
            </w:r>
            <w:r w:rsidRPr="00355C4C">
              <w:rPr>
                <w:rFonts w:ascii="Times New Roman" w:hAnsi="Times New Roman" w:cs="Times New Roman"/>
                <w:sz w:val="20"/>
                <w:szCs w:val="20"/>
                <w:vertAlign w:val="subscript"/>
              </w:rPr>
              <w:t>4</w:t>
            </w:r>
            <w:r w:rsidRPr="00355C4C">
              <w:rPr>
                <w:rFonts w:ascii="Times New Roman" w:hAnsi="Times New Roman" w:cs="Times New Roman"/>
                <w:sz w:val="20"/>
                <w:szCs w:val="20"/>
              </w:rPr>
              <w:t xml:space="preserve"> Consumed (mL)</w:t>
            </w:r>
          </w:p>
        </w:tc>
        <w:tc>
          <w:tcPr>
            <w:tcW w:w="1358" w:type="dxa"/>
          </w:tcPr>
          <w:p w:rsidR="00355C4C" w:rsidRPr="00355C4C" w:rsidRDefault="00355C4C" w:rsidP="00DF5F1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Mass of Ca (g)</w:t>
            </w:r>
          </w:p>
        </w:tc>
        <w:tc>
          <w:tcPr>
            <w:tcW w:w="1180" w:type="dxa"/>
          </w:tcPr>
          <w:p w:rsidR="00355C4C" w:rsidRPr="00355C4C" w:rsidRDefault="00355C4C" w:rsidP="00DF5F1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 Ca (w/w) in Sample</w:t>
            </w:r>
          </w:p>
        </w:tc>
        <w:tc>
          <w:tcPr>
            <w:tcW w:w="1961" w:type="dxa"/>
          </w:tcPr>
          <w:p w:rsidR="00355C4C" w:rsidRPr="00355C4C" w:rsidRDefault="00355C4C" w:rsidP="00DF5F1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Mean (w/w) and Standard Deviation</w:t>
            </w:r>
          </w:p>
        </w:tc>
      </w:tr>
      <w:tr w:rsidR="00355C4C" w:rsidRPr="00355C4C" w:rsidTr="00174B4E">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375" w:type="dxa"/>
            <w:vMerge w:val="restart"/>
            <w:tcBorders>
              <w:bottom w:val="nil"/>
            </w:tcBorders>
          </w:tcPr>
          <w:p w:rsidR="00355C4C" w:rsidRPr="00355C4C" w:rsidRDefault="00355C4C" w:rsidP="00DF5F15">
            <w:pPr>
              <w:spacing w:before="60" w:after="0" w:line="240" w:lineRule="auto"/>
              <w:rPr>
                <w:rFonts w:ascii="Times New Roman" w:hAnsi="Times New Roman" w:cs="Times New Roman"/>
                <w:b w:val="0"/>
                <w:bCs w:val="0"/>
                <w:sz w:val="20"/>
                <w:szCs w:val="20"/>
              </w:rPr>
            </w:pPr>
            <w:r w:rsidRPr="00355C4C">
              <w:rPr>
                <w:rFonts w:ascii="Times New Roman" w:hAnsi="Times New Roman" w:cs="Times New Roman"/>
                <w:b w:val="0"/>
                <w:bCs w:val="0"/>
                <w:sz w:val="20"/>
                <w:szCs w:val="20"/>
              </w:rPr>
              <w:t>0.03423</w:t>
            </w:r>
          </w:p>
        </w:tc>
        <w:tc>
          <w:tcPr>
            <w:tcW w:w="764" w:type="dxa"/>
            <w:tcBorders>
              <w:bottom w:val="nil"/>
            </w:tcBorders>
          </w:tcPr>
          <w:p w:rsidR="00355C4C" w:rsidRPr="00355C4C" w:rsidRDefault="00355C4C" w:rsidP="00DF5F15">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1</w:t>
            </w:r>
          </w:p>
        </w:tc>
        <w:tc>
          <w:tcPr>
            <w:tcW w:w="1783" w:type="dxa"/>
            <w:tcBorders>
              <w:bottom w:val="nil"/>
            </w:tcBorders>
          </w:tcPr>
          <w:p w:rsidR="00355C4C" w:rsidRPr="00355C4C" w:rsidRDefault="00355C4C" w:rsidP="00DF5F1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23.80</w:t>
            </w:r>
          </w:p>
        </w:tc>
        <w:tc>
          <w:tcPr>
            <w:tcW w:w="1358" w:type="dxa"/>
            <w:tcBorders>
              <w:bottom w:val="nil"/>
            </w:tcBorders>
          </w:tcPr>
          <w:p w:rsidR="00355C4C" w:rsidRPr="00355C4C" w:rsidRDefault="00355C4C" w:rsidP="00DF5F15">
            <w:pPr>
              <w:spacing w:before="60" w:after="0" w:line="240" w:lineRule="auto"/>
              <w:ind w:hanging="1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0.02542</w:t>
            </w:r>
          </w:p>
        </w:tc>
        <w:tc>
          <w:tcPr>
            <w:tcW w:w="1180" w:type="dxa"/>
            <w:tcBorders>
              <w:bottom w:val="nil"/>
            </w:tcBorders>
          </w:tcPr>
          <w:p w:rsidR="00355C4C" w:rsidRPr="00355C4C" w:rsidRDefault="00355C4C" w:rsidP="00DF5F1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74.26</w:t>
            </w:r>
          </w:p>
        </w:tc>
        <w:tc>
          <w:tcPr>
            <w:tcW w:w="1961" w:type="dxa"/>
            <w:vMerge w:val="restart"/>
          </w:tcPr>
          <w:p w:rsidR="00DF5F15" w:rsidRDefault="00DF5F15" w:rsidP="00DF5F1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73.33% ± 6.88*</w:t>
            </w:r>
          </w:p>
          <w:p w:rsidR="00355C4C" w:rsidRPr="00355C4C" w:rsidRDefault="00355C4C" w:rsidP="00DF5F1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(2.77)</w:t>
            </w:r>
          </w:p>
          <w:p w:rsidR="00355C4C" w:rsidRPr="00355C4C" w:rsidRDefault="00355C4C" w:rsidP="00DF5F1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355C4C" w:rsidRPr="00355C4C" w:rsidTr="00174B4E">
        <w:trPr>
          <w:trHeight w:val="235"/>
          <w:jc w:val="center"/>
        </w:trPr>
        <w:tc>
          <w:tcPr>
            <w:cnfStyle w:val="001000000000" w:firstRow="0" w:lastRow="0" w:firstColumn="1" w:lastColumn="0" w:oddVBand="0" w:evenVBand="0" w:oddHBand="0" w:evenHBand="0" w:firstRowFirstColumn="0" w:firstRowLastColumn="0" w:lastRowFirstColumn="0" w:lastRowLastColumn="0"/>
            <w:tcW w:w="1375" w:type="dxa"/>
            <w:vMerge/>
            <w:tcBorders>
              <w:top w:val="nil"/>
              <w:bottom w:val="nil"/>
            </w:tcBorders>
          </w:tcPr>
          <w:p w:rsidR="00355C4C" w:rsidRPr="00355C4C" w:rsidRDefault="00355C4C" w:rsidP="00DF5F15">
            <w:pPr>
              <w:spacing w:after="0" w:line="240" w:lineRule="auto"/>
              <w:rPr>
                <w:rFonts w:ascii="Times New Roman" w:hAnsi="Times New Roman" w:cs="Times New Roman"/>
                <w:b w:val="0"/>
                <w:bCs w:val="0"/>
                <w:color w:val="FF0000"/>
                <w:sz w:val="20"/>
                <w:szCs w:val="20"/>
              </w:rPr>
            </w:pPr>
          </w:p>
        </w:tc>
        <w:tc>
          <w:tcPr>
            <w:tcW w:w="764" w:type="dxa"/>
            <w:tcBorders>
              <w:top w:val="nil"/>
              <w:bottom w:val="nil"/>
            </w:tcBorders>
          </w:tcPr>
          <w:p w:rsidR="00355C4C" w:rsidRPr="00355C4C" w:rsidRDefault="00355C4C" w:rsidP="00DF5F15">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2</w:t>
            </w:r>
          </w:p>
        </w:tc>
        <w:tc>
          <w:tcPr>
            <w:tcW w:w="1783" w:type="dxa"/>
            <w:tcBorders>
              <w:top w:val="nil"/>
              <w:bottom w:val="nil"/>
            </w:tcBorders>
          </w:tcPr>
          <w:p w:rsidR="00355C4C" w:rsidRPr="00355C4C" w:rsidRDefault="00355C4C" w:rsidP="00DF5F15">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24.20</w:t>
            </w:r>
          </w:p>
        </w:tc>
        <w:tc>
          <w:tcPr>
            <w:tcW w:w="1358" w:type="dxa"/>
            <w:tcBorders>
              <w:top w:val="nil"/>
              <w:bottom w:val="nil"/>
            </w:tcBorders>
          </w:tcPr>
          <w:p w:rsidR="00355C4C" w:rsidRPr="00355C4C" w:rsidRDefault="00355C4C" w:rsidP="00DF5F15">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0.02585</w:t>
            </w:r>
          </w:p>
        </w:tc>
        <w:tc>
          <w:tcPr>
            <w:tcW w:w="1180" w:type="dxa"/>
            <w:tcBorders>
              <w:top w:val="nil"/>
              <w:bottom w:val="nil"/>
            </w:tcBorders>
          </w:tcPr>
          <w:p w:rsidR="00355C4C" w:rsidRPr="00355C4C" w:rsidRDefault="00355C4C" w:rsidP="00DF5F15">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75.51</w:t>
            </w:r>
          </w:p>
        </w:tc>
        <w:tc>
          <w:tcPr>
            <w:tcW w:w="1961" w:type="dxa"/>
            <w:vMerge/>
          </w:tcPr>
          <w:p w:rsidR="00355C4C" w:rsidRPr="00355C4C" w:rsidRDefault="00355C4C" w:rsidP="00DF5F1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55C4C" w:rsidRPr="00355C4C" w:rsidTr="00174B4E">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1375" w:type="dxa"/>
            <w:vMerge/>
            <w:tcBorders>
              <w:top w:val="nil"/>
            </w:tcBorders>
          </w:tcPr>
          <w:p w:rsidR="00355C4C" w:rsidRPr="00355C4C" w:rsidRDefault="00355C4C" w:rsidP="00DF5F15">
            <w:pPr>
              <w:spacing w:after="0" w:line="240" w:lineRule="auto"/>
              <w:rPr>
                <w:rFonts w:ascii="Times New Roman" w:hAnsi="Times New Roman" w:cs="Times New Roman"/>
                <w:b w:val="0"/>
                <w:bCs w:val="0"/>
                <w:color w:val="FF0000"/>
                <w:sz w:val="20"/>
                <w:szCs w:val="20"/>
              </w:rPr>
            </w:pPr>
          </w:p>
        </w:tc>
        <w:tc>
          <w:tcPr>
            <w:tcW w:w="764" w:type="dxa"/>
            <w:tcBorders>
              <w:top w:val="nil"/>
            </w:tcBorders>
          </w:tcPr>
          <w:p w:rsidR="00355C4C" w:rsidRPr="00355C4C" w:rsidRDefault="00355C4C" w:rsidP="00DF5F15">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3</w:t>
            </w:r>
          </w:p>
        </w:tc>
        <w:tc>
          <w:tcPr>
            <w:tcW w:w="1783" w:type="dxa"/>
            <w:tcBorders>
              <w:top w:val="nil"/>
            </w:tcBorders>
          </w:tcPr>
          <w:p w:rsidR="00355C4C" w:rsidRPr="00355C4C" w:rsidRDefault="00355C4C" w:rsidP="00DF5F1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22.50</w:t>
            </w:r>
          </w:p>
        </w:tc>
        <w:tc>
          <w:tcPr>
            <w:tcW w:w="1358" w:type="dxa"/>
            <w:tcBorders>
              <w:top w:val="nil"/>
            </w:tcBorders>
          </w:tcPr>
          <w:p w:rsidR="00355C4C" w:rsidRPr="00355C4C" w:rsidRDefault="00355C4C" w:rsidP="00DF5F1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0.02403</w:t>
            </w:r>
          </w:p>
        </w:tc>
        <w:tc>
          <w:tcPr>
            <w:tcW w:w="1180" w:type="dxa"/>
            <w:tcBorders>
              <w:top w:val="nil"/>
            </w:tcBorders>
          </w:tcPr>
          <w:p w:rsidR="00355C4C" w:rsidRPr="00355C4C" w:rsidRDefault="00355C4C" w:rsidP="00DF5F1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55C4C">
              <w:rPr>
                <w:rFonts w:ascii="Times New Roman" w:hAnsi="Times New Roman" w:cs="Times New Roman"/>
                <w:sz w:val="20"/>
                <w:szCs w:val="20"/>
              </w:rPr>
              <w:t>70.21</w:t>
            </w:r>
          </w:p>
        </w:tc>
        <w:tc>
          <w:tcPr>
            <w:tcW w:w="1961" w:type="dxa"/>
            <w:vMerge/>
          </w:tcPr>
          <w:p w:rsidR="00355C4C" w:rsidRPr="00355C4C" w:rsidRDefault="00355C4C" w:rsidP="00DF5F1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rsidR="00355C4C" w:rsidRPr="00DF5F15" w:rsidRDefault="00355C4C" w:rsidP="00DF5F15">
      <w:pPr>
        <w:spacing w:before="60" w:after="0" w:line="240" w:lineRule="auto"/>
        <w:jc w:val="both"/>
        <w:rPr>
          <w:rFonts w:ascii="Times New Roman" w:hAnsi="Times New Roman"/>
          <w:sz w:val="18"/>
          <w:szCs w:val="18"/>
        </w:rPr>
      </w:pPr>
      <w:r w:rsidRPr="00355C4C">
        <w:rPr>
          <w:rFonts w:ascii="Times New Roman" w:hAnsi="Times New Roman"/>
          <w:sz w:val="20"/>
          <w:szCs w:val="20"/>
        </w:rPr>
        <w:t xml:space="preserve">     </w:t>
      </w:r>
      <w:r w:rsidR="00DF5F15">
        <w:rPr>
          <w:rFonts w:ascii="Times New Roman" w:hAnsi="Times New Roman"/>
          <w:sz w:val="20"/>
          <w:szCs w:val="20"/>
        </w:rPr>
        <w:t xml:space="preserve">    </w:t>
      </w:r>
      <w:r w:rsidRPr="00DF5F15">
        <w:rPr>
          <w:rFonts w:ascii="Times New Roman" w:hAnsi="Times New Roman"/>
          <w:sz w:val="18"/>
          <w:szCs w:val="18"/>
        </w:rPr>
        <w:t>* at 95% confidence level</w:t>
      </w:r>
    </w:p>
    <w:p w:rsidR="00355C4C" w:rsidRPr="00355C4C" w:rsidRDefault="00355C4C" w:rsidP="00D00408">
      <w:pPr>
        <w:spacing w:after="120" w:line="240" w:lineRule="auto"/>
        <w:jc w:val="both"/>
        <w:rPr>
          <w:rFonts w:ascii="Times New Roman" w:hAnsi="Times New Roman"/>
          <w:sz w:val="20"/>
          <w:szCs w:val="20"/>
        </w:rPr>
      </w:pPr>
    </w:p>
    <w:p w:rsidR="00355C4C" w:rsidRPr="00355C4C" w:rsidRDefault="00355C4C" w:rsidP="00355C4C">
      <w:pPr>
        <w:spacing w:after="0" w:line="240" w:lineRule="auto"/>
        <w:jc w:val="both"/>
        <w:rPr>
          <w:rFonts w:ascii="Times New Roman" w:hAnsi="Times New Roman"/>
          <w:b/>
          <w:sz w:val="20"/>
          <w:szCs w:val="20"/>
        </w:rPr>
      </w:pPr>
      <w:r w:rsidRPr="00355C4C">
        <w:rPr>
          <w:rFonts w:ascii="Times New Roman" w:hAnsi="Times New Roman"/>
          <w:b/>
          <w:sz w:val="20"/>
          <w:szCs w:val="20"/>
        </w:rPr>
        <w:t>Comparison of EDTA and KMnO</w:t>
      </w:r>
      <w:r w:rsidRPr="00355C4C">
        <w:rPr>
          <w:rFonts w:ascii="Times New Roman" w:hAnsi="Times New Roman"/>
          <w:b/>
          <w:sz w:val="20"/>
          <w:szCs w:val="20"/>
          <w:vertAlign w:val="subscript"/>
        </w:rPr>
        <w:t xml:space="preserve">4 </w:t>
      </w:r>
      <w:r w:rsidRPr="00355C4C">
        <w:rPr>
          <w:rFonts w:ascii="Times New Roman" w:hAnsi="Times New Roman"/>
          <w:b/>
          <w:sz w:val="20"/>
          <w:szCs w:val="20"/>
        </w:rPr>
        <w:t>titration methods</w:t>
      </w:r>
    </w:p>
    <w:p w:rsidR="00355C4C" w:rsidRPr="00355C4C" w:rsidRDefault="00355C4C" w:rsidP="00355C4C">
      <w:pPr>
        <w:spacing w:after="0" w:line="240" w:lineRule="auto"/>
        <w:jc w:val="both"/>
        <w:rPr>
          <w:rFonts w:ascii="Times New Roman" w:hAnsi="Times New Roman"/>
          <w:sz w:val="20"/>
          <w:szCs w:val="20"/>
        </w:rPr>
      </w:pPr>
      <w:r w:rsidRPr="00355C4C">
        <w:rPr>
          <w:rFonts w:ascii="Times New Roman" w:hAnsi="Times New Roman"/>
          <w:sz w:val="20"/>
          <w:szCs w:val="20"/>
        </w:rPr>
        <w:t xml:space="preserve">Results of the two tailed </w:t>
      </w:r>
      <w:r w:rsidRPr="00355C4C">
        <w:rPr>
          <w:rFonts w:ascii="Times New Roman" w:hAnsi="Times New Roman"/>
          <w:i/>
          <w:sz w:val="20"/>
          <w:szCs w:val="20"/>
        </w:rPr>
        <w:t>t</w:t>
      </w:r>
      <w:r w:rsidRPr="00355C4C">
        <w:rPr>
          <w:rFonts w:ascii="Times New Roman" w:hAnsi="Times New Roman"/>
          <w:sz w:val="20"/>
          <w:szCs w:val="20"/>
        </w:rPr>
        <w:t xml:space="preserve">-test for two independent means performed on the Misamis Oriental mortar samples indicate that at 95% confidence level, the calculated </w:t>
      </w:r>
      <w:r w:rsidRPr="00355C4C">
        <w:rPr>
          <w:rFonts w:ascii="Times New Roman" w:hAnsi="Times New Roman"/>
          <w:i/>
          <w:sz w:val="20"/>
          <w:szCs w:val="20"/>
        </w:rPr>
        <w:t xml:space="preserve">t </w:t>
      </w:r>
      <w:r w:rsidRPr="00355C4C">
        <w:rPr>
          <w:rFonts w:ascii="Times New Roman" w:hAnsi="Times New Roman"/>
          <w:sz w:val="20"/>
          <w:szCs w:val="20"/>
        </w:rPr>
        <w:t>(</w:t>
      </w:r>
      <w:r w:rsidRPr="00355C4C">
        <w:rPr>
          <w:rFonts w:ascii="Times New Roman" w:hAnsi="Times New Roman"/>
          <w:i/>
          <w:sz w:val="20"/>
          <w:szCs w:val="20"/>
        </w:rPr>
        <w:t>t</w:t>
      </w:r>
      <w:r w:rsidRPr="00355C4C">
        <w:rPr>
          <w:rFonts w:ascii="Times New Roman" w:hAnsi="Times New Roman"/>
          <w:i/>
          <w:sz w:val="20"/>
          <w:szCs w:val="20"/>
          <w:vertAlign w:val="subscript"/>
        </w:rPr>
        <w:t>calc</w:t>
      </w:r>
      <w:r w:rsidRPr="00355C4C">
        <w:rPr>
          <w:rFonts w:ascii="Times New Roman" w:hAnsi="Times New Roman"/>
          <w:sz w:val="20"/>
          <w:szCs w:val="20"/>
        </w:rPr>
        <w:t xml:space="preserve">) is 0.4653 which is less than the critical </w:t>
      </w:r>
      <w:r w:rsidRPr="00355C4C">
        <w:rPr>
          <w:rFonts w:ascii="Times New Roman" w:hAnsi="Times New Roman"/>
          <w:i/>
          <w:sz w:val="20"/>
          <w:szCs w:val="20"/>
        </w:rPr>
        <w:t>t</w:t>
      </w:r>
      <w:r w:rsidRPr="00355C4C">
        <w:rPr>
          <w:rFonts w:ascii="Times New Roman" w:hAnsi="Times New Roman"/>
          <w:sz w:val="20"/>
          <w:szCs w:val="20"/>
        </w:rPr>
        <w:t xml:space="preserve"> (</w:t>
      </w:r>
      <w:r w:rsidRPr="00355C4C">
        <w:rPr>
          <w:rFonts w:ascii="Times New Roman" w:hAnsi="Times New Roman"/>
          <w:i/>
          <w:sz w:val="20"/>
          <w:szCs w:val="20"/>
        </w:rPr>
        <w:t>t</w:t>
      </w:r>
      <w:r w:rsidRPr="00355C4C">
        <w:rPr>
          <w:rFonts w:ascii="Times New Roman" w:hAnsi="Times New Roman"/>
          <w:i/>
          <w:sz w:val="20"/>
          <w:szCs w:val="20"/>
          <w:vertAlign w:val="subscript"/>
        </w:rPr>
        <w:t>table</w:t>
      </w:r>
      <w:r w:rsidRPr="00355C4C">
        <w:rPr>
          <w:rFonts w:ascii="Times New Roman" w:hAnsi="Times New Roman"/>
          <w:sz w:val="20"/>
          <w:szCs w:val="20"/>
        </w:rPr>
        <w:t>) value of 2.776 for 4 degrees of freedom. Hence, the null hypothesis (H</w:t>
      </w:r>
      <w:r w:rsidRPr="00355C4C">
        <w:rPr>
          <w:rFonts w:ascii="Times New Roman" w:hAnsi="Times New Roman"/>
          <w:sz w:val="20"/>
          <w:szCs w:val="20"/>
          <w:vertAlign w:val="subscript"/>
        </w:rPr>
        <w:t>0</w:t>
      </w:r>
      <w:r w:rsidRPr="00355C4C">
        <w:rPr>
          <w:rFonts w:ascii="Times New Roman" w:hAnsi="Times New Roman"/>
          <w:sz w:val="20"/>
          <w:szCs w:val="20"/>
        </w:rPr>
        <w:t>) is accepted and the two titration methods, EDTA and KMnO</w:t>
      </w:r>
      <w:r w:rsidRPr="00355C4C">
        <w:rPr>
          <w:rFonts w:ascii="Times New Roman" w:hAnsi="Times New Roman"/>
          <w:sz w:val="20"/>
          <w:szCs w:val="20"/>
          <w:vertAlign w:val="subscript"/>
        </w:rPr>
        <w:t>4</w:t>
      </w:r>
      <w:r w:rsidRPr="00355C4C">
        <w:rPr>
          <w:rFonts w:ascii="Times New Roman" w:hAnsi="Times New Roman"/>
          <w:sz w:val="20"/>
          <w:szCs w:val="20"/>
        </w:rPr>
        <w:t xml:space="preserve">, are not significantly different at p &lt;0.05. For the Metro Manila mortar samples, the same </w:t>
      </w:r>
      <w:r w:rsidRPr="00355C4C">
        <w:rPr>
          <w:rFonts w:ascii="Times New Roman" w:hAnsi="Times New Roman"/>
          <w:i/>
          <w:sz w:val="20"/>
          <w:szCs w:val="20"/>
        </w:rPr>
        <w:t>t</w:t>
      </w:r>
      <w:r w:rsidRPr="00355C4C">
        <w:rPr>
          <w:rFonts w:ascii="Times New Roman" w:hAnsi="Times New Roman"/>
          <w:sz w:val="20"/>
          <w:szCs w:val="20"/>
        </w:rPr>
        <w:t xml:space="preserve">-test yielded a </w:t>
      </w:r>
      <w:r w:rsidRPr="00355C4C">
        <w:rPr>
          <w:rFonts w:ascii="Times New Roman" w:hAnsi="Times New Roman"/>
          <w:i/>
          <w:sz w:val="20"/>
          <w:szCs w:val="20"/>
        </w:rPr>
        <w:t>t</w:t>
      </w:r>
      <w:r w:rsidRPr="00355C4C">
        <w:rPr>
          <w:rFonts w:ascii="Times New Roman" w:hAnsi="Times New Roman"/>
          <w:i/>
          <w:sz w:val="20"/>
          <w:szCs w:val="20"/>
          <w:vertAlign w:val="subscript"/>
        </w:rPr>
        <w:t>calc</w:t>
      </w:r>
      <w:r w:rsidRPr="00355C4C">
        <w:rPr>
          <w:rFonts w:ascii="Times New Roman" w:hAnsi="Times New Roman"/>
          <w:sz w:val="20"/>
          <w:szCs w:val="20"/>
          <w:vertAlign w:val="subscript"/>
        </w:rPr>
        <w:t xml:space="preserve"> </w:t>
      </w:r>
      <w:r w:rsidRPr="00355C4C">
        <w:rPr>
          <w:rFonts w:ascii="Times New Roman" w:hAnsi="Times New Roman"/>
          <w:sz w:val="20"/>
          <w:szCs w:val="20"/>
        </w:rPr>
        <w:t xml:space="preserve">value of 0.1242 which is also less than the </w:t>
      </w:r>
      <w:r w:rsidRPr="00355C4C">
        <w:rPr>
          <w:rFonts w:ascii="Times New Roman" w:hAnsi="Times New Roman"/>
          <w:i/>
          <w:sz w:val="20"/>
          <w:szCs w:val="20"/>
        </w:rPr>
        <w:t>t</w:t>
      </w:r>
      <w:r w:rsidRPr="00355C4C">
        <w:rPr>
          <w:rFonts w:ascii="Times New Roman" w:hAnsi="Times New Roman"/>
          <w:i/>
          <w:sz w:val="20"/>
          <w:szCs w:val="20"/>
          <w:vertAlign w:val="subscript"/>
        </w:rPr>
        <w:t>table</w:t>
      </w:r>
      <w:r w:rsidRPr="00355C4C">
        <w:rPr>
          <w:rFonts w:ascii="Times New Roman" w:hAnsi="Times New Roman"/>
          <w:sz w:val="20"/>
          <w:szCs w:val="20"/>
          <w:vertAlign w:val="superscript"/>
        </w:rPr>
        <w:t xml:space="preserve"> </w:t>
      </w:r>
      <w:r w:rsidRPr="00355C4C">
        <w:rPr>
          <w:rFonts w:ascii="Times New Roman" w:hAnsi="Times New Roman"/>
          <w:sz w:val="20"/>
          <w:szCs w:val="20"/>
        </w:rPr>
        <w:t>(2.776) for a 95% confidence and 4 degrees of freedom. The null hypothesis is therefore accepted and there is no significant difference between the calcium concentrations resulting from the EDTA and KMnO</w:t>
      </w:r>
      <w:r w:rsidRPr="00355C4C">
        <w:rPr>
          <w:rFonts w:ascii="Times New Roman" w:hAnsi="Times New Roman"/>
          <w:sz w:val="20"/>
          <w:szCs w:val="20"/>
          <w:vertAlign w:val="subscript"/>
        </w:rPr>
        <w:t>4</w:t>
      </w:r>
      <w:r w:rsidRPr="00355C4C">
        <w:rPr>
          <w:rFonts w:ascii="Times New Roman" w:hAnsi="Times New Roman"/>
          <w:sz w:val="20"/>
          <w:szCs w:val="20"/>
        </w:rPr>
        <w:t xml:space="preserve"> titration [23, 24].</w:t>
      </w:r>
    </w:p>
    <w:p w:rsidR="00355C4C" w:rsidRPr="00355C4C" w:rsidRDefault="00355C4C" w:rsidP="00355C4C">
      <w:pPr>
        <w:spacing w:after="0" w:line="240" w:lineRule="auto"/>
        <w:jc w:val="both"/>
        <w:rPr>
          <w:rFonts w:ascii="Times New Roman" w:hAnsi="Times New Roman"/>
          <w:sz w:val="20"/>
          <w:szCs w:val="20"/>
        </w:rPr>
      </w:pPr>
    </w:p>
    <w:p w:rsidR="00355C4C" w:rsidRPr="00355C4C" w:rsidRDefault="00355C4C" w:rsidP="00355C4C">
      <w:pPr>
        <w:spacing w:after="0" w:line="240" w:lineRule="auto"/>
        <w:jc w:val="both"/>
        <w:rPr>
          <w:rFonts w:ascii="Times New Roman" w:hAnsi="Times New Roman"/>
          <w:sz w:val="20"/>
          <w:szCs w:val="20"/>
        </w:rPr>
      </w:pPr>
      <w:r w:rsidRPr="00355C4C">
        <w:rPr>
          <w:rFonts w:ascii="Times New Roman" w:hAnsi="Times New Roman"/>
          <w:sz w:val="20"/>
          <w:szCs w:val="20"/>
        </w:rPr>
        <w:t xml:space="preserve">The precision of the two different titration methods was evaluated using the </w:t>
      </w:r>
      <w:r w:rsidRPr="00355C4C">
        <w:rPr>
          <w:rFonts w:ascii="Times New Roman" w:hAnsi="Times New Roman"/>
          <w:i/>
          <w:sz w:val="20"/>
          <w:szCs w:val="20"/>
        </w:rPr>
        <w:t>F</w:t>
      </w:r>
      <w:r w:rsidRPr="00355C4C">
        <w:rPr>
          <w:rFonts w:ascii="Times New Roman" w:hAnsi="Times New Roman"/>
          <w:sz w:val="20"/>
          <w:szCs w:val="20"/>
        </w:rPr>
        <w:t xml:space="preserve">-test. For the Misamis Oriental mortar samples, the computed </w:t>
      </w:r>
      <w:r w:rsidRPr="00355C4C">
        <w:rPr>
          <w:rFonts w:ascii="Times New Roman" w:hAnsi="Times New Roman"/>
          <w:i/>
          <w:sz w:val="20"/>
          <w:szCs w:val="20"/>
        </w:rPr>
        <w:t>F</w:t>
      </w:r>
      <w:r w:rsidRPr="00355C4C">
        <w:rPr>
          <w:rFonts w:ascii="Times New Roman" w:hAnsi="Times New Roman"/>
          <w:sz w:val="20"/>
          <w:szCs w:val="20"/>
        </w:rPr>
        <w:t>-value (</w:t>
      </w:r>
      <w:r w:rsidRPr="00355C4C">
        <w:rPr>
          <w:rFonts w:ascii="Times New Roman" w:hAnsi="Times New Roman"/>
          <w:i/>
          <w:sz w:val="20"/>
          <w:szCs w:val="20"/>
        </w:rPr>
        <w:t>F</w:t>
      </w:r>
      <w:r w:rsidRPr="00355C4C">
        <w:rPr>
          <w:rFonts w:ascii="Times New Roman" w:hAnsi="Times New Roman"/>
          <w:i/>
          <w:sz w:val="20"/>
          <w:szCs w:val="20"/>
          <w:vertAlign w:val="subscript"/>
        </w:rPr>
        <w:t>calc</w:t>
      </w:r>
      <w:r w:rsidRPr="00355C4C">
        <w:rPr>
          <w:rFonts w:ascii="Times New Roman" w:hAnsi="Times New Roman"/>
          <w:sz w:val="20"/>
          <w:szCs w:val="20"/>
        </w:rPr>
        <w:t xml:space="preserve">) is 2.07 and for the Metro Manila sample </w:t>
      </w:r>
      <w:r w:rsidRPr="00355C4C">
        <w:rPr>
          <w:rFonts w:ascii="Times New Roman" w:hAnsi="Times New Roman"/>
          <w:i/>
          <w:sz w:val="20"/>
          <w:szCs w:val="20"/>
        </w:rPr>
        <w:t>F</w:t>
      </w:r>
      <w:r w:rsidRPr="00355C4C">
        <w:rPr>
          <w:rFonts w:ascii="Times New Roman" w:hAnsi="Times New Roman"/>
          <w:i/>
          <w:sz w:val="20"/>
          <w:szCs w:val="20"/>
          <w:vertAlign w:val="subscript"/>
        </w:rPr>
        <w:t>calc</w:t>
      </w:r>
      <w:r w:rsidRPr="00355C4C">
        <w:rPr>
          <w:rFonts w:ascii="Times New Roman" w:hAnsi="Times New Roman"/>
          <w:sz w:val="20"/>
          <w:szCs w:val="20"/>
        </w:rPr>
        <w:t xml:space="preserve"> is equal to 6.58. Since both </w:t>
      </w:r>
      <w:r w:rsidRPr="00355C4C">
        <w:rPr>
          <w:rFonts w:ascii="Times New Roman" w:hAnsi="Times New Roman"/>
          <w:i/>
          <w:sz w:val="20"/>
          <w:szCs w:val="20"/>
        </w:rPr>
        <w:t>F</w:t>
      </w:r>
      <w:r w:rsidRPr="00355C4C">
        <w:rPr>
          <w:rFonts w:ascii="Times New Roman" w:hAnsi="Times New Roman"/>
          <w:i/>
          <w:sz w:val="20"/>
          <w:szCs w:val="20"/>
          <w:vertAlign w:val="subscript"/>
        </w:rPr>
        <w:t>calc</w:t>
      </w:r>
      <w:r w:rsidRPr="00355C4C">
        <w:rPr>
          <w:rFonts w:ascii="Times New Roman" w:hAnsi="Times New Roman"/>
          <w:sz w:val="20"/>
          <w:szCs w:val="20"/>
        </w:rPr>
        <w:t xml:space="preserve"> values did not exceed the tabulated critical value of </w:t>
      </w:r>
      <w:r w:rsidRPr="00355C4C">
        <w:rPr>
          <w:rFonts w:ascii="Times New Roman" w:hAnsi="Times New Roman"/>
          <w:i/>
          <w:sz w:val="20"/>
          <w:szCs w:val="20"/>
        </w:rPr>
        <w:t xml:space="preserve">F </w:t>
      </w:r>
      <w:r w:rsidRPr="00355C4C">
        <w:rPr>
          <w:rFonts w:ascii="Times New Roman" w:hAnsi="Times New Roman"/>
          <w:sz w:val="20"/>
          <w:szCs w:val="20"/>
        </w:rPr>
        <w:t>for a 95% confidence level at two degrees of freedom (19.0), there is statistically no significant difference between the standard deviations of the EDTA and KMnO</w:t>
      </w:r>
      <w:r w:rsidRPr="00355C4C">
        <w:rPr>
          <w:rFonts w:ascii="Times New Roman" w:hAnsi="Times New Roman"/>
          <w:sz w:val="20"/>
          <w:szCs w:val="20"/>
          <w:vertAlign w:val="subscript"/>
        </w:rPr>
        <w:t>4</w:t>
      </w:r>
      <w:r w:rsidRPr="00355C4C">
        <w:rPr>
          <w:rFonts w:ascii="Times New Roman" w:hAnsi="Times New Roman"/>
          <w:sz w:val="20"/>
          <w:szCs w:val="20"/>
        </w:rPr>
        <w:t xml:space="preserve"> titration methods for both mortar samples [23].</w:t>
      </w:r>
    </w:p>
    <w:p w:rsidR="00355C4C" w:rsidRPr="00355C4C" w:rsidRDefault="00355C4C" w:rsidP="00355C4C">
      <w:pPr>
        <w:spacing w:after="0" w:line="240" w:lineRule="auto"/>
        <w:jc w:val="both"/>
        <w:rPr>
          <w:rFonts w:ascii="Times New Roman" w:hAnsi="Times New Roman"/>
          <w:sz w:val="20"/>
          <w:szCs w:val="20"/>
        </w:rPr>
      </w:pPr>
      <w:r w:rsidRPr="00355C4C">
        <w:rPr>
          <w:rFonts w:ascii="Times New Roman" w:hAnsi="Times New Roman"/>
          <w:sz w:val="20"/>
          <w:szCs w:val="20"/>
        </w:rPr>
        <w:tab/>
      </w:r>
    </w:p>
    <w:p w:rsidR="00355C4C" w:rsidRPr="00355C4C" w:rsidRDefault="00355C4C" w:rsidP="00355C4C">
      <w:pPr>
        <w:spacing w:after="0" w:line="240" w:lineRule="auto"/>
        <w:jc w:val="both"/>
        <w:rPr>
          <w:rFonts w:ascii="Times New Roman" w:hAnsi="Times New Roman"/>
          <w:color w:val="FF0000"/>
          <w:sz w:val="20"/>
          <w:szCs w:val="20"/>
        </w:rPr>
      </w:pPr>
      <w:r w:rsidRPr="00355C4C">
        <w:rPr>
          <w:rFonts w:ascii="Times New Roman" w:hAnsi="Times New Roman"/>
          <w:sz w:val="20"/>
          <w:szCs w:val="20"/>
        </w:rPr>
        <w:t xml:space="preserve">The </w:t>
      </w:r>
      <w:r w:rsidRPr="00355C4C">
        <w:rPr>
          <w:rFonts w:ascii="Times New Roman" w:hAnsi="Times New Roman"/>
          <w:i/>
          <w:sz w:val="20"/>
          <w:szCs w:val="20"/>
        </w:rPr>
        <w:t>t</w:t>
      </w:r>
      <w:r w:rsidRPr="00355C4C">
        <w:rPr>
          <w:rFonts w:ascii="Times New Roman" w:hAnsi="Times New Roman"/>
          <w:sz w:val="20"/>
          <w:szCs w:val="20"/>
        </w:rPr>
        <w:t xml:space="preserve">-test and </w:t>
      </w:r>
      <w:r w:rsidRPr="00355C4C">
        <w:rPr>
          <w:rFonts w:ascii="Times New Roman" w:hAnsi="Times New Roman"/>
          <w:i/>
          <w:sz w:val="20"/>
          <w:szCs w:val="20"/>
        </w:rPr>
        <w:t>F</w:t>
      </w:r>
      <w:r w:rsidRPr="00355C4C">
        <w:rPr>
          <w:rFonts w:ascii="Times New Roman" w:hAnsi="Times New Roman"/>
          <w:sz w:val="20"/>
          <w:szCs w:val="20"/>
        </w:rPr>
        <w:t>-test analysis proves that the EDTA and KMnO</w:t>
      </w:r>
      <w:r w:rsidRPr="00355C4C">
        <w:rPr>
          <w:rFonts w:ascii="Times New Roman" w:hAnsi="Times New Roman"/>
          <w:sz w:val="20"/>
          <w:szCs w:val="20"/>
          <w:vertAlign w:val="subscript"/>
        </w:rPr>
        <w:t>4</w:t>
      </w:r>
      <w:r w:rsidRPr="00355C4C">
        <w:rPr>
          <w:rFonts w:ascii="Times New Roman" w:hAnsi="Times New Roman"/>
          <w:sz w:val="20"/>
          <w:szCs w:val="20"/>
        </w:rPr>
        <w:t xml:space="preserve"> titration methods done in this study will provide the same analytical results and the observed difference are attributed entirely to random errors and not to systematic errors. This shows that both methods are comparable and either method is effective in determining the concentration of calcium on old lime mortar samples.</w:t>
      </w:r>
      <w:r w:rsidRPr="00355C4C">
        <w:rPr>
          <w:rFonts w:ascii="Times New Roman" w:hAnsi="Times New Roman"/>
          <w:color w:val="FF0000"/>
          <w:sz w:val="20"/>
          <w:szCs w:val="20"/>
        </w:rPr>
        <w:t xml:space="preserve"> </w:t>
      </w:r>
    </w:p>
    <w:p w:rsidR="00355C4C" w:rsidRPr="00355C4C" w:rsidRDefault="00355C4C" w:rsidP="00355C4C">
      <w:pPr>
        <w:spacing w:after="0" w:line="240" w:lineRule="auto"/>
        <w:jc w:val="both"/>
        <w:rPr>
          <w:rFonts w:ascii="Times New Roman" w:hAnsi="Times New Roman"/>
          <w:sz w:val="20"/>
          <w:szCs w:val="20"/>
        </w:rPr>
      </w:pPr>
    </w:p>
    <w:p w:rsidR="00355C4C" w:rsidRPr="00355C4C" w:rsidRDefault="00355C4C" w:rsidP="00355C4C">
      <w:pPr>
        <w:spacing w:after="0" w:line="240" w:lineRule="auto"/>
        <w:jc w:val="both"/>
        <w:rPr>
          <w:rFonts w:ascii="Times New Roman" w:hAnsi="Times New Roman"/>
          <w:b/>
          <w:sz w:val="20"/>
          <w:szCs w:val="20"/>
        </w:rPr>
      </w:pPr>
      <w:r w:rsidRPr="00355C4C">
        <w:rPr>
          <w:rFonts w:ascii="Times New Roman" w:hAnsi="Times New Roman"/>
          <w:b/>
          <w:sz w:val="20"/>
          <w:szCs w:val="20"/>
        </w:rPr>
        <w:t>Atomic absorption spectroscopy analysis of calcium</w:t>
      </w:r>
    </w:p>
    <w:p w:rsidR="00355C4C" w:rsidRPr="00355C4C" w:rsidRDefault="00355C4C" w:rsidP="00355C4C">
      <w:pPr>
        <w:spacing w:after="0" w:line="240" w:lineRule="auto"/>
        <w:jc w:val="both"/>
        <w:rPr>
          <w:rFonts w:ascii="Times New Roman" w:hAnsi="Times New Roman"/>
          <w:sz w:val="20"/>
          <w:szCs w:val="20"/>
        </w:rPr>
      </w:pPr>
      <w:r w:rsidRPr="00355C4C">
        <w:rPr>
          <w:rFonts w:ascii="Times New Roman" w:hAnsi="Times New Roman"/>
          <w:sz w:val="20"/>
          <w:szCs w:val="20"/>
        </w:rPr>
        <w:t xml:space="preserve">AAS was used to further validate the results of the titration methods in determining the amount of calcium on the old mortar sample’s binder fraction. Table 6 shows that the calcium concentration obtained in the AAS of the Misamis Oriental sample differs by about 1.2 to 2.3 units from the titration methods or a percentage difference of </w:t>
      </w:r>
      <w:r w:rsidRPr="00355C4C">
        <w:rPr>
          <w:rFonts w:ascii="Times New Roman" w:hAnsi="Times New Roman"/>
          <w:sz w:val="20"/>
          <w:szCs w:val="20"/>
        </w:rPr>
        <w:lastRenderedPageBreak/>
        <w:t xml:space="preserve">about less than 3.9%. The Metro Manila sample however differs from the titration method by about 4.3 to 4.8 units which translates to a percentage difference of roughly less than 6.4% from the titration methods. These percentage differences are statistically acceptable considering the comparison is between a classical method and an instrumental method [25].   </w:t>
      </w:r>
    </w:p>
    <w:p w:rsidR="00355C4C" w:rsidRPr="00355C4C" w:rsidRDefault="00355C4C" w:rsidP="00D00408">
      <w:pPr>
        <w:spacing w:after="120" w:line="240" w:lineRule="auto"/>
        <w:jc w:val="both"/>
        <w:rPr>
          <w:rFonts w:ascii="Times New Roman" w:hAnsi="Times New Roman"/>
          <w:sz w:val="20"/>
          <w:szCs w:val="20"/>
        </w:rPr>
      </w:pPr>
    </w:p>
    <w:p w:rsidR="00355C4C" w:rsidRPr="00355C4C" w:rsidRDefault="00355C4C" w:rsidP="00D00408">
      <w:pPr>
        <w:spacing w:after="120" w:line="240" w:lineRule="auto"/>
        <w:jc w:val="center"/>
        <w:rPr>
          <w:rFonts w:ascii="Times New Roman" w:hAnsi="Times New Roman"/>
          <w:sz w:val="20"/>
          <w:szCs w:val="20"/>
        </w:rPr>
      </w:pPr>
      <w:r w:rsidRPr="00355C4C">
        <w:rPr>
          <w:rFonts w:ascii="Times New Roman" w:hAnsi="Times New Roman"/>
          <w:sz w:val="20"/>
          <w:szCs w:val="20"/>
        </w:rPr>
        <w:t xml:space="preserve">Table 6. </w:t>
      </w:r>
      <w:r w:rsidR="00D00408">
        <w:rPr>
          <w:rFonts w:ascii="Times New Roman" w:hAnsi="Times New Roman"/>
          <w:sz w:val="20"/>
          <w:szCs w:val="20"/>
        </w:rPr>
        <w:t xml:space="preserve"> </w:t>
      </w:r>
      <w:r w:rsidRPr="00355C4C">
        <w:rPr>
          <w:rFonts w:ascii="Times New Roman" w:hAnsi="Times New Roman"/>
          <w:sz w:val="20"/>
          <w:szCs w:val="20"/>
        </w:rPr>
        <w:t>Summary of AAS data for calcium content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1611"/>
        <w:gridCol w:w="650"/>
        <w:gridCol w:w="1561"/>
        <w:gridCol w:w="1239"/>
        <w:gridCol w:w="711"/>
        <w:gridCol w:w="2026"/>
      </w:tblGrid>
      <w:tr w:rsidR="00355C4C" w:rsidRPr="00355C4C" w:rsidTr="00174B4E">
        <w:trPr>
          <w:jc w:val="center"/>
        </w:trPr>
        <w:tc>
          <w:tcPr>
            <w:tcW w:w="0" w:type="auto"/>
            <w:tcBorders>
              <w:top w:val="single" w:sz="4" w:space="0" w:color="000000"/>
              <w:bottom w:val="single" w:sz="4" w:space="0" w:color="000000"/>
            </w:tcBorders>
            <w:vAlign w:val="center"/>
          </w:tcPr>
          <w:p w:rsidR="00355C4C" w:rsidRPr="00355C4C" w:rsidRDefault="00355C4C" w:rsidP="00355C4C">
            <w:pPr>
              <w:spacing w:after="0" w:line="240" w:lineRule="auto"/>
              <w:jc w:val="both"/>
              <w:rPr>
                <w:rFonts w:ascii="Times New Roman" w:hAnsi="Times New Roman" w:cs="Times New Roman"/>
                <w:b/>
                <w:bCs/>
                <w:sz w:val="20"/>
                <w:szCs w:val="20"/>
              </w:rPr>
            </w:pPr>
            <w:r w:rsidRPr="00355C4C">
              <w:rPr>
                <w:rFonts w:ascii="Times New Roman" w:hAnsi="Times New Roman" w:cs="Times New Roman"/>
                <w:b/>
                <w:bCs/>
                <w:sz w:val="20"/>
                <w:szCs w:val="20"/>
              </w:rPr>
              <w:t>Sample Site</w:t>
            </w:r>
          </w:p>
        </w:tc>
        <w:tc>
          <w:tcPr>
            <w:tcW w:w="0" w:type="auto"/>
            <w:tcBorders>
              <w:top w:val="single" w:sz="4" w:space="0" w:color="000000"/>
              <w:bottom w:val="single" w:sz="4" w:space="0" w:color="000000"/>
            </w:tcBorders>
            <w:vAlign w:val="center"/>
          </w:tcPr>
          <w:p w:rsidR="00355C4C" w:rsidRPr="00355C4C" w:rsidRDefault="00355C4C" w:rsidP="00355C4C">
            <w:pPr>
              <w:tabs>
                <w:tab w:val="left" w:pos="1404"/>
              </w:tabs>
              <w:spacing w:after="0" w:line="240" w:lineRule="auto"/>
              <w:jc w:val="both"/>
              <w:rPr>
                <w:rFonts w:ascii="Times New Roman" w:hAnsi="Times New Roman" w:cs="Times New Roman"/>
                <w:b/>
                <w:bCs/>
                <w:sz w:val="20"/>
                <w:szCs w:val="20"/>
              </w:rPr>
            </w:pPr>
            <w:r w:rsidRPr="00355C4C">
              <w:rPr>
                <w:rFonts w:ascii="Times New Roman" w:hAnsi="Times New Roman" w:cs="Times New Roman"/>
                <w:b/>
                <w:bCs/>
                <w:sz w:val="20"/>
                <w:szCs w:val="20"/>
              </w:rPr>
              <w:t>Trial</w:t>
            </w:r>
          </w:p>
        </w:tc>
        <w:tc>
          <w:tcPr>
            <w:tcW w:w="0" w:type="auto"/>
            <w:tcBorders>
              <w:top w:val="single" w:sz="4" w:space="0" w:color="000000"/>
              <w:bottom w:val="single" w:sz="4" w:space="0" w:color="000000"/>
            </w:tcBorders>
          </w:tcPr>
          <w:p w:rsidR="00355C4C" w:rsidRPr="00355C4C" w:rsidRDefault="00355C4C" w:rsidP="00D00408">
            <w:pPr>
              <w:tabs>
                <w:tab w:val="left" w:pos="1404"/>
              </w:tabs>
              <w:spacing w:before="60" w:after="0" w:line="240" w:lineRule="auto"/>
              <w:jc w:val="center"/>
              <w:rPr>
                <w:rFonts w:ascii="Times New Roman" w:hAnsi="Times New Roman" w:cs="Times New Roman"/>
                <w:b/>
                <w:bCs/>
                <w:sz w:val="20"/>
                <w:szCs w:val="20"/>
              </w:rPr>
            </w:pPr>
            <w:r w:rsidRPr="00355C4C">
              <w:rPr>
                <w:rFonts w:ascii="Times New Roman" w:hAnsi="Times New Roman" w:cs="Times New Roman"/>
                <w:b/>
                <w:bCs/>
                <w:sz w:val="20"/>
                <w:szCs w:val="20"/>
              </w:rPr>
              <w:t>Mass of Sample</w:t>
            </w:r>
          </w:p>
          <w:p w:rsidR="00355C4C" w:rsidRPr="00355C4C" w:rsidRDefault="00355C4C" w:rsidP="00D00408">
            <w:pPr>
              <w:tabs>
                <w:tab w:val="left" w:pos="1404"/>
              </w:tabs>
              <w:spacing w:after="60" w:line="240" w:lineRule="auto"/>
              <w:jc w:val="center"/>
              <w:rPr>
                <w:rFonts w:ascii="Times New Roman" w:hAnsi="Times New Roman" w:cs="Times New Roman"/>
                <w:b/>
                <w:bCs/>
                <w:sz w:val="20"/>
                <w:szCs w:val="20"/>
              </w:rPr>
            </w:pPr>
            <w:r w:rsidRPr="00355C4C">
              <w:rPr>
                <w:rFonts w:ascii="Times New Roman" w:hAnsi="Times New Roman" w:cs="Times New Roman"/>
                <w:b/>
                <w:bCs/>
                <w:sz w:val="20"/>
                <w:szCs w:val="20"/>
              </w:rPr>
              <w:t>(g)</w:t>
            </w:r>
          </w:p>
        </w:tc>
        <w:tc>
          <w:tcPr>
            <w:tcW w:w="0" w:type="auto"/>
            <w:tcBorders>
              <w:top w:val="single" w:sz="4" w:space="0" w:color="000000"/>
              <w:bottom w:val="single" w:sz="4" w:space="0" w:color="000000"/>
            </w:tcBorders>
            <w:vAlign w:val="center"/>
          </w:tcPr>
          <w:p w:rsidR="00355C4C" w:rsidRPr="00355C4C" w:rsidRDefault="00355C4C" w:rsidP="00D00408">
            <w:pPr>
              <w:spacing w:after="0" w:line="240" w:lineRule="auto"/>
              <w:jc w:val="center"/>
              <w:rPr>
                <w:rFonts w:ascii="Times New Roman" w:hAnsi="Times New Roman" w:cs="Times New Roman"/>
                <w:b/>
                <w:bCs/>
                <w:sz w:val="20"/>
                <w:szCs w:val="20"/>
              </w:rPr>
            </w:pPr>
            <w:r w:rsidRPr="00355C4C">
              <w:rPr>
                <w:rFonts w:ascii="Times New Roman" w:hAnsi="Times New Roman" w:cs="Times New Roman"/>
                <w:b/>
                <w:bCs/>
                <w:sz w:val="20"/>
                <w:szCs w:val="20"/>
              </w:rPr>
              <w:t>Absorbance</w:t>
            </w:r>
          </w:p>
        </w:tc>
        <w:tc>
          <w:tcPr>
            <w:tcW w:w="0" w:type="auto"/>
            <w:tcBorders>
              <w:top w:val="single" w:sz="4" w:space="0" w:color="000000"/>
              <w:bottom w:val="single" w:sz="4" w:space="0" w:color="000000"/>
            </w:tcBorders>
            <w:vAlign w:val="center"/>
          </w:tcPr>
          <w:p w:rsidR="00355C4C" w:rsidRPr="00355C4C" w:rsidRDefault="00355C4C" w:rsidP="00D00408">
            <w:pPr>
              <w:spacing w:after="0" w:line="240" w:lineRule="auto"/>
              <w:jc w:val="center"/>
              <w:rPr>
                <w:rFonts w:ascii="Times New Roman" w:hAnsi="Times New Roman" w:cs="Times New Roman"/>
                <w:b/>
                <w:bCs/>
                <w:sz w:val="20"/>
                <w:szCs w:val="20"/>
              </w:rPr>
            </w:pPr>
            <w:r w:rsidRPr="00355C4C">
              <w:rPr>
                <w:rFonts w:ascii="Times New Roman" w:hAnsi="Times New Roman" w:cs="Times New Roman"/>
                <w:b/>
                <w:bCs/>
                <w:sz w:val="20"/>
                <w:szCs w:val="20"/>
              </w:rPr>
              <w:t>% Ca</w:t>
            </w:r>
          </w:p>
        </w:tc>
        <w:tc>
          <w:tcPr>
            <w:tcW w:w="0" w:type="auto"/>
            <w:tcBorders>
              <w:top w:val="single" w:sz="4" w:space="0" w:color="000000"/>
              <w:bottom w:val="single" w:sz="4" w:space="0" w:color="000000"/>
            </w:tcBorders>
          </w:tcPr>
          <w:p w:rsidR="00355C4C" w:rsidRPr="00355C4C" w:rsidRDefault="00355C4C" w:rsidP="00D00408">
            <w:pPr>
              <w:spacing w:before="60" w:after="0" w:line="240" w:lineRule="auto"/>
              <w:jc w:val="center"/>
              <w:rPr>
                <w:rFonts w:ascii="Times New Roman" w:hAnsi="Times New Roman" w:cs="Times New Roman"/>
                <w:b/>
                <w:bCs/>
                <w:sz w:val="20"/>
                <w:szCs w:val="20"/>
              </w:rPr>
            </w:pPr>
            <w:r w:rsidRPr="00355C4C">
              <w:rPr>
                <w:rFonts w:ascii="Times New Roman" w:hAnsi="Times New Roman" w:cs="Times New Roman"/>
                <w:b/>
                <w:bCs/>
                <w:sz w:val="20"/>
                <w:szCs w:val="20"/>
              </w:rPr>
              <w:t>Mean and</w:t>
            </w:r>
          </w:p>
          <w:p w:rsidR="00355C4C" w:rsidRPr="00355C4C" w:rsidRDefault="00355C4C" w:rsidP="00D00408">
            <w:pPr>
              <w:spacing w:after="0" w:line="240" w:lineRule="auto"/>
              <w:jc w:val="center"/>
              <w:rPr>
                <w:rFonts w:ascii="Times New Roman" w:hAnsi="Times New Roman" w:cs="Times New Roman"/>
                <w:b/>
                <w:bCs/>
                <w:sz w:val="20"/>
                <w:szCs w:val="20"/>
              </w:rPr>
            </w:pPr>
            <w:r w:rsidRPr="00355C4C">
              <w:rPr>
                <w:rFonts w:ascii="Times New Roman" w:hAnsi="Times New Roman" w:cs="Times New Roman"/>
                <w:b/>
                <w:bCs/>
                <w:sz w:val="20"/>
                <w:szCs w:val="20"/>
              </w:rPr>
              <w:t>Standard Deviation</w:t>
            </w:r>
          </w:p>
        </w:tc>
      </w:tr>
      <w:tr w:rsidR="00355C4C" w:rsidRPr="00355C4C" w:rsidTr="00174B4E">
        <w:trPr>
          <w:jc w:val="center"/>
        </w:trPr>
        <w:tc>
          <w:tcPr>
            <w:tcW w:w="0" w:type="auto"/>
            <w:vMerge w:val="restart"/>
            <w:tcBorders>
              <w:top w:val="single" w:sz="4" w:space="0" w:color="000000"/>
              <w:bottom w:val="nil"/>
            </w:tcBorders>
            <w:vAlign w:val="center"/>
          </w:tcPr>
          <w:p w:rsidR="00355C4C" w:rsidRPr="00355C4C" w:rsidRDefault="00355C4C" w:rsidP="00355C4C">
            <w:pPr>
              <w:spacing w:after="0" w:line="240" w:lineRule="auto"/>
              <w:jc w:val="both"/>
              <w:rPr>
                <w:rFonts w:ascii="Times New Roman" w:hAnsi="Times New Roman" w:cs="Times New Roman"/>
                <w:sz w:val="20"/>
                <w:szCs w:val="20"/>
              </w:rPr>
            </w:pPr>
            <w:r w:rsidRPr="00355C4C">
              <w:rPr>
                <w:rFonts w:ascii="Times New Roman" w:hAnsi="Times New Roman" w:cs="Times New Roman"/>
                <w:sz w:val="20"/>
                <w:szCs w:val="20"/>
              </w:rPr>
              <w:t>Misamis Oriental</w:t>
            </w:r>
          </w:p>
        </w:tc>
        <w:tc>
          <w:tcPr>
            <w:tcW w:w="0" w:type="auto"/>
            <w:tcBorders>
              <w:top w:val="single" w:sz="4" w:space="0" w:color="000000"/>
              <w:bottom w:val="nil"/>
            </w:tcBorders>
          </w:tcPr>
          <w:p w:rsidR="00355C4C" w:rsidRPr="00355C4C" w:rsidRDefault="00355C4C" w:rsidP="00D00408">
            <w:pPr>
              <w:spacing w:before="60" w:after="0" w:line="240" w:lineRule="auto"/>
              <w:jc w:val="both"/>
              <w:rPr>
                <w:rFonts w:ascii="Times New Roman" w:hAnsi="Times New Roman" w:cs="Times New Roman"/>
                <w:sz w:val="20"/>
                <w:szCs w:val="20"/>
              </w:rPr>
            </w:pPr>
            <w:r w:rsidRPr="00355C4C">
              <w:rPr>
                <w:rFonts w:ascii="Times New Roman" w:hAnsi="Times New Roman" w:cs="Times New Roman"/>
                <w:sz w:val="20"/>
                <w:szCs w:val="20"/>
              </w:rPr>
              <w:t>1</w:t>
            </w:r>
          </w:p>
        </w:tc>
        <w:tc>
          <w:tcPr>
            <w:tcW w:w="0" w:type="auto"/>
            <w:tcBorders>
              <w:top w:val="single" w:sz="4" w:space="0" w:color="000000"/>
              <w:bottom w:val="nil"/>
            </w:tcBorders>
          </w:tcPr>
          <w:p w:rsidR="00355C4C" w:rsidRPr="00355C4C" w:rsidRDefault="00355C4C" w:rsidP="00D00408">
            <w:pPr>
              <w:spacing w:before="60" w:after="0" w:line="240" w:lineRule="auto"/>
              <w:jc w:val="center"/>
              <w:rPr>
                <w:rFonts w:ascii="Times New Roman" w:hAnsi="Times New Roman" w:cs="Times New Roman"/>
                <w:sz w:val="20"/>
                <w:szCs w:val="20"/>
              </w:rPr>
            </w:pPr>
            <w:r w:rsidRPr="00355C4C">
              <w:rPr>
                <w:rFonts w:ascii="Times New Roman" w:hAnsi="Times New Roman" w:cs="Times New Roman"/>
                <w:sz w:val="20"/>
                <w:szCs w:val="20"/>
              </w:rPr>
              <w:t>0.1079</w:t>
            </w:r>
          </w:p>
        </w:tc>
        <w:tc>
          <w:tcPr>
            <w:tcW w:w="0" w:type="auto"/>
            <w:tcBorders>
              <w:top w:val="single" w:sz="4" w:space="0" w:color="000000"/>
              <w:bottom w:val="nil"/>
            </w:tcBorders>
          </w:tcPr>
          <w:p w:rsidR="00355C4C" w:rsidRPr="00355C4C" w:rsidRDefault="00355C4C" w:rsidP="00D00408">
            <w:pPr>
              <w:spacing w:before="60" w:after="0" w:line="240" w:lineRule="auto"/>
              <w:jc w:val="center"/>
              <w:rPr>
                <w:rFonts w:ascii="Times New Roman" w:hAnsi="Times New Roman" w:cs="Times New Roman"/>
                <w:sz w:val="20"/>
                <w:szCs w:val="20"/>
              </w:rPr>
            </w:pPr>
            <w:r w:rsidRPr="00355C4C">
              <w:rPr>
                <w:rFonts w:ascii="Times New Roman" w:hAnsi="Times New Roman" w:cs="Times New Roman"/>
                <w:sz w:val="20"/>
                <w:szCs w:val="20"/>
              </w:rPr>
              <w:t>0.0538</w:t>
            </w:r>
          </w:p>
        </w:tc>
        <w:tc>
          <w:tcPr>
            <w:tcW w:w="0" w:type="auto"/>
            <w:tcBorders>
              <w:top w:val="single" w:sz="4" w:space="0" w:color="000000"/>
              <w:bottom w:val="nil"/>
            </w:tcBorders>
          </w:tcPr>
          <w:p w:rsidR="00355C4C" w:rsidRPr="00355C4C" w:rsidRDefault="00355C4C" w:rsidP="00D00408">
            <w:pPr>
              <w:spacing w:before="60" w:after="0" w:line="240" w:lineRule="auto"/>
              <w:jc w:val="center"/>
              <w:rPr>
                <w:rFonts w:ascii="Times New Roman" w:hAnsi="Times New Roman" w:cs="Times New Roman"/>
                <w:sz w:val="20"/>
                <w:szCs w:val="20"/>
              </w:rPr>
            </w:pPr>
            <w:r w:rsidRPr="00355C4C">
              <w:rPr>
                <w:rFonts w:ascii="Times New Roman" w:hAnsi="Times New Roman" w:cs="Times New Roman"/>
                <w:sz w:val="20"/>
                <w:szCs w:val="20"/>
              </w:rPr>
              <w:t>61.09</w:t>
            </w:r>
          </w:p>
        </w:tc>
        <w:tc>
          <w:tcPr>
            <w:tcW w:w="0" w:type="auto"/>
            <w:vMerge w:val="restart"/>
            <w:tcBorders>
              <w:top w:val="single" w:sz="4" w:space="0" w:color="000000"/>
              <w:bottom w:val="nil"/>
            </w:tcBorders>
            <w:vAlign w:val="center"/>
          </w:tcPr>
          <w:p w:rsidR="00355C4C" w:rsidRPr="00355C4C" w:rsidRDefault="00355C4C" w:rsidP="00D00408">
            <w:pPr>
              <w:spacing w:before="60" w:after="0" w:line="240" w:lineRule="auto"/>
              <w:jc w:val="center"/>
              <w:rPr>
                <w:rFonts w:ascii="Times New Roman" w:hAnsi="Times New Roman" w:cs="Times New Roman"/>
                <w:sz w:val="20"/>
                <w:szCs w:val="20"/>
              </w:rPr>
            </w:pPr>
            <w:r w:rsidRPr="00355C4C">
              <w:rPr>
                <w:rFonts w:ascii="Times New Roman" w:hAnsi="Times New Roman" w:cs="Times New Roman"/>
                <w:sz w:val="20"/>
                <w:szCs w:val="20"/>
              </w:rPr>
              <w:t>58.21% ± 6.31* (2.54)</w:t>
            </w:r>
          </w:p>
        </w:tc>
      </w:tr>
      <w:tr w:rsidR="00355C4C" w:rsidRPr="00355C4C" w:rsidTr="00174B4E">
        <w:trPr>
          <w:jc w:val="center"/>
        </w:trPr>
        <w:tc>
          <w:tcPr>
            <w:tcW w:w="0" w:type="auto"/>
            <w:vMerge/>
            <w:tcBorders>
              <w:top w:val="nil"/>
              <w:bottom w:val="nil"/>
            </w:tcBorders>
          </w:tcPr>
          <w:p w:rsidR="00355C4C" w:rsidRPr="00355C4C" w:rsidRDefault="00355C4C" w:rsidP="00355C4C">
            <w:pPr>
              <w:spacing w:after="0" w:line="240" w:lineRule="auto"/>
              <w:jc w:val="both"/>
              <w:rPr>
                <w:rFonts w:ascii="Times New Roman" w:hAnsi="Times New Roman" w:cs="Times New Roman"/>
                <w:sz w:val="20"/>
                <w:szCs w:val="20"/>
              </w:rPr>
            </w:pPr>
          </w:p>
        </w:tc>
        <w:tc>
          <w:tcPr>
            <w:tcW w:w="0" w:type="auto"/>
            <w:tcBorders>
              <w:top w:val="nil"/>
              <w:bottom w:val="nil"/>
            </w:tcBorders>
          </w:tcPr>
          <w:p w:rsidR="00355C4C" w:rsidRPr="00355C4C" w:rsidRDefault="00355C4C" w:rsidP="00D00408">
            <w:pPr>
              <w:spacing w:before="60" w:after="0" w:line="240" w:lineRule="auto"/>
              <w:jc w:val="both"/>
              <w:rPr>
                <w:rFonts w:ascii="Times New Roman" w:hAnsi="Times New Roman" w:cs="Times New Roman"/>
                <w:sz w:val="20"/>
                <w:szCs w:val="20"/>
              </w:rPr>
            </w:pPr>
            <w:r w:rsidRPr="00355C4C">
              <w:rPr>
                <w:rFonts w:ascii="Times New Roman" w:hAnsi="Times New Roman" w:cs="Times New Roman"/>
                <w:sz w:val="20"/>
                <w:szCs w:val="20"/>
              </w:rPr>
              <w:t>2</w:t>
            </w:r>
          </w:p>
        </w:tc>
        <w:tc>
          <w:tcPr>
            <w:tcW w:w="0" w:type="auto"/>
            <w:tcBorders>
              <w:top w:val="nil"/>
              <w:bottom w:val="nil"/>
            </w:tcBorders>
          </w:tcPr>
          <w:p w:rsidR="00355C4C" w:rsidRPr="00355C4C" w:rsidRDefault="00355C4C" w:rsidP="00D00408">
            <w:pPr>
              <w:spacing w:before="60" w:after="0" w:line="240" w:lineRule="auto"/>
              <w:jc w:val="center"/>
              <w:rPr>
                <w:rFonts w:ascii="Times New Roman" w:hAnsi="Times New Roman" w:cs="Times New Roman"/>
                <w:sz w:val="20"/>
                <w:szCs w:val="20"/>
              </w:rPr>
            </w:pPr>
            <w:r w:rsidRPr="00355C4C">
              <w:rPr>
                <w:rFonts w:ascii="Times New Roman" w:hAnsi="Times New Roman" w:cs="Times New Roman"/>
                <w:sz w:val="20"/>
                <w:szCs w:val="20"/>
              </w:rPr>
              <w:t>0.1079</w:t>
            </w:r>
          </w:p>
        </w:tc>
        <w:tc>
          <w:tcPr>
            <w:tcW w:w="0" w:type="auto"/>
            <w:tcBorders>
              <w:top w:val="nil"/>
              <w:bottom w:val="nil"/>
            </w:tcBorders>
          </w:tcPr>
          <w:p w:rsidR="00355C4C" w:rsidRPr="00355C4C" w:rsidRDefault="00355C4C" w:rsidP="00D00408">
            <w:pPr>
              <w:spacing w:before="60" w:after="0" w:line="240" w:lineRule="auto"/>
              <w:jc w:val="center"/>
              <w:rPr>
                <w:rFonts w:ascii="Times New Roman" w:hAnsi="Times New Roman" w:cs="Times New Roman"/>
                <w:sz w:val="20"/>
                <w:szCs w:val="20"/>
              </w:rPr>
            </w:pPr>
            <w:r w:rsidRPr="00355C4C">
              <w:rPr>
                <w:rFonts w:ascii="Times New Roman" w:hAnsi="Times New Roman" w:cs="Times New Roman"/>
                <w:sz w:val="20"/>
                <w:szCs w:val="20"/>
              </w:rPr>
              <w:t>0.0506</w:t>
            </w:r>
          </w:p>
        </w:tc>
        <w:tc>
          <w:tcPr>
            <w:tcW w:w="0" w:type="auto"/>
            <w:tcBorders>
              <w:top w:val="nil"/>
              <w:bottom w:val="nil"/>
            </w:tcBorders>
          </w:tcPr>
          <w:p w:rsidR="00355C4C" w:rsidRPr="00355C4C" w:rsidRDefault="00355C4C" w:rsidP="00D00408">
            <w:pPr>
              <w:spacing w:before="60" w:after="0" w:line="240" w:lineRule="auto"/>
              <w:jc w:val="center"/>
              <w:rPr>
                <w:rFonts w:ascii="Times New Roman" w:hAnsi="Times New Roman" w:cs="Times New Roman"/>
                <w:sz w:val="20"/>
                <w:szCs w:val="20"/>
              </w:rPr>
            </w:pPr>
            <w:r w:rsidRPr="00355C4C">
              <w:rPr>
                <w:rFonts w:ascii="Times New Roman" w:hAnsi="Times New Roman" w:cs="Times New Roman"/>
                <w:sz w:val="20"/>
                <w:szCs w:val="20"/>
              </w:rPr>
              <w:t>57.19</w:t>
            </w:r>
          </w:p>
        </w:tc>
        <w:tc>
          <w:tcPr>
            <w:tcW w:w="0" w:type="auto"/>
            <w:vMerge/>
            <w:tcBorders>
              <w:top w:val="nil"/>
              <w:bottom w:val="nil"/>
            </w:tcBorders>
            <w:vAlign w:val="center"/>
          </w:tcPr>
          <w:p w:rsidR="00355C4C" w:rsidRPr="00355C4C" w:rsidRDefault="00355C4C" w:rsidP="00D00408">
            <w:pPr>
              <w:spacing w:after="0" w:line="240" w:lineRule="auto"/>
              <w:jc w:val="center"/>
              <w:rPr>
                <w:rFonts w:ascii="Times New Roman" w:hAnsi="Times New Roman" w:cs="Times New Roman"/>
                <w:sz w:val="20"/>
                <w:szCs w:val="20"/>
              </w:rPr>
            </w:pPr>
          </w:p>
        </w:tc>
      </w:tr>
      <w:tr w:rsidR="00355C4C" w:rsidRPr="00355C4C" w:rsidTr="00174B4E">
        <w:trPr>
          <w:jc w:val="center"/>
        </w:trPr>
        <w:tc>
          <w:tcPr>
            <w:tcW w:w="0" w:type="auto"/>
            <w:vMerge/>
            <w:tcBorders>
              <w:top w:val="nil"/>
              <w:bottom w:val="nil"/>
            </w:tcBorders>
          </w:tcPr>
          <w:p w:rsidR="00355C4C" w:rsidRPr="00355C4C" w:rsidRDefault="00355C4C" w:rsidP="00355C4C">
            <w:pPr>
              <w:spacing w:after="0" w:line="240" w:lineRule="auto"/>
              <w:jc w:val="both"/>
              <w:rPr>
                <w:rFonts w:ascii="Times New Roman" w:hAnsi="Times New Roman" w:cs="Times New Roman"/>
                <w:sz w:val="20"/>
                <w:szCs w:val="20"/>
              </w:rPr>
            </w:pPr>
          </w:p>
        </w:tc>
        <w:tc>
          <w:tcPr>
            <w:tcW w:w="0" w:type="auto"/>
            <w:tcBorders>
              <w:top w:val="nil"/>
              <w:bottom w:val="nil"/>
            </w:tcBorders>
          </w:tcPr>
          <w:p w:rsidR="00355C4C" w:rsidRPr="00355C4C" w:rsidRDefault="00355C4C" w:rsidP="00D00408">
            <w:pPr>
              <w:spacing w:before="60" w:after="0" w:line="240" w:lineRule="auto"/>
              <w:jc w:val="both"/>
              <w:rPr>
                <w:rFonts w:ascii="Times New Roman" w:hAnsi="Times New Roman" w:cs="Times New Roman"/>
                <w:sz w:val="20"/>
                <w:szCs w:val="20"/>
              </w:rPr>
            </w:pPr>
            <w:r w:rsidRPr="00355C4C">
              <w:rPr>
                <w:rFonts w:ascii="Times New Roman" w:hAnsi="Times New Roman" w:cs="Times New Roman"/>
                <w:sz w:val="20"/>
                <w:szCs w:val="20"/>
              </w:rPr>
              <w:t>3</w:t>
            </w:r>
          </w:p>
        </w:tc>
        <w:tc>
          <w:tcPr>
            <w:tcW w:w="0" w:type="auto"/>
            <w:tcBorders>
              <w:top w:val="nil"/>
              <w:bottom w:val="nil"/>
            </w:tcBorders>
          </w:tcPr>
          <w:p w:rsidR="00355C4C" w:rsidRPr="00355C4C" w:rsidRDefault="00355C4C" w:rsidP="00D00408">
            <w:pPr>
              <w:spacing w:before="60" w:after="0" w:line="240" w:lineRule="auto"/>
              <w:jc w:val="center"/>
              <w:rPr>
                <w:rFonts w:ascii="Times New Roman" w:hAnsi="Times New Roman" w:cs="Times New Roman"/>
                <w:sz w:val="20"/>
                <w:szCs w:val="20"/>
              </w:rPr>
            </w:pPr>
            <w:r w:rsidRPr="00355C4C">
              <w:rPr>
                <w:rFonts w:ascii="Times New Roman" w:hAnsi="Times New Roman" w:cs="Times New Roman"/>
                <w:sz w:val="20"/>
                <w:szCs w:val="20"/>
              </w:rPr>
              <w:t>0.1079</w:t>
            </w:r>
          </w:p>
        </w:tc>
        <w:tc>
          <w:tcPr>
            <w:tcW w:w="0" w:type="auto"/>
            <w:tcBorders>
              <w:top w:val="nil"/>
              <w:bottom w:val="nil"/>
            </w:tcBorders>
          </w:tcPr>
          <w:p w:rsidR="00355C4C" w:rsidRPr="00355C4C" w:rsidRDefault="00355C4C" w:rsidP="00D00408">
            <w:pPr>
              <w:spacing w:before="60" w:after="0" w:line="240" w:lineRule="auto"/>
              <w:jc w:val="center"/>
              <w:rPr>
                <w:rFonts w:ascii="Times New Roman" w:hAnsi="Times New Roman" w:cs="Times New Roman"/>
                <w:sz w:val="20"/>
                <w:szCs w:val="20"/>
              </w:rPr>
            </w:pPr>
            <w:r w:rsidRPr="00355C4C">
              <w:rPr>
                <w:rFonts w:ascii="Times New Roman" w:hAnsi="Times New Roman" w:cs="Times New Roman"/>
                <w:sz w:val="20"/>
                <w:szCs w:val="20"/>
              </w:rPr>
              <w:t>0.0499</w:t>
            </w:r>
          </w:p>
        </w:tc>
        <w:tc>
          <w:tcPr>
            <w:tcW w:w="0" w:type="auto"/>
            <w:tcBorders>
              <w:top w:val="nil"/>
              <w:bottom w:val="nil"/>
            </w:tcBorders>
          </w:tcPr>
          <w:p w:rsidR="00355C4C" w:rsidRPr="00355C4C" w:rsidRDefault="00355C4C" w:rsidP="00D00408">
            <w:pPr>
              <w:spacing w:before="60" w:after="0" w:line="240" w:lineRule="auto"/>
              <w:jc w:val="center"/>
              <w:rPr>
                <w:rFonts w:ascii="Times New Roman" w:hAnsi="Times New Roman" w:cs="Times New Roman"/>
                <w:sz w:val="20"/>
                <w:szCs w:val="20"/>
              </w:rPr>
            </w:pPr>
            <w:r w:rsidRPr="00355C4C">
              <w:rPr>
                <w:rFonts w:ascii="Times New Roman" w:hAnsi="Times New Roman" w:cs="Times New Roman"/>
                <w:sz w:val="20"/>
                <w:szCs w:val="20"/>
              </w:rPr>
              <w:t>56.34</w:t>
            </w:r>
          </w:p>
        </w:tc>
        <w:tc>
          <w:tcPr>
            <w:tcW w:w="0" w:type="auto"/>
            <w:vMerge/>
            <w:tcBorders>
              <w:top w:val="nil"/>
              <w:bottom w:val="nil"/>
            </w:tcBorders>
            <w:vAlign w:val="center"/>
          </w:tcPr>
          <w:p w:rsidR="00355C4C" w:rsidRPr="00355C4C" w:rsidRDefault="00355C4C" w:rsidP="00D00408">
            <w:pPr>
              <w:spacing w:after="0" w:line="240" w:lineRule="auto"/>
              <w:jc w:val="center"/>
              <w:rPr>
                <w:rFonts w:ascii="Times New Roman" w:hAnsi="Times New Roman" w:cs="Times New Roman"/>
                <w:sz w:val="20"/>
                <w:szCs w:val="20"/>
              </w:rPr>
            </w:pPr>
          </w:p>
        </w:tc>
      </w:tr>
      <w:tr w:rsidR="00355C4C" w:rsidRPr="00355C4C" w:rsidTr="00174B4E">
        <w:trPr>
          <w:jc w:val="center"/>
        </w:trPr>
        <w:tc>
          <w:tcPr>
            <w:tcW w:w="0" w:type="auto"/>
            <w:vMerge w:val="restart"/>
            <w:tcBorders>
              <w:top w:val="nil"/>
              <w:bottom w:val="nil"/>
            </w:tcBorders>
            <w:vAlign w:val="center"/>
          </w:tcPr>
          <w:p w:rsidR="00355C4C" w:rsidRPr="00355C4C" w:rsidRDefault="00355C4C" w:rsidP="00355C4C">
            <w:pPr>
              <w:spacing w:after="0" w:line="240" w:lineRule="auto"/>
              <w:jc w:val="both"/>
              <w:rPr>
                <w:rFonts w:ascii="Times New Roman" w:hAnsi="Times New Roman" w:cs="Times New Roman"/>
                <w:sz w:val="20"/>
                <w:szCs w:val="20"/>
              </w:rPr>
            </w:pPr>
            <w:r w:rsidRPr="00355C4C">
              <w:rPr>
                <w:rFonts w:ascii="Times New Roman" w:hAnsi="Times New Roman" w:cs="Times New Roman"/>
                <w:sz w:val="20"/>
                <w:szCs w:val="20"/>
              </w:rPr>
              <w:t>Metro Manila</w:t>
            </w:r>
          </w:p>
        </w:tc>
        <w:tc>
          <w:tcPr>
            <w:tcW w:w="0" w:type="auto"/>
            <w:tcBorders>
              <w:top w:val="nil"/>
              <w:bottom w:val="nil"/>
            </w:tcBorders>
          </w:tcPr>
          <w:p w:rsidR="00355C4C" w:rsidRPr="00355C4C" w:rsidRDefault="00355C4C" w:rsidP="00D00408">
            <w:pPr>
              <w:spacing w:before="120" w:after="0" w:line="240" w:lineRule="auto"/>
              <w:jc w:val="both"/>
              <w:rPr>
                <w:rFonts w:ascii="Times New Roman" w:hAnsi="Times New Roman" w:cs="Times New Roman"/>
                <w:sz w:val="20"/>
                <w:szCs w:val="20"/>
              </w:rPr>
            </w:pPr>
            <w:r w:rsidRPr="00355C4C">
              <w:rPr>
                <w:rFonts w:ascii="Times New Roman" w:hAnsi="Times New Roman" w:cs="Times New Roman"/>
                <w:sz w:val="20"/>
                <w:szCs w:val="20"/>
              </w:rPr>
              <w:t>1</w:t>
            </w:r>
          </w:p>
        </w:tc>
        <w:tc>
          <w:tcPr>
            <w:tcW w:w="0" w:type="auto"/>
            <w:tcBorders>
              <w:top w:val="nil"/>
              <w:bottom w:val="nil"/>
            </w:tcBorders>
          </w:tcPr>
          <w:p w:rsidR="00355C4C" w:rsidRPr="00355C4C" w:rsidRDefault="00355C4C" w:rsidP="00D00408">
            <w:pPr>
              <w:spacing w:before="120" w:after="0" w:line="240" w:lineRule="auto"/>
              <w:jc w:val="center"/>
              <w:rPr>
                <w:rFonts w:ascii="Times New Roman" w:hAnsi="Times New Roman" w:cs="Times New Roman"/>
                <w:sz w:val="20"/>
                <w:szCs w:val="20"/>
              </w:rPr>
            </w:pPr>
            <w:r w:rsidRPr="00355C4C">
              <w:rPr>
                <w:rFonts w:ascii="Times New Roman" w:hAnsi="Times New Roman" w:cs="Times New Roman"/>
                <w:sz w:val="20"/>
                <w:szCs w:val="20"/>
              </w:rPr>
              <w:t>0.1027</w:t>
            </w:r>
          </w:p>
        </w:tc>
        <w:tc>
          <w:tcPr>
            <w:tcW w:w="0" w:type="auto"/>
            <w:tcBorders>
              <w:top w:val="nil"/>
              <w:bottom w:val="nil"/>
            </w:tcBorders>
          </w:tcPr>
          <w:p w:rsidR="00355C4C" w:rsidRPr="00355C4C" w:rsidRDefault="00355C4C" w:rsidP="00D00408">
            <w:pPr>
              <w:spacing w:before="120" w:after="0" w:line="240" w:lineRule="auto"/>
              <w:jc w:val="center"/>
              <w:rPr>
                <w:rFonts w:ascii="Times New Roman" w:hAnsi="Times New Roman" w:cs="Times New Roman"/>
                <w:sz w:val="20"/>
                <w:szCs w:val="20"/>
              </w:rPr>
            </w:pPr>
            <w:r w:rsidRPr="00355C4C">
              <w:rPr>
                <w:rFonts w:ascii="Times New Roman" w:hAnsi="Times New Roman" w:cs="Times New Roman"/>
                <w:sz w:val="20"/>
                <w:szCs w:val="20"/>
              </w:rPr>
              <w:t>0.0640</w:t>
            </w:r>
          </w:p>
        </w:tc>
        <w:tc>
          <w:tcPr>
            <w:tcW w:w="0" w:type="auto"/>
            <w:tcBorders>
              <w:top w:val="nil"/>
              <w:bottom w:val="nil"/>
            </w:tcBorders>
          </w:tcPr>
          <w:p w:rsidR="00355C4C" w:rsidRPr="00355C4C" w:rsidRDefault="00355C4C" w:rsidP="00D00408">
            <w:pPr>
              <w:spacing w:before="120" w:after="0" w:line="240" w:lineRule="auto"/>
              <w:jc w:val="center"/>
              <w:rPr>
                <w:rFonts w:ascii="Times New Roman" w:hAnsi="Times New Roman" w:cs="Times New Roman"/>
                <w:sz w:val="20"/>
                <w:szCs w:val="20"/>
              </w:rPr>
            </w:pPr>
            <w:r w:rsidRPr="00355C4C">
              <w:rPr>
                <w:rFonts w:ascii="Times New Roman" w:hAnsi="Times New Roman" w:cs="Times New Roman"/>
                <w:sz w:val="20"/>
                <w:szCs w:val="20"/>
              </w:rPr>
              <w:t>77.26</w:t>
            </w:r>
          </w:p>
        </w:tc>
        <w:tc>
          <w:tcPr>
            <w:tcW w:w="0" w:type="auto"/>
            <w:vMerge w:val="restart"/>
            <w:tcBorders>
              <w:top w:val="nil"/>
              <w:bottom w:val="nil"/>
            </w:tcBorders>
            <w:vAlign w:val="center"/>
          </w:tcPr>
          <w:p w:rsidR="00355C4C" w:rsidRPr="00355C4C" w:rsidRDefault="00355C4C" w:rsidP="007757FC">
            <w:pPr>
              <w:spacing w:before="120" w:after="0" w:line="240" w:lineRule="auto"/>
              <w:jc w:val="center"/>
              <w:rPr>
                <w:rFonts w:ascii="Times New Roman" w:hAnsi="Times New Roman" w:cs="Times New Roman"/>
                <w:sz w:val="20"/>
                <w:szCs w:val="20"/>
              </w:rPr>
            </w:pPr>
            <w:r w:rsidRPr="00355C4C">
              <w:rPr>
                <w:rFonts w:ascii="Times New Roman" w:hAnsi="Times New Roman" w:cs="Times New Roman"/>
                <w:sz w:val="20"/>
                <w:szCs w:val="20"/>
              </w:rPr>
              <w:t>78.11% ± 4.82* (1.94)</w:t>
            </w:r>
          </w:p>
        </w:tc>
      </w:tr>
      <w:tr w:rsidR="00355C4C" w:rsidRPr="00355C4C" w:rsidTr="00174B4E">
        <w:trPr>
          <w:jc w:val="center"/>
        </w:trPr>
        <w:tc>
          <w:tcPr>
            <w:tcW w:w="0" w:type="auto"/>
            <w:vMerge/>
            <w:tcBorders>
              <w:top w:val="nil"/>
            </w:tcBorders>
            <w:vAlign w:val="center"/>
          </w:tcPr>
          <w:p w:rsidR="00355C4C" w:rsidRPr="00355C4C" w:rsidRDefault="00355C4C" w:rsidP="00355C4C">
            <w:pPr>
              <w:spacing w:after="0" w:line="240" w:lineRule="auto"/>
              <w:jc w:val="both"/>
              <w:rPr>
                <w:rFonts w:ascii="Times New Roman" w:hAnsi="Times New Roman" w:cs="Times New Roman"/>
                <w:sz w:val="20"/>
                <w:szCs w:val="20"/>
              </w:rPr>
            </w:pPr>
          </w:p>
        </w:tc>
        <w:tc>
          <w:tcPr>
            <w:tcW w:w="0" w:type="auto"/>
            <w:tcBorders>
              <w:top w:val="nil"/>
              <w:bottom w:val="nil"/>
            </w:tcBorders>
          </w:tcPr>
          <w:p w:rsidR="00355C4C" w:rsidRPr="00355C4C" w:rsidRDefault="00355C4C" w:rsidP="00D00408">
            <w:pPr>
              <w:spacing w:before="60" w:after="0" w:line="240" w:lineRule="auto"/>
              <w:jc w:val="both"/>
              <w:rPr>
                <w:rFonts w:ascii="Times New Roman" w:hAnsi="Times New Roman" w:cs="Times New Roman"/>
                <w:sz w:val="20"/>
                <w:szCs w:val="20"/>
              </w:rPr>
            </w:pPr>
            <w:r w:rsidRPr="00355C4C">
              <w:rPr>
                <w:rFonts w:ascii="Times New Roman" w:hAnsi="Times New Roman" w:cs="Times New Roman"/>
                <w:sz w:val="20"/>
                <w:szCs w:val="20"/>
              </w:rPr>
              <w:t>2</w:t>
            </w:r>
          </w:p>
        </w:tc>
        <w:tc>
          <w:tcPr>
            <w:tcW w:w="0" w:type="auto"/>
            <w:tcBorders>
              <w:top w:val="nil"/>
              <w:bottom w:val="nil"/>
            </w:tcBorders>
          </w:tcPr>
          <w:p w:rsidR="00355C4C" w:rsidRPr="00355C4C" w:rsidRDefault="00355C4C" w:rsidP="00D00408">
            <w:pPr>
              <w:spacing w:before="60" w:after="0" w:line="240" w:lineRule="auto"/>
              <w:jc w:val="center"/>
              <w:rPr>
                <w:rFonts w:ascii="Times New Roman" w:hAnsi="Times New Roman" w:cs="Times New Roman"/>
                <w:sz w:val="20"/>
                <w:szCs w:val="20"/>
              </w:rPr>
            </w:pPr>
            <w:r w:rsidRPr="00355C4C">
              <w:rPr>
                <w:rFonts w:ascii="Times New Roman" w:hAnsi="Times New Roman" w:cs="Times New Roman"/>
                <w:sz w:val="20"/>
                <w:szCs w:val="20"/>
              </w:rPr>
              <w:t>0.1027</w:t>
            </w:r>
          </w:p>
        </w:tc>
        <w:tc>
          <w:tcPr>
            <w:tcW w:w="0" w:type="auto"/>
            <w:tcBorders>
              <w:top w:val="nil"/>
              <w:bottom w:val="nil"/>
            </w:tcBorders>
          </w:tcPr>
          <w:p w:rsidR="00355C4C" w:rsidRPr="00355C4C" w:rsidRDefault="00355C4C" w:rsidP="00D00408">
            <w:pPr>
              <w:spacing w:before="60" w:after="0" w:line="240" w:lineRule="auto"/>
              <w:jc w:val="center"/>
              <w:rPr>
                <w:rFonts w:ascii="Times New Roman" w:hAnsi="Times New Roman" w:cs="Times New Roman"/>
                <w:sz w:val="20"/>
                <w:szCs w:val="20"/>
              </w:rPr>
            </w:pPr>
            <w:r w:rsidRPr="00355C4C">
              <w:rPr>
                <w:rFonts w:ascii="Times New Roman" w:hAnsi="Times New Roman" w:cs="Times New Roman"/>
                <w:sz w:val="20"/>
                <w:szCs w:val="20"/>
              </w:rPr>
              <w:t>0.0664</w:t>
            </w:r>
          </w:p>
        </w:tc>
        <w:tc>
          <w:tcPr>
            <w:tcW w:w="0" w:type="auto"/>
            <w:tcBorders>
              <w:top w:val="nil"/>
              <w:bottom w:val="nil"/>
            </w:tcBorders>
          </w:tcPr>
          <w:p w:rsidR="00355C4C" w:rsidRPr="00355C4C" w:rsidRDefault="00355C4C" w:rsidP="00D00408">
            <w:pPr>
              <w:spacing w:before="60" w:after="0" w:line="240" w:lineRule="auto"/>
              <w:jc w:val="center"/>
              <w:rPr>
                <w:rFonts w:ascii="Times New Roman" w:hAnsi="Times New Roman" w:cs="Times New Roman"/>
                <w:sz w:val="20"/>
                <w:szCs w:val="20"/>
              </w:rPr>
            </w:pPr>
            <w:r w:rsidRPr="00355C4C">
              <w:rPr>
                <w:rFonts w:ascii="Times New Roman" w:hAnsi="Times New Roman" w:cs="Times New Roman"/>
                <w:sz w:val="20"/>
                <w:szCs w:val="20"/>
              </w:rPr>
              <w:t>80.33</w:t>
            </w:r>
          </w:p>
        </w:tc>
        <w:tc>
          <w:tcPr>
            <w:tcW w:w="0" w:type="auto"/>
            <w:vMerge/>
            <w:tcBorders>
              <w:top w:val="nil"/>
            </w:tcBorders>
            <w:vAlign w:val="center"/>
          </w:tcPr>
          <w:p w:rsidR="00355C4C" w:rsidRPr="00355C4C" w:rsidRDefault="00355C4C" w:rsidP="00D00408">
            <w:pPr>
              <w:spacing w:after="0" w:line="240" w:lineRule="auto"/>
              <w:jc w:val="center"/>
              <w:rPr>
                <w:rFonts w:ascii="Times New Roman" w:hAnsi="Times New Roman" w:cs="Times New Roman"/>
                <w:sz w:val="20"/>
                <w:szCs w:val="20"/>
              </w:rPr>
            </w:pPr>
          </w:p>
        </w:tc>
      </w:tr>
      <w:tr w:rsidR="00355C4C" w:rsidRPr="00355C4C" w:rsidTr="00174B4E">
        <w:trPr>
          <w:jc w:val="center"/>
        </w:trPr>
        <w:tc>
          <w:tcPr>
            <w:tcW w:w="0" w:type="auto"/>
            <w:vMerge/>
            <w:tcBorders>
              <w:bottom w:val="single" w:sz="4" w:space="0" w:color="000000"/>
            </w:tcBorders>
            <w:vAlign w:val="center"/>
          </w:tcPr>
          <w:p w:rsidR="00355C4C" w:rsidRPr="00355C4C" w:rsidRDefault="00355C4C" w:rsidP="00355C4C">
            <w:pPr>
              <w:spacing w:after="0" w:line="240" w:lineRule="auto"/>
              <w:jc w:val="both"/>
              <w:rPr>
                <w:rFonts w:ascii="Times New Roman" w:hAnsi="Times New Roman" w:cs="Times New Roman"/>
                <w:sz w:val="20"/>
                <w:szCs w:val="20"/>
              </w:rPr>
            </w:pPr>
          </w:p>
        </w:tc>
        <w:tc>
          <w:tcPr>
            <w:tcW w:w="0" w:type="auto"/>
            <w:tcBorders>
              <w:top w:val="nil"/>
              <w:bottom w:val="single" w:sz="4" w:space="0" w:color="000000"/>
            </w:tcBorders>
          </w:tcPr>
          <w:p w:rsidR="00355C4C" w:rsidRPr="00355C4C" w:rsidRDefault="00355C4C" w:rsidP="007757FC">
            <w:pPr>
              <w:spacing w:before="60" w:after="60" w:line="240" w:lineRule="auto"/>
              <w:jc w:val="both"/>
              <w:rPr>
                <w:rFonts w:ascii="Times New Roman" w:hAnsi="Times New Roman" w:cs="Times New Roman"/>
                <w:sz w:val="20"/>
                <w:szCs w:val="20"/>
              </w:rPr>
            </w:pPr>
            <w:r w:rsidRPr="00355C4C">
              <w:rPr>
                <w:rFonts w:ascii="Times New Roman" w:hAnsi="Times New Roman" w:cs="Times New Roman"/>
                <w:sz w:val="20"/>
                <w:szCs w:val="20"/>
              </w:rPr>
              <w:t>3</w:t>
            </w:r>
          </w:p>
        </w:tc>
        <w:tc>
          <w:tcPr>
            <w:tcW w:w="0" w:type="auto"/>
            <w:tcBorders>
              <w:top w:val="nil"/>
              <w:bottom w:val="single" w:sz="4" w:space="0" w:color="000000"/>
            </w:tcBorders>
          </w:tcPr>
          <w:p w:rsidR="00355C4C" w:rsidRPr="00355C4C" w:rsidRDefault="00355C4C" w:rsidP="00D00408">
            <w:pPr>
              <w:spacing w:before="60" w:after="0" w:line="240" w:lineRule="auto"/>
              <w:jc w:val="center"/>
              <w:rPr>
                <w:rFonts w:ascii="Times New Roman" w:hAnsi="Times New Roman" w:cs="Times New Roman"/>
                <w:sz w:val="20"/>
                <w:szCs w:val="20"/>
              </w:rPr>
            </w:pPr>
            <w:r w:rsidRPr="00355C4C">
              <w:rPr>
                <w:rFonts w:ascii="Times New Roman" w:hAnsi="Times New Roman" w:cs="Times New Roman"/>
                <w:sz w:val="20"/>
                <w:szCs w:val="20"/>
              </w:rPr>
              <w:t>0.1027</w:t>
            </w:r>
          </w:p>
        </w:tc>
        <w:tc>
          <w:tcPr>
            <w:tcW w:w="0" w:type="auto"/>
            <w:tcBorders>
              <w:top w:val="nil"/>
              <w:bottom w:val="single" w:sz="4" w:space="0" w:color="000000"/>
            </w:tcBorders>
          </w:tcPr>
          <w:p w:rsidR="00355C4C" w:rsidRPr="00355C4C" w:rsidRDefault="00355C4C" w:rsidP="00D00408">
            <w:pPr>
              <w:spacing w:before="60" w:after="0" w:line="240" w:lineRule="auto"/>
              <w:jc w:val="center"/>
              <w:rPr>
                <w:rFonts w:ascii="Times New Roman" w:hAnsi="Times New Roman" w:cs="Times New Roman"/>
                <w:sz w:val="20"/>
                <w:szCs w:val="20"/>
              </w:rPr>
            </w:pPr>
            <w:r w:rsidRPr="00355C4C">
              <w:rPr>
                <w:rFonts w:ascii="Times New Roman" w:hAnsi="Times New Roman" w:cs="Times New Roman"/>
                <w:sz w:val="20"/>
                <w:szCs w:val="20"/>
              </w:rPr>
              <w:t>0.0636</w:t>
            </w:r>
          </w:p>
        </w:tc>
        <w:tc>
          <w:tcPr>
            <w:tcW w:w="0" w:type="auto"/>
            <w:tcBorders>
              <w:top w:val="nil"/>
              <w:bottom w:val="single" w:sz="4" w:space="0" w:color="000000"/>
            </w:tcBorders>
          </w:tcPr>
          <w:p w:rsidR="00355C4C" w:rsidRPr="00355C4C" w:rsidRDefault="00355C4C" w:rsidP="00D00408">
            <w:pPr>
              <w:spacing w:before="60" w:after="0" w:line="240" w:lineRule="auto"/>
              <w:jc w:val="center"/>
              <w:rPr>
                <w:rFonts w:ascii="Times New Roman" w:hAnsi="Times New Roman" w:cs="Times New Roman"/>
                <w:sz w:val="20"/>
                <w:szCs w:val="20"/>
              </w:rPr>
            </w:pPr>
            <w:r w:rsidRPr="00355C4C">
              <w:rPr>
                <w:rFonts w:ascii="Times New Roman" w:hAnsi="Times New Roman" w:cs="Times New Roman"/>
                <w:sz w:val="20"/>
                <w:szCs w:val="20"/>
              </w:rPr>
              <w:t>76.74</w:t>
            </w:r>
          </w:p>
        </w:tc>
        <w:tc>
          <w:tcPr>
            <w:tcW w:w="0" w:type="auto"/>
            <w:vMerge/>
            <w:tcBorders>
              <w:bottom w:val="single" w:sz="4" w:space="0" w:color="000000"/>
            </w:tcBorders>
            <w:vAlign w:val="center"/>
          </w:tcPr>
          <w:p w:rsidR="00355C4C" w:rsidRPr="00355C4C" w:rsidRDefault="00355C4C" w:rsidP="00D00408">
            <w:pPr>
              <w:spacing w:after="0" w:line="240" w:lineRule="auto"/>
              <w:jc w:val="center"/>
              <w:rPr>
                <w:rFonts w:ascii="Times New Roman" w:hAnsi="Times New Roman" w:cs="Times New Roman"/>
                <w:sz w:val="20"/>
                <w:szCs w:val="20"/>
              </w:rPr>
            </w:pPr>
          </w:p>
        </w:tc>
      </w:tr>
    </w:tbl>
    <w:p w:rsidR="00355C4C" w:rsidRPr="007757FC" w:rsidRDefault="00355C4C" w:rsidP="007757FC">
      <w:pPr>
        <w:spacing w:before="60" w:after="0" w:line="240" w:lineRule="auto"/>
        <w:jc w:val="both"/>
        <w:rPr>
          <w:rFonts w:ascii="Times New Roman" w:hAnsi="Times New Roman"/>
          <w:sz w:val="18"/>
          <w:szCs w:val="18"/>
        </w:rPr>
      </w:pPr>
      <w:r w:rsidRPr="007757FC">
        <w:rPr>
          <w:rFonts w:ascii="Times New Roman" w:hAnsi="Times New Roman"/>
          <w:sz w:val="18"/>
          <w:szCs w:val="18"/>
        </w:rPr>
        <w:tab/>
      </w:r>
      <w:r w:rsidR="007757FC">
        <w:rPr>
          <w:rFonts w:ascii="Times New Roman" w:hAnsi="Times New Roman"/>
          <w:sz w:val="18"/>
          <w:szCs w:val="18"/>
        </w:rPr>
        <w:t xml:space="preserve"> </w:t>
      </w:r>
      <w:r w:rsidRPr="007757FC">
        <w:rPr>
          <w:rFonts w:ascii="Times New Roman" w:hAnsi="Times New Roman"/>
          <w:sz w:val="18"/>
          <w:szCs w:val="18"/>
        </w:rPr>
        <w:t>* at 95% confidence level</w:t>
      </w:r>
    </w:p>
    <w:p w:rsidR="006768E9" w:rsidRDefault="006768E9" w:rsidP="00355C4C">
      <w:pPr>
        <w:spacing w:after="0" w:line="240" w:lineRule="auto"/>
        <w:jc w:val="center"/>
        <w:rPr>
          <w:rFonts w:ascii="Times New Roman" w:hAnsi="Times New Roman"/>
          <w:noProof/>
          <w:sz w:val="20"/>
          <w:szCs w:val="20"/>
          <w:lang w:bidi="ar-SA"/>
        </w:rPr>
      </w:pPr>
    </w:p>
    <w:p w:rsidR="007757FC" w:rsidRPr="00F447A7" w:rsidRDefault="007757FC" w:rsidP="00355C4C">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7757FC" w:rsidRPr="00386CC4" w:rsidRDefault="007757FC" w:rsidP="007757FC">
      <w:pPr>
        <w:spacing w:after="0" w:line="240" w:lineRule="auto"/>
        <w:jc w:val="both"/>
        <w:rPr>
          <w:rFonts w:ascii="Times New Roman" w:hAnsi="Times New Roman"/>
          <w:sz w:val="20"/>
          <w:szCs w:val="20"/>
        </w:rPr>
      </w:pPr>
      <w:r w:rsidRPr="00386CC4">
        <w:rPr>
          <w:rFonts w:ascii="Times New Roman" w:hAnsi="Times New Roman"/>
          <w:sz w:val="20"/>
          <w:szCs w:val="20"/>
        </w:rPr>
        <w:t>The calcium content of the binder fractions in the historic lime mortar samples were determined quantitatively using EDTA and KMnO</w:t>
      </w:r>
      <w:r w:rsidRPr="00386CC4">
        <w:rPr>
          <w:rFonts w:ascii="Times New Roman" w:hAnsi="Times New Roman"/>
          <w:sz w:val="20"/>
          <w:szCs w:val="20"/>
          <w:vertAlign w:val="subscript"/>
        </w:rPr>
        <w:t>4</w:t>
      </w:r>
      <w:r w:rsidRPr="00386CC4">
        <w:rPr>
          <w:rFonts w:ascii="Times New Roman" w:hAnsi="Times New Roman"/>
          <w:sz w:val="20"/>
          <w:szCs w:val="20"/>
        </w:rPr>
        <w:t xml:space="preserve"> titration. This serves as a very useful baseline information for future renovation work of historic structures in the Philippines. Lime mortars are not manufactured the same since the two church ruins in this study have no direct relation with each other and are geographically apart. Both EDTA and KMnO</w:t>
      </w:r>
      <w:r w:rsidRPr="00386CC4">
        <w:rPr>
          <w:rFonts w:ascii="Times New Roman" w:hAnsi="Times New Roman"/>
          <w:sz w:val="20"/>
          <w:szCs w:val="20"/>
          <w:vertAlign w:val="subscript"/>
        </w:rPr>
        <w:t>4</w:t>
      </w:r>
      <w:r w:rsidRPr="00386CC4">
        <w:rPr>
          <w:rFonts w:ascii="Times New Roman" w:hAnsi="Times New Roman"/>
          <w:sz w:val="20"/>
          <w:szCs w:val="20"/>
        </w:rPr>
        <w:t xml:space="preserve"> titration methods yielded comparable results and have high precision based on the statistical tests performed and supported by AAS data in this study. Hence, both titration techniques can be applied for calcium analysis of historic mortars. Furthermore, the approach of analyzing the sieved fractions separately is not common in literature, especially since the analysis of calcium content in this study was focused on the finest fraction (&lt;0.075mm) which makes it unique. This study could be utilized readily for routine analysis of calcium in lime mortars that is simple, reproducible and cost-effective.</w:t>
      </w:r>
    </w:p>
    <w:p w:rsidR="007757FC" w:rsidRPr="00386CC4" w:rsidRDefault="007757FC" w:rsidP="007757FC">
      <w:pPr>
        <w:spacing w:after="0" w:line="240" w:lineRule="auto"/>
        <w:jc w:val="center"/>
        <w:rPr>
          <w:rFonts w:ascii="Times New Roman" w:hAnsi="Times New Roman"/>
          <w:b/>
          <w:sz w:val="20"/>
          <w:szCs w:val="20"/>
        </w:rPr>
      </w:pPr>
    </w:p>
    <w:p w:rsidR="007757FC" w:rsidRPr="007026FA" w:rsidRDefault="007757FC" w:rsidP="007757FC">
      <w:pPr>
        <w:spacing w:after="0" w:line="240" w:lineRule="auto"/>
        <w:jc w:val="center"/>
        <w:rPr>
          <w:rFonts w:ascii="Times New Roman" w:hAnsi="Times New Roman"/>
          <w:b/>
          <w:sz w:val="20"/>
          <w:szCs w:val="20"/>
        </w:rPr>
      </w:pPr>
      <w:r w:rsidRPr="007026FA">
        <w:rPr>
          <w:rFonts w:ascii="Times New Roman" w:hAnsi="Times New Roman"/>
          <w:b/>
          <w:sz w:val="20"/>
          <w:szCs w:val="20"/>
        </w:rPr>
        <w:t>Acknowledgement</w:t>
      </w:r>
    </w:p>
    <w:p w:rsidR="006768E9" w:rsidRPr="00F447A7" w:rsidRDefault="007757FC" w:rsidP="007757FC">
      <w:pPr>
        <w:spacing w:after="0" w:line="240" w:lineRule="auto"/>
        <w:jc w:val="both"/>
        <w:rPr>
          <w:rFonts w:ascii="Times New Roman" w:hAnsi="Times New Roman"/>
          <w:sz w:val="20"/>
          <w:szCs w:val="20"/>
        </w:rPr>
      </w:pPr>
      <w:r w:rsidRPr="007026FA">
        <w:rPr>
          <w:rFonts w:ascii="Times New Roman" w:hAnsi="Times New Roman"/>
          <w:sz w:val="20"/>
          <w:szCs w:val="20"/>
        </w:rPr>
        <w:t>The authors would like to convey their sincere gratitude to the Chemistry Department of the De La Salle University, Manila for the generous support in equipment use and for subsidizing the chemical reagents in this study. The helpful insights and assistance of the following persons are highly appreciated: Dr. Glenn Alea, Mr. Michael Ajero and Dr. Maria Carmen Tan</w:t>
      </w:r>
      <w:r>
        <w:rPr>
          <w:rFonts w:ascii="Times New Roman" w:hAnsi="Times New Roman"/>
          <w:sz w:val="20"/>
          <w:szCs w:val="20"/>
        </w:rPr>
        <w:t xml:space="preserve">. </w:t>
      </w:r>
      <w:r w:rsidRPr="007026FA">
        <w:rPr>
          <w:rFonts w:ascii="Times New Roman" w:hAnsi="Times New Roman"/>
          <w:sz w:val="20"/>
          <w:szCs w:val="20"/>
        </w:rPr>
        <w:t>The authors would also like to ack</w:t>
      </w:r>
      <w:r>
        <w:rPr>
          <w:rFonts w:ascii="Times New Roman" w:hAnsi="Times New Roman"/>
          <w:sz w:val="20"/>
          <w:szCs w:val="20"/>
        </w:rPr>
        <w:t>nowledge M</w:t>
      </w:r>
      <w:r w:rsidRPr="007026FA">
        <w:rPr>
          <w:rFonts w:ascii="Times New Roman" w:hAnsi="Times New Roman"/>
          <w:sz w:val="20"/>
          <w:szCs w:val="20"/>
        </w:rPr>
        <w:t>s</w:t>
      </w:r>
      <w:r>
        <w:rPr>
          <w:rFonts w:ascii="Times New Roman" w:hAnsi="Times New Roman"/>
          <w:sz w:val="20"/>
          <w:szCs w:val="20"/>
        </w:rPr>
        <w:t>.</w:t>
      </w:r>
      <w:r w:rsidRPr="007026FA">
        <w:rPr>
          <w:rFonts w:ascii="Times New Roman" w:hAnsi="Times New Roman"/>
          <w:sz w:val="20"/>
          <w:szCs w:val="20"/>
        </w:rPr>
        <w:t xml:space="preserve"> Mutya N. Reynancia, English Program Coordinator and Advanced English Proficiency Training Coordinator of the General Education Department of the Far Eastern University Diliman, Quezon City for her expertise in editing this article.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386CC4">
        <w:rPr>
          <w:rFonts w:ascii="Times New Roman" w:hAnsi="Times New Roman"/>
          <w:sz w:val="20"/>
          <w:szCs w:val="20"/>
        </w:rPr>
        <w:t>Jose, Jr., R.</w:t>
      </w:r>
      <w:r>
        <w:rPr>
          <w:rFonts w:ascii="Times New Roman" w:hAnsi="Times New Roman"/>
          <w:sz w:val="20"/>
          <w:szCs w:val="20"/>
        </w:rPr>
        <w:t xml:space="preserve"> </w:t>
      </w:r>
      <w:r w:rsidRPr="00386CC4">
        <w:rPr>
          <w:rFonts w:ascii="Times New Roman" w:hAnsi="Times New Roman"/>
          <w:sz w:val="20"/>
          <w:szCs w:val="20"/>
        </w:rPr>
        <w:t xml:space="preserve">T. (2003). </w:t>
      </w:r>
      <w:r w:rsidRPr="00386CC4">
        <w:rPr>
          <w:rFonts w:ascii="Times New Roman" w:hAnsi="Times New Roman"/>
          <w:i/>
          <w:sz w:val="20"/>
          <w:szCs w:val="20"/>
        </w:rPr>
        <w:t>Palitada</w:t>
      </w:r>
      <w:r>
        <w:rPr>
          <w:rFonts w:ascii="Times New Roman" w:hAnsi="Times New Roman"/>
          <w:sz w:val="20"/>
          <w:szCs w:val="20"/>
        </w:rPr>
        <w:t>: Skin of the c</w:t>
      </w:r>
      <w:r w:rsidRPr="00386CC4">
        <w:rPr>
          <w:rFonts w:ascii="Times New Roman" w:hAnsi="Times New Roman"/>
          <w:sz w:val="20"/>
          <w:szCs w:val="20"/>
        </w:rPr>
        <w:t>hurch. In: Zero In: Skin surface essence. Ateneo Art Gallery, Ayala Foundation, Inc., Eugenio Lopez Foundation, Inc., and Museum Pambata Foundation, Inc.: pp. 27</w:t>
      </w:r>
      <w:r>
        <w:rPr>
          <w:rFonts w:ascii="Times New Roman" w:hAnsi="Times New Roman"/>
          <w:sz w:val="20"/>
          <w:szCs w:val="20"/>
        </w:rPr>
        <w:t xml:space="preserve"> –</w:t>
      </w:r>
      <w:r w:rsidRPr="00913252">
        <w:rPr>
          <w:rFonts w:ascii="Times New Roman" w:hAnsi="Times New Roman"/>
          <w:sz w:val="20"/>
          <w:szCs w:val="20"/>
        </w:rPr>
        <w:t xml:space="preserve">28. </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lang w:val="es-ES"/>
        </w:rPr>
        <w:t xml:space="preserve">Elert, K., Rodriguez-Navarro, C., Sebastian Pardo, E., Hansen, E. and Cazallo, O. (2002). </w:t>
      </w:r>
      <w:r w:rsidRPr="00913252">
        <w:rPr>
          <w:rFonts w:ascii="Times New Roman" w:hAnsi="Times New Roman"/>
          <w:sz w:val="20"/>
          <w:szCs w:val="20"/>
        </w:rPr>
        <w:t xml:space="preserve">Lime mortars for the conservation of historic buildings. </w:t>
      </w:r>
      <w:r w:rsidRPr="00913252">
        <w:rPr>
          <w:rFonts w:ascii="Times New Roman" w:hAnsi="Times New Roman"/>
          <w:i/>
          <w:sz w:val="20"/>
          <w:szCs w:val="20"/>
        </w:rPr>
        <w:t>Studies in Conservation</w:t>
      </w:r>
      <w:r w:rsidRPr="00913252">
        <w:rPr>
          <w:rFonts w:ascii="Times New Roman" w:hAnsi="Times New Roman"/>
          <w:sz w:val="20"/>
          <w:szCs w:val="20"/>
        </w:rPr>
        <w:t>, 47: 62 – 75.</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rPr>
        <w:t xml:space="preserve">Moropoulou, A., Bakolas, A. and Aggelakopoulou, E. (2000). The effects of limestone characteristics and calcinations temperature to the reactivity of the quicklime. </w:t>
      </w:r>
      <w:r w:rsidRPr="00913252">
        <w:rPr>
          <w:rFonts w:ascii="Times New Roman" w:hAnsi="Times New Roman"/>
          <w:i/>
          <w:sz w:val="20"/>
          <w:szCs w:val="20"/>
        </w:rPr>
        <w:t>Cement and Concrete Research,</w:t>
      </w:r>
      <w:r w:rsidRPr="00913252">
        <w:rPr>
          <w:rFonts w:ascii="Times New Roman" w:hAnsi="Times New Roman"/>
          <w:sz w:val="20"/>
          <w:szCs w:val="20"/>
        </w:rPr>
        <w:t xml:space="preserve"> 31:</w:t>
      </w:r>
      <w:r>
        <w:rPr>
          <w:rFonts w:ascii="Times New Roman" w:hAnsi="Times New Roman"/>
          <w:sz w:val="20"/>
          <w:szCs w:val="20"/>
        </w:rPr>
        <w:t xml:space="preserve"> </w:t>
      </w:r>
      <w:r w:rsidRPr="00913252">
        <w:rPr>
          <w:rFonts w:ascii="Times New Roman" w:hAnsi="Times New Roman"/>
          <w:sz w:val="20"/>
          <w:szCs w:val="20"/>
        </w:rPr>
        <w:t>633</w:t>
      </w:r>
      <w:r>
        <w:rPr>
          <w:rFonts w:ascii="Times New Roman" w:hAnsi="Times New Roman"/>
          <w:sz w:val="20"/>
          <w:szCs w:val="20"/>
        </w:rPr>
        <w:t xml:space="preserve"> – </w:t>
      </w:r>
      <w:r w:rsidRPr="00913252">
        <w:rPr>
          <w:rFonts w:ascii="Times New Roman" w:hAnsi="Times New Roman"/>
          <w:sz w:val="20"/>
          <w:szCs w:val="20"/>
        </w:rPr>
        <w:t>639.</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rPr>
        <w:t>Neri, L.</w:t>
      </w:r>
      <w:r>
        <w:rPr>
          <w:rFonts w:ascii="Times New Roman" w:hAnsi="Times New Roman"/>
          <w:sz w:val="20"/>
          <w:szCs w:val="20"/>
        </w:rPr>
        <w:t xml:space="preserve"> </w:t>
      </w:r>
      <w:r w:rsidRPr="00913252">
        <w:rPr>
          <w:rFonts w:ascii="Times New Roman" w:hAnsi="Times New Roman"/>
          <w:sz w:val="20"/>
          <w:szCs w:val="20"/>
        </w:rPr>
        <w:t xml:space="preserve">M. (2011). A report on the archaeological survey along the coastal area of Misamis Oriental, Philippines. </w:t>
      </w:r>
      <w:r w:rsidRPr="00913252">
        <w:rPr>
          <w:rFonts w:ascii="Times New Roman" w:hAnsi="Times New Roman"/>
          <w:i/>
          <w:sz w:val="20"/>
          <w:szCs w:val="20"/>
        </w:rPr>
        <w:t>Hukay (Journal for Archaeological Research in Asia and the Pacific),</w:t>
      </w:r>
      <w:r w:rsidRPr="00913252">
        <w:rPr>
          <w:rFonts w:ascii="Times New Roman" w:hAnsi="Times New Roman"/>
          <w:sz w:val="20"/>
          <w:szCs w:val="20"/>
        </w:rPr>
        <w:t xml:space="preserve"> 16:</w:t>
      </w:r>
      <w:r>
        <w:rPr>
          <w:rFonts w:ascii="Times New Roman" w:hAnsi="Times New Roman"/>
          <w:sz w:val="20"/>
          <w:szCs w:val="20"/>
        </w:rPr>
        <w:t xml:space="preserve"> </w:t>
      </w:r>
      <w:r w:rsidRPr="00913252">
        <w:rPr>
          <w:rFonts w:ascii="Times New Roman" w:hAnsi="Times New Roman"/>
          <w:sz w:val="20"/>
          <w:szCs w:val="20"/>
        </w:rPr>
        <w:t>1</w:t>
      </w:r>
      <w:r>
        <w:rPr>
          <w:rFonts w:ascii="Times New Roman" w:hAnsi="Times New Roman"/>
          <w:sz w:val="20"/>
          <w:szCs w:val="20"/>
        </w:rPr>
        <w:t xml:space="preserve"> – </w:t>
      </w:r>
      <w:r w:rsidRPr="00913252">
        <w:rPr>
          <w:rFonts w:ascii="Times New Roman" w:hAnsi="Times New Roman"/>
          <w:sz w:val="20"/>
          <w:szCs w:val="20"/>
        </w:rPr>
        <w:t>27.</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lang w:val="es-ES"/>
        </w:rPr>
        <w:t>Javellana, S. J</w:t>
      </w:r>
      <w:r>
        <w:rPr>
          <w:rFonts w:ascii="Times New Roman" w:hAnsi="Times New Roman"/>
          <w:sz w:val="20"/>
          <w:szCs w:val="20"/>
          <w:lang w:val="es-ES"/>
        </w:rPr>
        <w:t xml:space="preserve">. </w:t>
      </w:r>
      <w:r w:rsidRPr="00913252">
        <w:rPr>
          <w:rFonts w:ascii="Times New Roman" w:hAnsi="Times New Roman"/>
          <w:sz w:val="20"/>
          <w:szCs w:val="20"/>
          <w:lang w:val="es-ES"/>
        </w:rPr>
        <w:t>R.</w:t>
      </w:r>
      <w:r>
        <w:rPr>
          <w:rFonts w:ascii="Times New Roman" w:hAnsi="Times New Roman"/>
          <w:sz w:val="20"/>
          <w:szCs w:val="20"/>
          <w:lang w:val="es-ES"/>
        </w:rPr>
        <w:t xml:space="preserve"> </w:t>
      </w:r>
      <w:r w:rsidRPr="00913252">
        <w:rPr>
          <w:rFonts w:ascii="Times New Roman" w:hAnsi="Times New Roman"/>
          <w:sz w:val="20"/>
          <w:szCs w:val="20"/>
          <w:lang w:val="es-ES"/>
        </w:rPr>
        <w:t xml:space="preserve">B. (2010). </w:t>
      </w:r>
      <w:r>
        <w:rPr>
          <w:rFonts w:ascii="Times New Roman" w:hAnsi="Times New Roman"/>
          <w:sz w:val="20"/>
          <w:szCs w:val="20"/>
        </w:rPr>
        <w:t>La Casa de Dios, The l</w:t>
      </w:r>
      <w:r w:rsidRPr="00913252">
        <w:rPr>
          <w:rFonts w:ascii="Times New Roman" w:hAnsi="Times New Roman"/>
          <w:sz w:val="20"/>
          <w:szCs w:val="20"/>
        </w:rPr>
        <w:t>egacy of Filipino-Hispanic churches in the Philippines. Pasig: Ortigas Foundation, Inc.: pp. 184</w:t>
      </w:r>
      <w:r>
        <w:rPr>
          <w:rFonts w:ascii="Times New Roman" w:hAnsi="Times New Roman"/>
          <w:sz w:val="20"/>
          <w:szCs w:val="20"/>
        </w:rPr>
        <w:t xml:space="preserve"> – </w:t>
      </w:r>
      <w:r w:rsidRPr="00913252">
        <w:rPr>
          <w:rFonts w:ascii="Times New Roman" w:hAnsi="Times New Roman"/>
          <w:sz w:val="20"/>
          <w:szCs w:val="20"/>
        </w:rPr>
        <w:t>187.</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Style w:val="hlfld-title"/>
          <w:rFonts w:ascii="Times New Roman" w:hAnsi="Times New Roman"/>
          <w:sz w:val="20"/>
          <w:szCs w:val="20"/>
        </w:rPr>
        <w:lastRenderedPageBreak/>
        <w:t>Cheng, K.</w:t>
      </w:r>
      <w:r>
        <w:rPr>
          <w:rStyle w:val="hlfld-title"/>
          <w:rFonts w:ascii="Times New Roman" w:hAnsi="Times New Roman"/>
          <w:sz w:val="20"/>
          <w:szCs w:val="20"/>
        </w:rPr>
        <w:t xml:space="preserve"> </w:t>
      </w:r>
      <w:r w:rsidRPr="00913252">
        <w:rPr>
          <w:rStyle w:val="hlfld-title"/>
          <w:rFonts w:ascii="Times New Roman" w:hAnsi="Times New Roman"/>
          <w:sz w:val="20"/>
          <w:szCs w:val="20"/>
        </w:rPr>
        <w:t>L., Kurtz, T. and Bray, R.</w:t>
      </w:r>
      <w:r>
        <w:rPr>
          <w:rStyle w:val="hlfld-title"/>
          <w:rFonts w:ascii="Times New Roman" w:hAnsi="Times New Roman"/>
          <w:sz w:val="20"/>
          <w:szCs w:val="20"/>
        </w:rPr>
        <w:t xml:space="preserve"> </w:t>
      </w:r>
      <w:r w:rsidRPr="00913252">
        <w:rPr>
          <w:rStyle w:val="hlfld-title"/>
          <w:rFonts w:ascii="Times New Roman" w:hAnsi="Times New Roman"/>
          <w:sz w:val="20"/>
          <w:szCs w:val="20"/>
        </w:rPr>
        <w:t>H. (1952). Determination of calcium, magnesium, and iron in limestone.</w:t>
      </w:r>
      <w:r w:rsidRPr="00913252">
        <w:rPr>
          <w:rFonts w:ascii="Times New Roman" w:hAnsi="Times New Roman"/>
          <w:sz w:val="20"/>
          <w:szCs w:val="20"/>
        </w:rPr>
        <w:t xml:space="preserve"> </w:t>
      </w:r>
      <w:r w:rsidRPr="00913252">
        <w:rPr>
          <w:rStyle w:val="HTMLCite"/>
          <w:rFonts w:ascii="Times New Roman" w:hAnsi="Times New Roman"/>
          <w:sz w:val="20"/>
          <w:szCs w:val="20"/>
        </w:rPr>
        <w:t>Analytical Chemistry</w:t>
      </w:r>
      <w:r w:rsidRPr="00913252">
        <w:rPr>
          <w:rFonts w:ascii="Times New Roman" w:hAnsi="Times New Roman"/>
          <w:sz w:val="20"/>
          <w:szCs w:val="20"/>
        </w:rPr>
        <w:t>,</w:t>
      </w:r>
      <w:r w:rsidRPr="00913252">
        <w:rPr>
          <w:rStyle w:val="apple-converted-space"/>
          <w:rFonts w:ascii="Times New Roman" w:hAnsi="Times New Roman"/>
          <w:sz w:val="20"/>
          <w:szCs w:val="20"/>
        </w:rPr>
        <w:t xml:space="preserve"> </w:t>
      </w:r>
      <w:r w:rsidRPr="00913252">
        <w:rPr>
          <w:rStyle w:val="citationvolume"/>
          <w:rFonts w:ascii="Times New Roman" w:hAnsi="Times New Roman"/>
          <w:iCs/>
          <w:sz w:val="20"/>
          <w:szCs w:val="20"/>
        </w:rPr>
        <w:t>24</w:t>
      </w:r>
      <w:r w:rsidRPr="00913252">
        <w:rPr>
          <w:rFonts w:ascii="Times New Roman" w:hAnsi="Times New Roman"/>
          <w:sz w:val="20"/>
          <w:szCs w:val="20"/>
        </w:rPr>
        <w:t>(10):1640</w:t>
      </w:r>
      <w:r>
        <w:rPr>
          <w:rFonts w:ascii="Times New Roman" w:hAnsi="Times New Roman"/>
          <w:sz w:val="20"/>
          <w:szCs w:val="20"/>
        </w:rPr>
        <w:t xml:space="preserve"> </w:t>
      </w:r>
      <w:r w:rsidRPr="00913252">
        <w:rPr>
          <w:rFonts w:ascii="Times New Roman" w:hAnsi="Times New Roman"/>
          <w:sz w:val="20"/>
          <w:szCs w:val="20"/>
        </w:rPr>
        <w:t>–</w:t>
      </w:r>
      <w:r>
        <w:rPr>
          <w:rFonts w:ascii="Times New Roman" w:hAnsi="Times New Roman"/>
          <w:sz w:val="20"/>
          <w:szCs w:val="20"/>
        </w:rPr>
        <w:t xml:space="preserve"> </w:t>
      </w:r>
      <w:r w:rsidRPr="00913252">
        <w:rPr>
          <w:rFonts w:ascii="Times New Roman" w:hAnsi="Times New Roman"/>
          <w:sz w:val="20"/>
          <w:szCs w:val="20"/>
        </w:rPr>
        <w:t>1641.</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rPr>
        <w:t>Skoog, D.</w:t>
      </w:r>
      <w:r>
        <w:rPr>
          <w:rFonts w:ascii="Times New Roman" w:hAnsi="Times New Roman"/>
          <w:sz w:val="20"/>
          <w:szCs w:val="20"/>
        </w:rPr>
        <w:t xml:space="preserve"> </w:t>
      </w:r>
      <w:r w:rsidRPr="00913252">
        <w:rPr>
          <w:rFonts w:ascii="Times New Roman" w:hAnsi="Times New Roman"/>
          <w:sz w:val="20"/>
          <w:szCs w:val="20"/>
        </w:rPr>
        <w:t>A., West, D.</w:t>
      </w:r>
      <w:r>
        <w:rPr>
          <w:rFonts w:ascii="Times New Roman" w:hAnsi="Times New Roman"/>
          <w:sz w:val="20"/>
          <w:szCs w:val="20"/>
        </w:rPr>
        <w:t xml:space="preserve"> </w:t>
      </w:r>
      <w:r w:rsidRPr="00913252">
        <w:rPr>
          <w:rFonts w:ascii="Times New Roman" w:hAnsi="Times New Roman"/>
          <w:sz w:val="20"/>
          <w:szCs w:val="20"/>
        </w:rPr>
        <w:t>M., Holler, F.</w:t>
      </w:r>
      <w:r>
        <w:rPr>
          <w:rFonts w:ascii="Times New Roman" w:hAnsi="Times New Roman"/>
          <w:sz w:val="20"/>
          <w:szCs w:val="20"/>
        </w:rPr>
        <w:t xml:space="preserve"> </w:t>
      </w:r>
      <w:r w:rsidRPr="00913252">
        <w:rPr>
          <w:rFonts w:ascii="Times New Roman" w:hAnsi="Times New Roman"/>
          <w:sz w:val="20"/>
          <w:szCs w:val="20"/>
        </w:rPr>
        <w:t>J. and Crouch, S.</w:t>
      </w:r>
      <w:r>
        <w:rPr>
          <w:rFonts w:ascii="Times New Roman" w:hAnsi="Times New Roman"/>
          <w:sz w:val="20"/>
          <w:szCs w:val="20"/>
        </w:rPr>
        <w:t xml:space="preserve"> </w:t>
      </w:r>
      <w:r w:rsidRPr="00913252">
        <w:rPr>
          <w:rFonts w:ascii="Times New Roman" w:hAnsi="Times New Roman"/>
          <w:sz w:val="20"/>
          <w:szCs w:val="20"/>
        </w:rPr>
        <w:t>R. (2013). Fundamentals of analytical chemistry, 9</w:t>
      </w:r>
      <w:r w:rsidRPr="00913252">
        <w:rPr>
          <w:rFonts w:ascii="Times New Roman" w:hAnsi="Times New Roman"/>
          <w:sz w:val="20"/>
          <w:szCs w:val="20"/>
          <w:vertAlign w:val="superscript"/>
        </w:rPr>
        <w:t>th</w:t>
      </w:r>
      <w:r w:rsidRPr="00913252">
        <w:rPr>
          <w:rFonts w:ascii="Times New Roman" w:hAnsi="Times New Roman"/>
          <w:sz w:val="20"/>
          <w:szCs w:val="20"/>
        </w:rPr>
        <w:t xml:space="preserve"> Ed. Brooks/Cole, Cengage Learning: pp. 991</w:t>
      </w:r>
      <w:r>
        <w:rPr>
          <w:rFonts w:ascii="Times New Roman" w:hAnsi="Times New Roman"/>
          <w:sz w:val="20"/>
          <w:szCs w:val="20"/>
        </w:rPr>
        <w:t xml:space="preserve"> – </w:t>
      </w:r>
      <w:r w:rsidRPr="00913252">
        <w:rPr>
          <w:rFonts w:ascii="Times New Roman" w:hAnsi="Times New Roman"/>
          <w:sz w:val="20"/>
          <w:szCs w:val="20"/>
        </w:rPr>
        <w:t>994.</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rPr>
        <w:t>Page, J.</w:t>
      </w:r>
      <w:r>
        <w:rPr>
          <w:rFonts w:ascii="Times New Roman" w:hAnsi="Times New Roman"/>
          <w:sz w:val="20"/>
          <w:szCs w:val="20"/>
        </w:rPr>
        <w:t xml:space="preserve"> </w:t>
      </w:r>
      <w:r w:rsidRPr="00913252">
        <w:rPr>
          <w:rFonts w:ascii="Times New Roman" w:hAnsi="Times New Roman"/>
          <w:sz w:val="20"/>
          <w:szCs w:val="20"/>
        </w:rPr>
        <w:t xml:space="preserve">O. (1968). Compleximetric determination of calcium in impure calcium carbonate and limestone. </w:t>
      </w:r>
      <w:r w:rsidRPr="00913252">
        <w:rPr>
          <w:rFonts w:ascii="Times New Roman" w:hAnsi="Times New Roman"/>
          <w:i/>
          <w:sz w:val="20"/>
          <w:szCs w:val="20"/>
        </w:rPr>
        <w:t>Analytica Chimica Acta,</w:t>
      </w:r>
      <w:r w:rsidRPr="00913252">
        <w:rPr>
          <w:rFonts w:ascii="Times New Roman" w:hAnsi="Times New Roman"/>
          <w:sz w:val="20"/>
          <w:szCs w:val="20"/>
        </w:rPr>
        <w:t xml:space="preserve"> 42:</w:t>
      </w:r>
      <w:r>
        <w:rPr>
          <w:rFonts w:ascii="Times New Roman" w:hAnsi="Times New Roman"/>
          <w:sz w:val="20"/>
          <w:szCs w:val="20"/>
        </w:rPr>
        <w:t xml:space="preserve"> </w:t>
      </w:r>
      <w:r w:rsidRPr="00913252">
        <w:rPr>
          <w:rFonts w:ascii="Times New Roman" w:hAnsi="Times New Roman"/>
          <w:sz w:val="20"/>
          <w:szCs w:val="20"/>
        </w:rPr>
        <w:t>233</w:t>
      </w:r>
      <w:r>
        <w:rPr>
          <w:rFonts w:ascii="Times New Roman" w:hAnsi="Times New Roman"/>
          <w:sz w:val="20"/>
          <w:szCs w:val="20"/>
        </w:rPr>
        <w:t xml:space="preserve"> – </w:t>
      </w:r>
      <w:r w:rsidRPr="00913252">
        <w:rPr>
          <w:rFonts w:ascii="Times New Roman" w:hAnsi="Times New Roman"/>
          <w:sz w:val="20"/>
          <w:szCs w:val="20"/>
        </w:rPr>
        <w:t>238.</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rPr>
        <w:t>Malmstadt, H.</w:t>
      </w:r>
      <w:r>
        <w:rPr>
          <w:rFonts w:ascii="Times New Roman" w:hAnsi="Times New Roman"/>
          <w:sz w:val="20"/>
          <w:szCs w:val="20"/>
        </w:rPr>
        <w:t xml:space="preserve"> </w:t>
      </w:r>
      <w:r w:rsidRPr="00913252">
        <w:rPr>
          <w:rFonts w:ascii="Times New Roman" w:hAnsi="Times New Roman"/>
          <w:sz w:val="20"/>
          <w:szCs w:val="20"/>
        </w:rPr>
        <w:t>V. and Hadjiioannou, T.</w:t>
      </w:r>
      <w:r>
        <w:rPr>
          <w:rFonts w:ascii="Times New Roman" w:hAnsi="Times New Roman"/>
          <w:sz w:val="20"/>
          <w:szCs w:val="20"/>
        </w:rPr>
        <w:t xml:space="preserve"> </w:t>
      </w:r>
      <w:r w:rsidRPr="00913252">
        <w:rPr>
          <w:rFonts w:ascii="Times New Roman" w:hAnsi="Times New Roman"/>
          <w:sz w:val="20"/>
          <w:szCs w:val="20"/>
        </w:rPr>
        <w:t xml:space="preserve">P. (1958). Rapid and accurate automatic titration of calcium and magnesium in dolomites and limestones use of EDTA titran and automatic derivative spectrophotometric end-point termination. </w:t>
      </w:r>
      <w:r w:rsidRPr="00913252">
        <w:rPr>
          <w:rFonts w:ascii="Times New Roman" w:hAnsi="Times New Roman"/>
          <w:i/>
          <w:sz w:val="20"/>
          <w:szCs w:val="20"/>
        </w:rPr>
        <w:t>Analytica Chimica Acta</w:t>
      </w:r>
      <w:r w:rsidRPr="00913252">
        <w:rPr>
          <w:rFonts w:ascii="Times New Roman" w:hAnsi="Times New Roman"/>
          <w:sz w:val="20"/>
          <w:szCs w:val="20"/>
        </w:rPr>
        <w:t>, 19:</w:t>
      </w:r>
      <w:r>
        <w:rPr>
          <w:rFonts w:ascii="Times New Roman" w:hAnsi="Times New Roman"/>
          <w:sz w:val="20"/>
          <w:szCs w:val="20"/>
        </w:rPr>
        <w:t xml:space="preserve"> </w:t>
      </w:r>
      <w:r w:rsidRPr="00913252">
        <w:rPr>
          <w:rFonts w:ascii="Times New Roman" w:hAnsi="Times New Roman"/>
          <w:sz w:val="20"/>
          <w:szCs w:val="20"/>
        </w:rPr>
        <w:t>563</w:t>
      </w:r>
      <w:r>
        <w:rPr>
          <w:rFonts w:ascii="Times New Roman" w:hAnsi="Times New Roman"/>
          <w:sz w:val="20"/>
          <w:szCs w:val="20"/>
        </w:rPr>
        <w:t xml:space="preserve"> – </w:t>
      </w:r>
      <w:r w:rsidRPr="00913252">
        <w:rPr>
          <w:rFonts w:ascii="Times New Roman" w:hAnsi="Times New Roman"/>
          <w:sz w:val="20"/>
          <w:szCs w:val="20"/>
        </w:rPr>
        <w:t>569.</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rPr>
        <w:t>Rathore, D.</w:t>
      </w:r>
      <w:r>
        <w:rPr>
          <w:rFonts w:ascii="Times New Roman" w:hAnsi="Times New Roman"/>
          <w:sz w:val="20"/>
          <w:szCs w:val="20"/>
        </w:rPr>
        <w:t xml:space="preserve"> </w:t>
      </w:r>
      <w:r w:rsidRPr="00913252">
        <w:rPr>
          <w:rFonts w:ascii="Times New Roman" w:hAnsi="Times New Roman"/>
          <w:sz w:val="20"/>
          <w:szCs w:val="20"/>
        </w:rPr>
        <w:t>P.</w:t>
      </w:r>
      <w:r>
        <w:rPr>
          <w:rFonts w:ascii="Times New Roman" w:hAnsi="Times New Roman"/>
          <w:sz w:val="20"/>
          <w:szCs w:val="20"/>
        </w:rPr>
        <w:t xml:space="preserve"> </w:t>
      </w:r>
      <w:r w:rsidRPr="00913252">
        <w:rPr>
          <w:rFonts w:ascii="Times New Roman" w:hAnsi="Times New Roman"/>
          <w:sz w:val="20"/>
          <w:szCs w:val="20"/>
        </w:rPr>
        <w:t>S.</w:t>
      </w:r>
      <w:r>
        <w:rPr>
          <w:rFonts w:ascii="Times New Roman" w:hAnsi="Times New Roman"/>
          <w:sz w:val="20"/>
          <w:szCs w:val="20"/>
        </w:rPr>
        <w:t>, Kumar, M.</w:t>
      </w:r>
      <w:r w:rsidRPr="00913252">
        <w:rPr>
          <w:rFonts w:ascii="Times New Roman" w:hAnsi="Times New Roman"/>
          <w:sz w:val="20"/>
          <w:szCs w:val="20"/>
        </w:rPr>
        <w:t xml:space="preserve"> and Bhargava, P.</w:t>
      </w:r>
      <w:r>
        <w:rPr>
          <w:rFonts w:ascii="Times New Roman" w:hAnsi="Times New Roman"/>
          <w:sz w:val="20"/>
          <w:szCs w:val="20"/>
        </w:rPr>
        <w:t xml:space="preserve"> </w:t>
      </w:r>
      <w:r w:rsidRPr="00913252">
        <w:rPr>
          <w:rFonts w:ascii="Times New Roman" w:hAnsi="Times New Roman"/>
          <w:sz w:val="20"/>
          <w:szCs w:val="20"/>
        </w:rPr>
        <w:t>K. (1997). Complexometric determination of calcium and magnesium in dolomite, limestone, magnesite, phosphatic and silicate matrices using azochromotropic acid derivative as an indicator.</w:t>
      </w:r>
      <w:r w:rsidRPr="00913252">
        <w:rPr>
          <w:rFonts w:ascii="Times New Roman" w:hAnsi="Times New Roman"/>
          <w:i/>
          <w:sz w:val="20"/>
          <w:szCs w:val="20"/>
        </w:rPr>
        <w:t xml:space="preserve"> Chemia Analityczna (Warsaw)</w:t>
      </w:r>
      <w:r w:rsidRPr="00913252">
        <w:rPr>
          <w:rFonts w:ascii="Times New Roman" w:hAnsi="Times New Roman"/>
          <w:sz w:val="20"/>
          <w:szCs w:val="20"/>
        </w:rPr>
        <w:t>,</w:t>
      </w:r>
      <w:r w:rsidRPr="00913252">
        <w:rPr>
          <w:rStyle w:val="publication-meta-journal"/>
          <w:rFonts w:ascii="Times New Roman" w:hAnsi="Times New Roman"/>
          <w:sz w:val="20"/>
          <w:szCs w:val="20"/>
        </w:rPr>
        <w:t xml:space="preserve"> 42:</w:t>
      </w:r>
      <w:r>
        <w:rPr>
          <w:rStyle w:val="publication-meta-journal"/>
          <w:rFonts w:ascii="Times New Roman" w:hAnsi="Times New Roman"/>
          <w:sz w:val="20"/>
          <w:szCs w:val="20"/>
        </w:rPr>
        <w:t xml:space="preserve"> </w:t>
      </w:r>
      <w:r w:rsidRPr="00913252">
        <w:rPr>
          <w:rStyle w:val="publication-meta-journal"/>
          <w:rFonts w:ascii="Times New Roman" w:hAnsi="Times New Roman"/>
          <w:sz w:val="20"/>
          <w:szCs w:val="20"/>
        </w:rPr>
        <w:t>725</w:t>
      </w:r>
      <w:r>
        <w:rPr>
          <w:rStyle w:val="publication-meta-journal"/>
          <w:rFonts w:ascii="Times New Roman" w:hAnsi="Times New Roman"/>
          <w:sz w:val="20"/>
          <w:szCs w:val="20"/>
        </w:rPr>
        <w:t xml:space="preserve"> – </w:t>
      </w:r>
      <w:r w:rsidRPr="00913252">
        <w:rPr>
          <w:rStyle w:val="publication-meta-journal"/>
          <w:rFonts w:ascii="Times New Roman" w:hAnsi="Times New Roman"/>
          <w:sz w:val="20"/>
          <w:szCs w:val="20"/>
        </w:rPr>
        <w:t>728</w:t>
      </w:r>
      <w:r w:rsidRPr="00913252">
        <w:rPr>
          <w:rFonts w:ascii="Times New Roman" w:hAnsi="Times New Roman"/>
          <w:sz w:val="20"/>
          <w:szCs w:val="20"/>
        </w:rPr>
        <w:t>.</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rPr>
        <w:t>Hadjiioannou, T.</w:t>
      </w:r>
      <w:r>
        <w:rPr>
          <w:rFonts w:ascii="Times New Roman" w:hAnsi="Times New Roman"/>
          <w:sz w:val="20"/>
          <w:szCs w:val="20"/>
        </w:rPr>
        <w:t xml:space="preserve"> </w:t>
      </w:r>
      <w:r w:rsidRPr="00913252">
        <w:rPr>
          <w:rFonts w:ascii="Times New Roman" w:hAnsi="Times New Roman"/>
          <w:sz w:val="20"/>
          <w:szCs w:val="20"/>
        </w:rPr>
        <w:t>P. and Papastathopoulous, D.</w:t>
      </w:r>
      <w:r>
        <w:rPr>
          <w:rFonts w:ascii="Times New Roman" w:hAnsi="Times New Roman"/>
          <w:sz w:val="20"/>
          <w:szCs w:val="20"/>
        </w:rPr>
        <w:t xml:space="preserve"> </w:t>
      </w:r>
      <w:r w:rsidRPr="00913252">
        <w:rPr>
          <w:rFonts w:ascii="Times New Roman" w:hAnsi="Times New Roman"/>
          <w:sz w:val="20"/>
          <w:szCs w:val="20"/>
        </w:rPr>
        <w:t xml:space="preserve">S. (1970). EDTA titration of calcium and magnesium with calcium-selective electrode. </w:t>
      </w:r>
      <w:r w:rsidRPr="00913252">
        <w:rPr>
          <w:rFonts w:ascii="Times New Roman" w:hAnsi="Times New Roman"/>
          <w:i/>
          <w:sz w:val="20"/>
          <w:szCs w:val="20"/>
        </w:rPr>
        <w:t>Talanta</w:t>
      </w:r>
      <w:r w:rsidRPr="00913252">
        <w:rPr>
          <w:rFonts w:ascii="Times New Roman" w:hAnsi="Times New Roman"/>
          <w:sz w:val="20"/>
          <w:szCs w:val="20"/>
        </w:rPr>
        <w:t>, 17(5):</w:t>
      </w:r>
      <w:r>
        <w:rPr>
          <w:rFonts w:ascii="Times New Roman" w:hAnsi="Times New Roman"/>
          <w:sz w:val="20"/>
          <w:szCs w:val="20"/>
        </w:rPr>
        <w:t xml:space="preserve"> </w:t>
      </w:r>
      <w:r w:rsidRPr="00913252">
        <w:rPr>
          <w:rFonts w:ascii="Times New Roman" w:hAnsi="Times New Roman"/>
          <w:sz w:val="20"/>
          <w:szCs w:val="20"/>
        </w:rPr>
        <w:t>399</w:t>
      </w:r>
      <w:r>
        <w:rPr>
          <w:rFonts w:ascii="Times New Roman" w:hAnsi="Times New Roman"/>
          <w:sz w:val="20"/>
          <w:szCs w:val="20"/>
        </w:rPr>
        <w:t xml:space="preserve"> – </w:t>
      </w:r>
      <w:r w:rsidRPr="00913252">
        <w:rPr>
          <w:rFonts w:ascii="Times New Roman" w:hAnsi="Times New Roman"/>
          <w:sz w:val="20"/>
          <w:szCs w:val="20"/>
        </w:rPr>
        <w:t>406.</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lang w:val="es-ES"/>
        </w:rPr>
        <w:t xml:space="preserve">De Oliveira, W. and Mendes, A. (1987).  </w:t>
      </w:r>
      <w:r w:rsidRPr="00913252">
        <w:rPr>
          <w:rFonts w:ascii="Times New Roman" w:hAnsi="Times New Roman"/>
          <w:sz w:val="20"/>
          <w:szCs w:val="20"/>
        </w:rPr>
        <w:t xml:space="preserve">Determination of calcium and magnesium in limestone and dolomite by enthalpimetric flow-injection analysis. </w:t>
      </w:r>
      <w:r w:rsidRPr="00913252">
        <w:rPr>
          <w:rFonts w:ascii="Times New Roman" w:hAnsi="Times New Roman"/>
          <w:i/>
          <w:sz w:val="20"/>
          <w:szCs w:val="20"/>
        </w:rPr>
        <w:t>Talanta</w:t>
      </w:r>
      <w:r w:rsidRPr="00913252">
        <w:rPr>
          <w:rFonts w:ascii="Times New Roman" w:hAnsi="Times New Roman"/>
          <w:sz w:val="20"/>
          <w:szCs w:val="20"/>
        </w:rPr>
        <w:t>, 34(6):</w:t>
      </w:r>
      <w:r>
        <w:rPr>
          <w:rFonts w:ascii="Times New Roman" w:hAnsi="Times New Roman"/>
          <w:sz w:val="20"/>
          <w:szCs w:val="20"/>
        </w:rPr>
        <w:t xml:space="preserve"> </w:t>
      </w:r>
      <w:r w:rsidRPr="00913252">
        <w:rPr>
          <w:rFonts w:ascii="Times New Roman" w:hAnsi="Times New Roman"/>
          <w:sz w:val="20"/>
          <w:szCs w:val="20"/>
        </w:rPr>
        <w:t>543</w:t>
      </w:r>
      <w:r>
        <w:rPr>
          <w:rFonts w:ascii="Times New Roman" w:hAnsi="Times New Roman"/>
          <w:sz w:val="20"/>
          <w:szCs w:val="20"/>
        </w:rPr>
        <w:t xml:space="preserve"> – </w:t>
      </w:r>
      <w:r w:rsidRPr="00913252">
        <w:rPr>
          <w:rFonts w:ascii="Times New Roman" w:hAnsi="Times New Roman"/>
          <w:sz w:val="20"/>
          <w:szCs w:val="20"/>
        </w:rPr>
        <w:t xml:space="preserve">546. </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rPr>
        <w:t xml:space="preserve">Robinson, P. (1980). Determination of calcium, magnesium, manganese, strontium, sodium and iron in the carbonate fraction of limestones and dolomites. </w:t>
      </w:r>
      <w:r w:rsidRPr="00913252">
        <w:rPr>
          <w:rFonts w:ascii="Times New Roman" w:hAnsi="Times New Roman"/>
          <w:i/>
          <w:sz w:val="20"/>
          <w:szCs w:val="20"/>
        </w:rPr>
        <w:t>Chemical Geology</w:t>
      </w:r>
      <w:r>
        <w:rPr>
          <w:rFonts w:ascii="Times New Roman" w:hAnsi="Times New Roman"/>
          <w:sz w:val="20"/>
          <w:szCs w:val="20"/>
        </w:rPr>
        <w:t xml:space="preserve">, 28: </w:t>
      </w:r>
      <w:r w:rsidRPr="00913252">
        <w:rPr>
          <w:rFonts w:ascii="Times New Roman" w:hAnsi="Times New Roman"/>
          <w:sz w:val="20"/>
          <w:szCs w:val="20"/>
        </w:rPr>
        <w:t>135</w:t>
      </w:r>
      <w:r>
        <w:rPr>
          <w:rFonts w:ascii="Times New Roman" w:hAnsi="Times New Roman"/>
          <w:sz w:val="20"/>
          <w:szCs w:val="20"/>
        </w:rPr>
        <w:t xml:space="preserve"> – </w:t>
      </w:r>
      <w:r w:rsidRPr="00913252">
        <w:rPr>
          <w:rFonts w:ascii="Times New Roman" w:hAnsi="Times New Roman"/>
          <w:sz w:val="20"/>
          <w:szCs w:val="20"/>
        </w:rPr>
        <w:t>146.</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rPr>
        <w:t>Middendorf, B., Hughes, J.</w:t>
      </w:r>
      <w:r>
        <w:rPr>
          <w:rFonts w:ascii="Times New Roman" w:hAnsi="Times New Roman"/>
          <w:sz w:val="20"/>
          <w:szCs w:val="20"/>
        </w:rPr>
        <w:t xml:space="preserve"> </w:t>
      </w:r>
      <w:r w:rsidRPr="00913252">
        <w:rPr>
          <w:rFonts w:ascii="Times New Roman" w:hAnsi="Times New Roman"/>
          <w:sz w:val="20"/>
          <w:szCs w:val="20"/>
        </w:rPr>
        <w:t xml:space="preserve">J., Callebaut, K., Baronio, G. and Papayianni, I. (2005). Investigative methods for the characterisation of historic mortars. Part 2: Chemical characterization. </w:t>
      </w:r>
      <w:r w:rsidRPr="00913252">
        <w:rPr>
          <w:rFonts w:ascii="Times New Roman" w:hAnsi="Times New Roman"/>
          <w:i/>
          <w:sz w:val="20"/>
          <w:szCs w:val="20"/>
        </w:rPr>
        <w:t>Materials and Structures,</w:t>
      </w:r>
      <w:r w:rsidRPr="00913252">
        <w:rPr>
          <w:rFonts w:ascii="Times New Roman" w:hAnsi="Times New Roman"/>
          <w:sz w:val="20"/>
          <w:szCs w:val="20"/>
        </w:rPr>
        <w:t xml:space="preserve"> 38:</w:t>
      </w:r>
      <w:r>
        <w:rPr>
          <w:rFonts w:ascii="Times New Roman" w:hAnsi="Times New Roman"/>
          <w:sz w:val="20"/>
          <w:szCs w:val="20"/>
        </w:rPr>
        <w:t xml:space="preserve"> </w:t>
      </w:r>
      <w:r w:rsidRPr="00913252">
        <w:rPr>
          <w:rFonts w:ascii="Times New Roman" w:hAnsi="Times New Roman"/>
          <w:sz w:val="20"/>
          <w:szCs w:val="20"/>
        </w:rPr>
        <w:t>771</w:t>
      </w:r>
      <w:r>
        <w:rPr>
          <w:rFonts w:ascii="Times New Roman" w:hAnsi="Times New Roman"/>
          <w:sz w:val="20"/>
          <w:szCs w:val="20"/>
        </w:rPr>
        <w:t xml:space="preserve"> – </w:t>
      </w:r>
      <w:r w:rsidRPr="00913252">
        <w:rPr>
          <w:rFonts w:ascii="Times New Roman" w:hAnsi="Times New Roman"/>
          <w:sz w:val="20"/>
          <w:szCs w:val="20"/>
        </w:rPr>
        <w:t xml:space="preserve">780. </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rPr>
        <w:t xml:space="preserve">Pires, J. (2015). Simple analysis of historical lime mortars. </w:t>
      </w:r>
      <w:r w:rsidRPr="00913252">
        <w:rPr>
          <w:rFonts w:ascii="Times New Roman" w:hAnsi="Times New Roman"/>
          <w:i/>
          <w:sz w:val="20"/>
          <w:szCs w:val="20"/>
        </w:rPr>
        <w:t>Journal of Chemical Education</w:t>
      </w:r>
      <w:r w:rsidRPr="00913252">
        <w:rPr>
          <w:rFonts w:ascii="Times New Roman" w:hAnsi="Times New Roman"/>
          <w:sz w:val="20"/>
          <w:szCs w:val="20"/>
        </w:rPr>
        <w:t>, 92:</w:t>
      </w:r>
      <w:r>
        <w:rPr>
          <w:rFonts w:ascii="Times New Roman" w:hAnsi="Times New Roman"/>
          <w:sz w:val="20"/>
          <w:szCs w:val="20"/>
        </w:rPr>
        <w:t xml:space="preserve"> </w:t>
      </w:r>
      <w:r w:rsidRPr="00913252">
        <w:rPr>
          <w:rFonts w:ascii="Times New Roman" w:hAnsi="Times New Roman"/>
          <w:sz w:val="20"/>
          <w:szCs w:val="20"/>
        </w:rPr>
        <w:t>521</w:t>
      </w:r>
      <w:r>
        <w:rPr>
          <w:rFonts w:ascii="Times New Roman" w:hAnsi="Times New Roman"/>
          <w:sz w:val="20"/>
          <w:szCs w:val="20"/>
        </w:rPr>
        <w:t xml:space="preserve"> –</w:t>
      </w:r>
      <w:r w:rsidRPr="00913252">
        <w:rPr>
          <w:rFonts w:ascii="Times New Roman" w:hAnsi="Times New Roman"/>
          <w:sz w:val="20"/>
          <w:szCs w:val="20"/>
        </w:rPr>
        <w:t>523.</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rPr>
        <w:t>Cayme, J.</w:t>
      </w:r>
      <w:r>
        <w:rPr>
          <w:rFonts w:ascii="Times New Roman" w:hAnsi="Times New Roman"/>
          <w:sz w:val="20"/>
          <w:szCs w:val="20"/>
        </w:rPr>
        <w:t xml:space="preserve"> </w:t>
      </w:r>
      <w:r w:rsidRPr="00913252">
        <w:rPr>
          <w:rFonts w:ascii="Times New Roman" w:hAnsi="Times New Roman"/>
          <w:sz w:val="20"/>
          <w:szCs w:val="20"/>
        </w:rPr>
        <w:t>M. and Asor, Jr, A.</w:t>
      </w:r>
      <w:r>
        <w:rPr>
          <w:rFonts w:ascii="Times New Roman" w:hAnsi="Times New Roman"/>
          <w:sz w:val="20"/>
          <w:szCs w:val="20"/>
        </w:rPr>
        <w:t xml:space="preserve"> </w:t>
      </w:r>
      <w:r w:rsidRPr="00913252">
        <w:rPr>
          <w:rFonts w:ascii="Times New Roman" w:hAnsi="Times New Roman"/>
          <w:sz w:val="20"/>
          <w:szCs w:val="20"/>
        </w:rPr>
        <w:t xml:space="preserve">N. (2015). Extraction methods for quantifying iron, calcium and magnesium in a historic brickwork produced during the Spanish Colonial Period in the Philippines. </w:t>
      </w:r>
      <w:r w:rsidRPr="00913252">
        <w:rPr>
          <w:rFonts w:ascii="Times New Roman" w:hAnsi="Times New Roman"/>
          <w:i/>
          <w:sz w:val="20"/>
          <w:szCs w:val="20"/>
        </w:rPr>
        <w:t>KIMIKA</w:t>
      </w:r>
      <w:r w:rsidRPr="00913252">
        <w:rPr>
          <w:rFonts w:ascii="Times New Roman" w:hAnsi="Times New Roman"/>
          <w:sz w:val="20"/>
          <w:szCs w:val="20"/>
        </w:rPr>
        <w:t>, 26(1):</w:t>
      </w:r>
      <w:r>
        <w:rPr>
          <w:rFonts w:ascii="Times New Roman" w:hAnsi="Times New Roman"/>
          <w:sz w:val="20"/>
          <w:szCs w:val="20"/>
        </w:rPr>
        <w:t xml:space="preserve"> </w:t>
      </w:r>
      <w:r w:rsidRPr="00913252">
        <w:rPr>
          <w:rFonts w:ascii="Times New Roman" w:hAnsi="Times New Roman"/>
          <w:sz w:val="20"/>
          <w:szCs w:val="20"/>
        </w:rPr>
        <w:t>28</w:t>
      </w:r>
      <w:r>
        <w:rPr>
          <w:rFonts w:ascii="Times New Roman" w:hAnsi="Times New Roman"/>
          <w:sz w:val="20"/>
          <w:szCs w:val="20"/>
        </w:rPr>
        <w:t xml:space="preserve"> – </w:t>
      </w:r>
      <w:r w:rsidRPr="00913252">
        <w:rPr>
          <w:rFonts w:ascii="Times New Roman" w:hAnsi="Times New Roman"/>
          <w:sz w:val="20"/>
          <w:szCs w:val="20"/>
        </w:rPr>
        <w:t xml:space="preserve">38. </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rPr>
        <w:t>Reddy, B.V.V. and Gupta, A. (2008). Influence of sand gradation on the characteristics of mortars and soil</w:t>
      </w:r>
      <w:r>
        <w:rPr>
          <w:rFonts w:ascii="Times New Roman" w:hAnsi="Times New Roman"/>
          <w:sz w:val="20"/>
          <w:szCs w:val="20"/>
        </w:rPr>
        <w:t xml:space="preserve"> </w:t>
      </w:r>
      <w:r w:rsidRPr="00913252">
        <w:rPr>
          <w:rFonts w:ascii="Times New Roman" w:hAnsi="Times New Roman"/>
          <w:sz w:val="20"/>
          <w:szCs w:val="20"/>
        </w:rPr>
        <w:t>cement block masonry</w:t>
      </w:r>
      <w:r w:rsidRPr="00913252">
        <w:rPr>
          <w:rFonts w:ascii="Times New Roman" w:hAnsi="Times New Roman"/>
          <w:i/>
          <w:sz w:val="20"/>
          <w:szCs w:val="20"/>
        </w:rPr>
        <w:t>. Construction and Building Materials</w:t>
      </w:r>
      <w:r w:rsidRPr="00913252">
        <w:rPr>
          <w:rFonts w:ascii="Times New Roman" w:hAnsi="Times New Roman"/>
          <w:sz w:val="20"/>
          <w:szCs w:val="20"/>
        </w:rPr>
        <w:t>, 22:</w:t>
      </w:r>
      <w:r>
        <w:rPr>
          <w:rFonts w:ascii="Times New Roman" w:hAnsi="Times New Roman"/>
          <w:sz w:val="20"/>
          <w:szCs w:val="20"/>
        </w:rPr>
        <w:t xml:space="preserve"> </w:t>
      </w:r>
      <w:r w:rsidRPr="00913252">
        <w:rPr>
          <w:rFonts w:ascii="Times New Roman" w:hAnsi="Times New Roman"/>
          <w:sz w:val="20"/>
          <w:szCs w:val="20"/>
        </w:rPr>
        <w:t>1614</w:t>
      </w:r>
      <w:r>
        <w:rPr>
          <w:rFonts w:ascii="Times New Roman" w:hAnsi="Times New Roman"/>
          <w:sz w:val="20"/>
          <w:szCs w:val="20"/>
        </w:rPr>
        <w:t xml:space="preserve"> – </w:t>
      </w:r>
      <w:r w:rsidRPr="00913252">
        <w:rPr>
          <w:rFonts w:ascii="Times New Roman" w:hAnsi="Times New Roman"/>
          <w:sz w:val="20"/>
          <w:szCs w:val="20"/>
        </w:rPr>
        <w:t>1623.</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rPr>
        <w:t>Miranda, J., Carvalho, A.</w:t>
      </w:r>
      <w:r>
        <w:rPr>
          <w:rFonts w:ascii="Times New Roman" w:hAnsi="Times New Roman"/>
          <w:sz w:val="20"/>
          <w:szCs w:val="20"/>
        </w:rPr>
        <w:t xml:space="preserve"> </w:t>
      </w:r>
      <w:r w:rsidRPr="00913252">
        <w:rPr>
          <w:rFonts w:ascii="Times New Roman" w:hAnsi="Times New Roman"/>
          <w:sz w:val="20"/>
          <w:szCs w:val="20"/>
        </w:rPr>
        <w:t xml:space="preserve">P. and Pires, J. (2012). Assessment of the binder in historical mortars by various techniques. </w:t>
      </w:r>
      <w:r w:rsidRPr="00913252">
        <w:rPr>
          <w:rFonts w:ascii="Times New Roman" w:hAnsi="Times New Roman"/>
          <w:i/>
          <w:sz w:val="20"/>
          <w:szCs w:val="20"/>
        </w:rPr>
        <w:t>Archaeometry</w:t>
      </w:r>
      <w:r w:rsidRPr="00913252">
        <w:rPr>
          <w:rFonts w:ascii="Times New Roman" w:hAnsi="Times New Roman"/>
          <w:sz w:val="20"/>
          <w:szCs w:val="20"/>
        </w:rPr>
        <w:t>, 54(2):</w:t>
      </w:r>
      <w:r>
        <w:rPr>
          <w:rFonts w:ascii="Times New Roman" w:hAnsi="Times New Roman"/>
          <w:sz w:val="20"/>
          <w:szCs w:val="20"/>
        </w:rPr>
        <w:t xml:space="preserve"> </w:t>
      </w:r>
      <w:r w:rsidRPr="00913252">
        <w:rPr>
          <w:rFonts w:ascii="Times New Roman" w:hAnsi="Times New Roman"/>
          <w:sz w:val="20"/>
          <w:szCs w:val="20"/>
        </w:rPr>
        <w:t>267</w:t>
      </w:r>
      <w:r>
        <w:rPr>
          <w:rFonts w:ascii="Times New Roman" w:hAnsi="Times New Roman"/>
          <w:sz w:val="20"/>
          <w:szCs w:val="20"/>
        </w:rPr>
        <w:t xml:space="preserve"> – </w:t>
      </w:r>
      <w:r w:rsidRPr="00913252">
        <w:rPr>
          <w:rFonts w:ascii="Times New Roman" w:hAnsi="Times New Roman"/>
          <w:sz w:val="20"/>
          <w:szCs w:val="20"/>
        </w:rPr>
        <w:t>277.</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rPr>
        <w:t>Holtz, R. and Kovacs, W. (1981). An introduction to geotechnical engineering</w:t>
      </w:r>
      <w:r>
        <w:rPr>
          <w:rFonts w:ascii="Times New Roman" w:hAnsi="Times New Roman"/>
          <w:sz w:val="20"/>
          <w:szCs w:val="20"/>
        </w:rPr>
        <w:t xml:space="preserve">. </w:t>
      </w:r>
      <w:r w:rsidRPr="00913252">
        <w:rPr>
          <w:rFonts w:ascii="Times New Roman" w:hAnsi="Times New Roman"/>
          <w:sz w:val="20"/>
          <w:szCs w:val="20"/>
        </w:rPr>
        <w:t>Prentice-Hall, Inc</w:t>
      </w:r>
      <w:r>
        <w:rPr>
          <w:rFonts w:ascii="Times New Roman" w:hAnsi="Times New Roman"/>
          <w:sz w:val="20"/>
          <w:szCs w:val="20"/>
        </w:rPr>
        <w:t>, New Jersey</w:t>
      </w:r>
      <w:r w:rsidRPr="00913252">
        <w:rPr>
          <w:rFonts w:ascii="Times New Roman" w:hAnsi="Times New Roman"/>
          <w:sz w:val="20"/>
          <w:szCs w:val="20"/>
        </w:rPr>
        <w:t>.</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lang w:val="es-ES"/>
        </w:rPr>
        <w:t xml:space="preserve">Cayme, J. M., Asor, Jr, A. N., Alano, M. K. A. T. and Miranda, E.T. (2016). </w:t>
      </w:r>
      <w:r w:rsidRPr="00913252">
        <w:rPr>
          <w:rFonts w:ascii="Times New Roman" w:hAnsi="Times New Roman"/>
          <w:sz w:val="20"/>
          <w:szCs w:val="20"/>
        </w:rPr>
        <w:t xml:space="preserve">Chemical characterization of historical brickwork of the church convento in Pagsanjan, Laguna. </w:t>
      </w:r>
      <w:r w:rsidRPr="00913252">
        <w:rPr>
          <w:rFonts w:ascii="Times New Roman" w:hAnsi="Times New Roman"/>
          <w:i/>
          <w:sz w:val="20"/>
          <w:szCs w:val="20"/>
        </w:rPr>
        <w:t>KIMIKA</w:t>
      </w:r>
      <w:r w:rsidRPr="00913252">
        <w:rPr>
          <w:rFonts w:ascii="Times New Roman" w:hAnsi="Times New Roman"/>
          <w:sz w:val="20"/>
          <w:szCs w:val="20"/>
        </w:rPr>
        <w:t>, 27(1):</w:t>
      </w:r>
      <w:r>
        <w:rPr>
          <w:rFonts w:ascii="Times New Roman" w:hAnsi="Times New Roman"/>
          <w:sz w:val="20"/>
          <w:szCs w:val="20"/>
        </w:rPr>
        <w:t xml:space="preserve"> </w:t>
      </w:r>
      <w:r w:rsidRPr="00913252">
        <w:rPr>
          <w:rFonts w:ascii="Times New Roman" w:hAnsi="Times New Roman"/>
          <w:sz w:val="20"/>
          <w:szCs w:val="20"/>
        </w:rPr>
        <w:t>30</w:t>
      </w:r>
      <w:r>
        <w:rPr>
          <w:rFonts w:ascii="Times New Roman" w:hAnsi="Times New Roman"/>
          <w:sz w:val="20"/>
          <w:szCs w:val="20"/>
        </w:rPr>
        <w:t xml:space="preserve"> – </w:t>
      </w:r>
      <w:r w:rsidRPr="00913252">
        <w:rPr>
          <w:rFonts w:ascii="Times New Roman" w:hAnsi="Times New Roman"/>
          <w:sz w:val="20"/>
          <w:szCs w:val="20"/>
        </w:rPr>
        <w:t>41.</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rPr>
        <w:t>Music, S., Filipovic-Vincekovic, N. and Sekovanic, L. (2011). Precipitation of amorphous SiO</w:t>
      </w:r>
      <w:r w:rsidRPr="00913252">
        <w:rPr>
          <w:rFonts w:ascii="Times New Roman" w:hAnsi="Times New Roman"/>
          <w:sz w:val="20"/>
          <w:szCs w:val="20"/>
          <w:vertAlign w:val="subscript"/>
        </w:rPr>
        <w:t>2</w:t>
      </w:r>
      <w:r w:rsidRPr="00913252">
        <w:rPr>
          <w:rFonts w:ascii="Times New Roman" w:hAnsi="Times New Roman"/>
          <w:sz w:val="20"/>
          <w:szCs w:val="20"/>
        </w:rPr>
        <w:t xml:space="preserve"> particles and their properties.  </w:t>
      </w:r>
      <w:r w:rsidRPr="00913252">
        <w:rPr>
          <w:rFonts w:ascii="Times New Roman" w:hAnsi="Times New Roman"/>
          <w:i/>
          <w:sz w:val="20"/>
          <w:szCs w:val="20"/>
        </w:rPr>
        <w:t>Braz</w:t>
      </w:r>
      <w:r>
        <w:rPr>
          <w:rFonts w:ascii="Times New Roman" w:hAnsi="Times New Roman"/>
          <w:i/>
          <w:sz w:val="20"/>
          <w:szCs w:val="20"/>
        </w:rPr>
        <w:t xml:space="preserve">ilian </w:t>
      </w:r>
      <w:r w:rsidRPr="00913252">
        <w:rPr>
          <w:rFonts w:ascii="Times New Roman" w:hAnsi="Times New Roman"/>
          <w:i/>
          <w:sz w:val="20"/>
          <w:szCs w:val="20"/>
        </w:rPr>
        <w:t>Journal of Chemical Engineering</w:t>
      </w:r>
      <w:r w:rsidRPr="00913252">
        <w:rPr>
          <w:rFonts w:ascii="Times New Roman" w:hAnsi="Times New Roman"/>
          <w:sz w:val="20"/>
          <w:szCs w:val="20"/>
        </w:rPr>
        <w:t>, 28(1):</w:t>
      </w:r>
      <w:r>
        <w:rPr>
          <w:rFonts w:ascii="Times New Roman" w:hAnsi="Times New Roman"/>
          <w:sz w:val="20"/>
          <w:szCs w:val="20"/>
        </w:rPr>
        <w:t xml:space="preserve"> </w:t>
      </w:r>
      <w:r w:rsidRPr="00913252">
        <w:rPr>
          <w:rFonts w:ascii="Times New Roman" w:hAnsi="Times New Roman"/>
          <w:sz w:val="20"/>
          <w:szCs w:val="20"/>
        </w:rPr>
        <w:t>89</w:t>
      </w:r>
      <w:r>
        <w:rPr>
          <w:rFonts w:ascii="Times New Roman" w:hAnsi="Times New Roman"/>
          <w:sz w:val="20"/>
          <w:szCs w:val="20"/>
        </w:rPr>
        <w:t xml:space="preserve"> – </w:t>
      </w:r>
      <w:r w:rsidRPr="00913252">
        <w:rPr>
          <w:rFonts w:ascii="Times New Roman" w:hAnsi="Times New Roman"/>
          <w:sz w:val="20"/>
          <w:szCs w:val="20"/>
        </w:rPr>
        <w:t>94.</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rPr>
        <w:t>Couto, M.</w:t>
      </w:r>
      <w:r>
        <w:rPr>
          <w:rFonts w:ascii="Times New Roman" w:hAnsi="Times New Roman"/>
          <w:sz w:val="20"/>
          <w:szCs w:val="20"/>
        </w:rPr>
        <w:t xml:space="preserve"> </w:t>
      </w:r>
      <w:r w:rsidRPr="00913252">
        <w:rPr>
          <w:rFonts w:ascii="Times New Roman" w:hAnsi="Times New Roman"/>
          <w:sz w:val="20"/>
          <w:szCs w:val="20"/>
        </w:rPr>
        <w:t>F., Peternelli, L.</w:t>
      </w:r>
      <w:r>
        <w:rPr>
          <w:rFonts w:ascii="Times New Roman" w:hAnsi="Times New Roman"/>
          <w:sz w:val="20"/>
          <w:szCs w:val="20"/>
        </w:rPr>
        <w:t xml:space="preserve"> </w:t>
      </w:r>
      <w:r w:rsidRPr="00913252">
        <w:rPr>
          <w:rFonts w:ascii="Times New Roman" w:hAnsi="Times New Roman"/>
          <w:sz w:val="20"/>
          <w:szCs w:val="20"/>
        </w:rPr>
        <w:t>A. and Barbosa, M.</w:t>
      </w:r>
      <w:r>
        <w:rPr>
          <w:rFonts w:ascii="Times New Roman" w:hAnsi="Times New Roman"/>
          <w:sz w:val="20"/>
          <w:szCs w:val="20"/>
        </w:rPr>
        <w:t xml:space="preserve"> </w:t>
      </w:r>
      <w:r w:rsidRPr="00913252">
        <w:rPr>
          <w:rFonts w:ascii="Times New Roman" w:hAnsi="Times New Roman"/>
          <w:sz w:val="20"/>
          <w:szCs w:val="20"/>
        </w:rPr>
        <w:t>H.</w:t>
      </w:r>
      <w:r>
        <w:rPr>
          <w:rFonts w:ascii="Times New Roman" w:hAnsi="Times New Roman"/>
          <w:sz w:val="20"/>
          <w:szCs w:val="20"/>
        </w:rPr>
        <w:t xml:space="preserve"> </w:t>
      </w:r>
      <w:r w:rsidRPr="00913252">
        <w:rPr>
          <w:rFonts w:ascii="Times New Roman" w:hAnsi="Times New Roman"/>
          <w:sz w:val="20"/>
          <w:szCs w:val="20"/>
        </w:rPr>
        <w:t xml:space="preserve">P. (2013). Classification of the coefficients of variation for sugarcane crops. </w:t>
      </w:r>
      <w:r w:rsidRPr="00913252">
        <w:rPr>
          <w:rFonts w:ascii="Times New Roman" w:hAnsi="Times New Roman"/>
          <w:i/>
          <w:sz w:val="20"/>
          <w:szCs w:val="20"/>
        </w:rPr>
        <w:t>Ciencia Rural, Santa Maria</w:t>
      </w:r>
      <w:r w:rsidRPr="00913252">
        <w:rPr>
          <w:rFonts w:ascii="Times New Roman" w:hAnsi="Times New Roman"/>
          <w:sz w:val="20"/>
          <w:szCs w:val="20"/>
        </w:rPr>
        <w:t>, 43(6):</w:t>
      </w:r>
      <w:r>
        <w:rPr>
          <w:rFonts w:ascii="Times New Roman" w:hAnsi="Times New Roman"/>
          <w:sz w:val="20"/>
          <w:szCs w:val="20"/>
        </w:rPr>
        <w:t xml:space="preserve"> </w:t>
      </w:r>
      <w:r w:rsidRPr="00913252">
        <w:rPr>
          <w:rFonts w:ascii="Times New Roman" w:hAnsi="Times New Roman"/>
          <w:sz w:val="20"/>
          <w:szCs w:val="20"/>
        </w:rPr>
        <w:t>975</w:t>
      </w:r>
      <w:r>
        <w:rPr>
          <w:rFonts w:ascii="Times New Roman" w:hAnsi="Times New Roman"/>
          <w:sz w:val="20"/>
          <w:szCs w:val="20"/>
        </w:rPr>
        <w:t xml:space="preserve"> – </w:t>
      </w:r>
      <w:r w:rsidRPr="00913252">
        <w:rPr>
          <w:rFonts w:ascii="Times New Roman" w:hAnsi="Times New Roman"/>
          <w:sz w:val="20"/>
          <w:szCs w:val="20"/>
        </w:rPr>
        <w:t>961.</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rPr>
        <w:t>Limentani, G.</w:t>
      </w:r>
      <w:r>
        <w:rPr>
          <w:rFonts w:ascii="Times New Roman" w:hAnsi="Times New Roman"/>
          <w:sz w:val="20"/>
          <w:szCs w:val="20"/>
        </w:rPr>
        <w:t xml:space="preserve"> </w:t>
      </w:r>
      <w:r w:rsidRPr="00913252">
        <w:rPr>
          <w:rFonts w:ascii="Times New Roman" w:hAnsi="Times New Roman"/>
          <w:sz w:val="20"/>
          <w:szCs w:val="20"/>
        </w:rPr>
        <w:t>B., Ringo, M.</w:t>
      </w:r>
      <w:r>
        <w:rPr>
          <w:rFonts w:ascii="Times New Roman" w:hAnsi="Times New Roman"/>
          <w:sz w:val="20"/>
          <w:szCs w:val="20"/>
        </w:rPr>
        <w:t xml:space="preserve"> </w:t>
      </w:r>
      <w:r w:rsidRPr="00913252">
        <w:rPr>
          <w:rFonts w:ascii="Times New Roman" w:hAnsi="Times New Roman"/>
          <w:sz w:val="20"/>
          <w:szCs w:val="20"/>
        </w:rPr>
        <w:t>C., Ye, F., Bergquist, M.</w:t>
      </w:r>
      <w:r>
        <w:rPr>
          <w:rFonts w:ascii="Times New Roman" w:hAnsi="Times New Roman"/>
          <w:sz w:val="20"/>
          <w:szCs w:val="20"/>
        </w:rPr>
        <w:t xml:space="preserve"> </w:t>
      </w:r>
      <w:r w:rsidRPr="00913252">
        <w:rPr>
          <w:rFonts w:ascii="Times New Roman" w:hAnsi="Times New Roman"/>
          <w:sz w:val="20"/>
          <w:szCs w:val="20"/>
        </w:rPr>
        <w:t>L. and McSorley, E.</w:t>
      </w:r>
      <w:r>
        <w:rPr>
          <w:rFonts w:ascii="Times New Roman" w:hAnsi="Times New Roman"/>
          <w:sz w:val="20"/>
          <w:szCs w:val="20"/>
        </w:rPr>
        <w:t xml:space="preserve"> </w:t>
      </w:r>
      <w:r w:rsidRPr="00913252">
        <w:rPr>
          <w:rFonts w:ascii="Times New Roman" w:hAnsi="Times New Roman"/>
          <w:sz w:val="20"/>
          <w:szCs w:val="20"/>
        </w:rPr>
        <w:t xml:space="preserve">O. (2005). </w:t>
      </w:r>
      <w:r>
        <w:rPr>
          <w:rFonts w:ascii="Times New Roman" w:hAnsi="Times New Roman"/>
          <w:sz w:val="20"/>
          <w:szCs w:val="20"/>
        </w:rPr>
        <w:t>Beyond the t-t</w:t>
      </w:r>
      <w:r w:rsidRPr="00913252">
        <w:rPr>
          <w:rFonts w:ascii="Times New Roman" w:hAnsi="Times New Roman"/>
          <w:sz w:val="20"/>
          <w:szCs w:val="20"/>
        </w:rPr>
        <w:t xml:space="preserve">est: Statistical equivalence testing. </w:t>
      </w:r>
      <w:r w:rsidRPr="00913252">
        <w:rPr>
          <w:rFonts w:ascii="Times New Roman" w:hAnsi="Times New Roman"/>
          <w:i/>
          <w:sz w:val="20"/>
          <w:szCs w:val="20"/>
        </w:rPr>
        <w:t>Analytical Chemistry</w:t>
      </w:r>
      <w:r w:rsidRPr="00913252">
        <w:rPr>
          <w:rFonts w:ascii="Times New Roman" w:hAnsi="Times New Roman"/>
          <w:sz w:val="20"/>
          <w:szCs w:val="20"/>
        </w:rPr>
        <w:t>, 77(11):</w:t>
      </w:r>
      <w:r>
        <w:rPr>
          <w:rFonts w:ascii="Times New Roman" w:hAnsi="Times New Roman"/>
          <w:sz w:val="20"/>
          <w:szCs w:val="20"/>
        </w:rPr>
        <w:t xml:space="preserve"> 221 – 226</w:t>
      </w:r>
      <w:r w:rsidRPr="00913252">
        <w:rPr>
          <w:rFonts w:ascii="Times New Roman" w:hAnsi="Times New Roman"/>
          <w:sz w:val="20"/>
          <w:szCs w:val="20"/>
        </w:rPr>
        <w:t>.</w:t>
      </w:r>
    </w:p>
    <w:p w:rsidR="007757FC"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rPr>
        <w:t>Lung, K.</w:t>
      </w:r>
      <w:r>
        <w:rPr>
          <w:rFonts w:ascii="Times New Roman" w:hAnsi="Times New Roman"/>
          <w:sz w:val="20"/>
          <w:szCs w:val="20"/>
        </w:rPr>
        <w:t xml:space="preserve"> </w:t>
      </w:r>
      <w:r w:rsidRPr="00913252">
        <w:rPr>
          <w:rFonts w:ascii="Times New Roman" w:hAnsi="Times New Roman"/>
          <w:sz w:val="20"/>
          <w:szCs w:val="20"/>
        </w:rPr>
        <w:t>R., Gorko, M.</w:t>
      </w:r>
      <w:r>
        <w:rPr>
          <w:rFonts w:ascii="Times New Roman" w:hAnsi="Times New Roman"/>
          <w:sz w:val="20"/>
          <w:szCs w:val="20"/>
        </w:rPr>
        <w:t xml:space="preserve"> </w:t>
      </w:r>
      <w:r w:rsidRPr="00913252">
        <w:rPr>
          <w:rFonts w:ascii="Times New Roman" w:hAnsi="Times New Roman"/>
          <w:sz w:val="20"/>
          <w:szCs w:val="20"/>
        </w:rPr>
        <w:t xml:space="preserve">A, Llewelyn, J. and Wiggins, N. (2003). Statistical method for the determination of equivalence of automated test procedures. </w:t>
      </w:r>
      <w:r w:rsidRPr="00913252">
        <w:rPr>
          <w:rFonts w:ascii="Times New Roman" w:hAnsi="Times New Roman"/>
          <w:i/>
          <w:sz w:val="20"/>
          <w:szCs w:val="20"/>
        </w:rPr>
        <w:t>Journal of Automated Methods and management in Chemistry</w:t>
      </w:r>
      <w:r>
        <w:rPr>
          <w:rFonts w:ascii="Times New Roman" w:hAnsi="Times New Roman"/>
          <w:sz w:val="20"/>
          <w:szCs w:val="20"/>
        </w:rPr>
        <w:t xml:space="preserve">, 25(6): </w:t>
      </w:r>
      <w:r w:rsidRPr="00913252">
        <w:rPr>
          <w:rFonts w:ascii="Times New Roman" w:hAnsi="Times New Roman"/>
          <w:sz w:val="20"/>
          <w:szCs w:val="20"/>
        </w:rPr>
        <w:t>123</w:t>
      </w:r>
      <w:r>
        <w:rPr>
          <w:rFonts w:ascii="Times New Roman" w:hAnsi="Times New Roman"/>
          <w:sz w:val="20"/>
          <w:szCs w:val="20"/>
        </w:rPr>
        <w:t xml:space="preserve"> – </w:t>
      </w:r>
      <w:r w:rsidRPr="00913252">
        <w:rPr>
          <w:rFonts w:ascii="Times New Roman" w:hAnsi="Times New Roman"/>
          <w:sz w:val="20"/>
          <w:szCs w:val="20"/>
        </w:rPr>
        <w:t>127.</w:t>
      </w:r>
    </w:p>
    <w:p w:rsidR="007757FC" w:rsidRPr="00913252" w:rsidRDefault="007757FC" w:rsidP="007757FC">
      <w:pPr>
        <w:pStyle w:val="ListParagraph"/>
        <w:numPr>
          <w:ilvl w:val="0"/>
          <w:numId w:val="2"/>
        </w:numPr>
        <w:suppressAutoHyphens/>
        <w:spacing w:after="0" w:line="240" w:lineRule="auto"/>
        <w:ind w:left="360"/>
        <w:jc w:val="both"/>
        <w:rPr>
          <w:rFonts w:ascii="Times New Roman" w:hAnsi="Times New Roman"/>
          <w:sz w:val="20"/>
          <w:szCs w:val="20"/>
        </w:rPr>
      </w:pPr>
      <w:r w:rsidRPr="00913252">
        <w:rPr>
          <w:rFonts w:ascii="Times New Roman" w:hAnsi="Times New Roman"/>
          <w:sz w:val="20"/>
          <w:szCs w:val="20"/>
        </w:rPr>
        <w:t>Miller, J.</w:t>
      </w:r>
      <w:r>
        <w:rPr>
          <w:rFonts w:ascii="Times New Roman" w:hAnsi="Times New Roman"/>
          <w:sz w:val="20"/>
          <w:szCs w:val="20"/>
        </w:rPr>
        <w:t xml:space="preserve"> </w:t>
      </w:r>
      <w:r w:rsidRPr="00913252">
        <w:rPr>
          <w:rFonts w:ascii="Times New Roman" w:hAnsi="Times New Roman"/>
          <w:sz w:val="20"/>
          <w:szCs w:val="20"/>
        </w:rPr>
        <w:t>C. and Miller, J.</w:t>
      </w:r>
      <w:r>
        <w:rPr>
          <w:rFonts w:ascii="Times New Roman" w:hAnsi="Times New Roman"/>
          <w:sz w:val="20"/>
          <w:szCs w:val="20"/>
        </w:rPr>
        <w:t xml:space="preserve"> </w:t>
      </w:r>
      <w:r w:rsidRPr="00913252">
        <w:rPr>
          <w:rFonts w:ascii="Times New Roman" w:hAnsi="Times New Roman"/>
          <w:sz w:val="20"/>
          <w:szCs w:val="20"/>
        </w:rPr>
        <w:t>N. (1993). Statistics for analytical chemistry, 3</w:t>
      </w:r>
      <w:r w:rsidRPr="00913252">
        <w:rPr>
          <w:rFonts w:ascii="Times New Roman" w:hAnsi="Times New Roman"/>
          <w:sz w:val="20"/>
          <w:szCs w:val="20"/>
          <w:vertAlign w:val="superscript"/>
        </w:rPr>
        <w:t>rd</w:t>
      </w:r>
      <w:r>
        <w:rPr>
          <w:rFonts w:ascii="Times New Roman" w:hAnsi="Times New Roman"/>
          <w:sz w:val="20"/>
          <w:szCs w:val="20"/>
        </w:rPr>
        <w:t xml:space="preserve"> Ed. </w:t>
      </w:r>
      <w:r w:rsidRPr="00913252">
        <w:rPr>
          <w:rFonts w:ascii="Times New Roman" w:hAnsi="Times New Roman"/>
          <w:sz w:val="20"/>
          <w:szCs w:val="20"/>
        </w:rPr>
        <w:t>Ellis Horwood PTR Prentice Hall</w:t>
      </w:r>
      <w:r>
        <w:rPr>
          <w:rFonts w:ascii="Times New Roman" w:hAnsi="Times New Roman"/>
          <w:sz w:val="20"/>
          <w:szCs w:val="20"/>
        </w:rPr>
        <w:t>, New York</w:t>
      </w:r>
      <w:r w:rsidRPr="00913252">
        <w:rPr>
          <w:rFonts w:ascii="Times New Roman" w:hAnsi="Times New Roman"/>
          <w:sz w:val="20"/>
          <w:szCs w:val="20"/>
        </w:rPr>
        <w:t>: pp. 5</w:t>
      </w:r>
      <w:r>
        <w:rPr>
          <w:rFonts w:ascii="Times New Roman" w:hAnsi="Times New Roman"/>
          <w:sz w:val="20"/>
          <w:szCs w:val="20"/>
        </w:rPr>
        <w:t xml:space="preserve"> – </w:t>
      </w:r>
      <w:r w:rsidRPr="00913252">
        <w:rPr>
          <w:rFonts w:ascii="Times New Roman" w:hAnsi="Times New Roman"/>
          <w:sz w:val="20"/>
          <w:szCs w:val="20"/>
        </w:rPr>
        <w:t>10.</w:t>
      </w:r>
    </w:p>
    <w:p w:rsidR="00A74A7E" w:rsidRPr="007A738C" w:rsidRDefault="00A74A7E" w:rsidP="007757FC">
      <w:pPr>
        <w:spacing w:after="0" w:line="240" w:lineRule="auto"/>
        <w:ind w:left="360" w:hanging="360"/>
        <w:jc w:val="both"/>
        <w:rPr>
          <w:rFonts w:ascii="Times New Roman" w:hAnsi="Times New Roman"/>
          <w:noProof/>
          <w:lang w:bidi="ar-SA"/>
        </w:rPr>
      </w:pPr>
    </w:p>
    <w:sectPr w:rsidR="00A74A7E" w:rsidRPr="007A738C" w:rsidSect="00816889">
      <w:headerReference w:type="even" r:id="rId17"/>
      <w:headerReference w:type="default" r:id="rId18"/>
      <w:footerReference w:type="even" r:id="rId19"/>
      <w:footerReference w:type="default" r:id="rId20"/>
      <w:pgSz w:w="12240" w:h="15840" w:code="1"/>
      <w:pgMar w:top="1800" w:right="1469" w:bottom="1699" w:left="1440" w:header="706" w:footer="706" w:gutter="0"/>
      <w:pgNumType w:start="108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DD1C11">
          <w:rPr>
            <w:rFonts w:ascii="Times New Roman" w:hAnsi="Times New Roman"/>
            <w:noProof/>
          </w:rPr>
          <w:t>1090</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DD1C11">
          <w:rPr>
            <w:rFonts w:ascii="Times New Roman" w:hAnsi="Times New Roman"/>
            <w:noProof/>
          </w:rPr>
          <w:t>1089</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070690">
      <w:rPr>
        <w:rFonts w:ascii="Times New Roman" w:hAnsi="Times New Roman"/>
        <w:i/>
        <w:lang w:val="en-US"/>
      </w:rPr>
      <w:t>21</w:t>
    </w:r>
    <w:r w:rsidR="00CF05FF">
      <w:rPr>
        <w:rFonts w:ascii="Times New Roman" w:hAnsi="Times New Roman"/>
        <w:i/>
      </w:rPr>
      <w:t xml:space="preserve"> </w:t>
    </w:r>
    <w:r w:rsidR="00EB5BA5">
      <w:rPr>
        <w:rFonts w:ascii="Times New Roman" w:hAnsi="Times New Roman"/>
        <w:i/>
        <w:lang w:val="en-US"/>
      </w:rPr>
      <w:t>No 5</w:t>
    </w:r>
    <w:r w:rsidR="00B25B65">
      <w:rPr>
        <w:rFonts w:ascii="Times New Roman" w:hAnsi="Times New Roman"/>
        <w:i/>
      </w:rPr>
      <w:t xml:space="preserve"> (201</w:t>
    </w:r>
    <w:r w:rsidR="00070690">
      <w:rPr>
        <w:rFonts w:ascii="Times New Roman" w:hAnsi="Times New Roman"/>
        <w:i/>
        <w:lang w:val="en-US"/>
      </w:rPr>
      <w:t>7</w:t>
    </w:r>
    <w:r w:rsidRPr="00D75B35">
      <w:rPr>
        <w:rFonts w:ascii="Times New Roman" w:hAnsi="Times New Roman"/>
        <w:i/>
      </w:rPr>
      <w:t xml:space="preserve">): </w:t>
    </w:r>
    <w:r w:rsidR="00816889">
      <w:rPr>
        <w:rFonts w:ascii="Times New Roman" w:hAnsi="Times New Roman"/>
        <w:i/>
        <w:lang w:val="en-US"/>
      </w:rPr>
      <w:t>1080</w:t>
    </w:r>
    <w:r w:rsidR="004B43FF">
      <w:rPr>
        <w:rFonts w:ascii="Times New Roman" w:hAnsi="Times New Roman"/>
        <w:i/>
        <w:lang w:val="en-US"/>
      </w:rPr>
      <w:t xml:space="preserve"> </w:t>
    </w:r>
    <w:r w:rsidR="00583C85">
      <w:rPr>
        <w:rFonts w:ascii="Times New Roman" w:hAnsi="Times New Roman"/>
        <w:i/>
        <w:lang w:val="en-US"/>
      </w:rPr>
      <w:t>-</w:t>
    </w:r>
    <w:r w:rsidR="00816889">
      <w:rPr>
        <w:rFonts w:ascii="Times New Roman" w:hAnsi="Times New Roman"/>
        <w:i/>
        <w:lang w:val="en-US"/>
      </w:rPr>
      <w:t xml:space="preserve"> 1090</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070690">
      <w:rPr>
        <w:rFonts w:ascii="Times New Roman" w:hAnsi="Times New Roman"/>
        <w:i/>
        <w:lang w:val="en-US"/>
      </w:rPr>
      <w:t>doi.org/10.17576/mjas-2017-21</w:t>
    </w:r>
    <w:r w:rsidR="000C5261">
      <w:rPr>
        <w:rFonts w:ascii="Times New Roman" w:hAnsi="Times New Roman"/>
        <w:i/>
        <w:lang w:val="en-US"/>
      </w:rPr>
      <w:t>0</w:t>
    </w:r>
    <w:r w:rsidR="00EB5BA5">
      <w:rPr>
        <w:rFonts w:ascii="Times New Roman" w:hAnsi="Times New Roman"/>
        <w:i/>
        <w:lang w:val="en-US"/>
      </w:rPr>
      <w:t>5</w:t>
    </w:r>
    <w:r w:rsidR="00816889">
      <w:rPr>
        <w:rFonts w:ascii="Times New Roman" w:hAnsi="Times New Roman"/>
        <w:i/>
        <w:lang w:val="en-US"/>
      </w:rPr>
      <w:t>-10</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D3B" w:rsidRPr="00CE7D3B" w:rsidRDefault="00CE7D3B" w:rsidP="00CE7D3B">
    <w:pPr>
      <w:spacing w:after="0" w:line="240" w:lineRule="auto"/>
      <w:ind w:left="1440" w:hanging="1440"/>
      <w:rPr>
        <w:rFonts w:ascii="Times New Roman" w:hAnsi="Times New Roman"/>
        <w:sz w:val="20"/>
        <w:szCs w:val="20"/>
      </w:rPr>
    </w:pPr>
    <w:r>
      <w:rPr>
        <w:rFonts w:ascii="Times New Roman" w:hAnsi="Times New Roman"/>
        <w:sz w:val="20"/>
        <w:szCs w:val="20"/>
      </w:rPr>
      <w:t>Cayme &amp; Asor</w:t>
    </w:r>
    <w:r w:rsidR="008E6968" w:rsidRPr="00CE7D3B">
      <w:rPr>
        <w:rFonts w:ascii="Times New Roman" w:hAnsi="Times New Roman"/>
        <w:sz w:val="20"/>
        <w:szCs w:val="20"/>
      </w:rPr>
      <w:t xml:space="preserve">:  </w:t>
    </w:r>
    <w:r w:rsidRPr="00CE7D3B">
      <w:rPr>
        <w:rFonts w:ascii="Times New Roman" w:hAnsi="Times New Roman"/>
        <w:sz w:val="20"/>
        <w:szCs w:val="20"/>
      </w:rPr>
      <w:t xml:space="preserve"> </w:t>
    </w:r>
    <w:r>
      <w:rPr>
        <w:rFonts w:ascii="Times New Roman" w:hAnsi="Times New Roman"/>
        <w:sz w:val="20"/>
        <w:szCs w:val="20"/>
      </w:rPr>
      <w:tab/>
    </w:r>
    <w:r w:rsidRPr="00CE7D3B">
      <w:rPr>
        <w:rFonts w:ascii="Times New Roman" w:hAnsi="Times New Roman"/>
        <w:sz w:val="20"/>
        <w:szCs w:val="20"/>
      </w:rPr>
      <w:t>CALCIUM CONTENT OF LIME MORTARS FROM 19</w:t>
    </w:r>
    <w:r w:rsidRPr="00CE7D3B">
      <w:rPr>
        <w:rFonts w:ascii="Times New Roman" w:hAnsi="Times New Roman"/>
        <w:sz w:val="20"/>
        <w:szCs w:val="20"/>
        <w:vertAlign w:val="superscript"/>
      </w:rPr>
      <w:t>th</w:t>
    </w:r>
    <w:r w:rsidRPr="00CE7D3B">
      <w:rPr>
        <w:rFonts w:ascii="Times New Roman" w:hAnsi="Times New Roman"/>
        <w:sz w:val="20"/>
        <w:szCs w:val="20"/>
      </w:rPr>
      <w:t xml:space="preserve"> CENTURY CHURCH RUINS IN THE PHILIPPINES USING VOLUMETRIC ANALYSIS</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C97E6A"/>
    <w:multiLevelType w:val="hybridMultilevel"/>
    <w:tmpl w:val="84808F94"/>
    <w:lvl w:ilvl="0" w:tplc="BED0B9C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18B"/>
    <w:rsid w:val="001068E8"/>
    <w:rsid w:val="00117BCD"/>
    <w:rsid w:val="001D035A"/>
    <w:rsid w:val="001D3855"/>
    <w:rsid w:val="001D6F2C"/>
    <w:rsid w:val="00221D39"/>
    <w:rsid w:val="002417ED"/>
    <w:rsid w:val="00290459"/>
    <w:rsid w:val="002B188F"/>
    <w:rsid w:val="002B3BD8"/>
    <w:rsid w:val="002F3F91"/>
    <w:rsid w:val="00304767"/>
    <w:rsid w:val="00304B34"/>
    <w:rsid w:val="00355C4C"/>
    <w:rsid w:val="00361BAF"/>
    <w:rsid w:val="00367D1F"/>
    <w:rsid w:val="00373A9B"/>
    <w:rsid w:val="00383F26"/>
    <w:rsid w:val="003D585B"/>
    <w:rsid w:val="003E7DA6"/>
    <w:rsid w:val="003F12FF"/>
    <w:rsid w:val="004760D4"/>
    <w:rsid w:val="00494C46"/>
    <w:rsid w:val="004B43FF"/>
    <w:rsid w:val="00502641"/>
    <w:rsid w:val="00545363"/>
    <w:rsid w:val="00583C85"/>
    <w:rsid w:val="00584156"/>
    <w:rsid w:val="005C6768"/>
    <w:rsid w:val="00627617"/>
    <w:rsid w:val="00634C25"/>
    <w:rsid w:val="006416AB"/>
    <w:rsid w:val="0066620E"/>
    <w:rsid w:val="006768E9"/>
    <w:rsid w:val="00687982"/>
    <w:rsid w:val="00695D0E"/>
    <w:rsid w:val="006A3A0F"/>
    <w:rsid w:val="006B3EC8"/>
    <w:rsid w:val="006D695E"/>
    <w:rsid w:val="00725A6A"/>
    <w:rsid w:val="00730CB3"/>
    <w:rsid w:val="007757FC"/>
    <w:rsid w:val="007943F3"/>
    <w:rsid w:val="007A738C"/>
    <w:rsid w:val="007B1349"/>
    <w:rsid w:val="007E25BD"/>
    <w:rsid w:val="007F4ECC"/>
    <w:rsid w:val="00801E18"/>
    <w:rsid w:val="00802C35"/>
    <w:rsid w:val="00816889"/>
    <w:rsid w:val="0082181A"/>
    <w:rsid w:val="00894E05"/>
    <w:rsid w:val="008B470E"/>
    <w:rsid w:val="008C14D6"/>
    <w:rsid w:val="008E1211"/>
    <w:rsid w:val="008E5BBF"/>
    <w:rsid w:val="008E6968"/>
    <w:rsid w:val="009500C3"/>
    <w:rsid w:val="009B1E8E"/>
    <w:rsid w:val="00A14DB9"/>
    <w:rsid w:val="00A4762A"/>
    <w:rsid w:val="00A74A7E"/>
    <w:rsid w:val="00A87399"/>
    <w:rsid w:val="00AD1B8A"/>
    <w:rsid w:val="00AE713F"/>
    <w:rsid w:val="00B1121C"/>
    <w:rsid w:val="00B25B65"/>
    <w:rsid w:val="00B2770A"/>
    <w:rsid w:val="00B314AD"/>
    <w:rsid w:val="00B75BF6"/>
    <w:rsid w:val="00BA1F7B"/>
    <w:rsid w:val="00BB58AF"/>
    <w:rsid w:val="00BE7C30"/>
    <w:rsid w:val="00C055BF"/>
    <w:rsid w:val="00C0756D"/>
    <w:rsid w:val="00C2226A"/>
    <w:rsid w:val="00C514B5"/>
    <w:rsid w:val="00C94D92"/>
    <w:rsid w:val="00C97340"/>
    <w:rsid w:val="00CA513F"/>
    <w:rsid w:val="00CE7D3B"/>
    <w:rsid w:val="00CF05FF"/>
    <w:rsid w:val="00D00408"/>
    <w:rsid w:val="00D340BB"/>
    <w:rsid w:val="00D505D5"/>
    <w:rsid w:val="00D63C28"/>
    <w:rsid w:val="00D75B35"/>
    <w:rsid w:val="00D76E09"/>
    <w:rsid w:val="00D9736F"/>
    <w:rsid w:val="00D9792A"/>
    <w:rsid w:val="00DD1C11"/>
    <w:rsid w:val="00DD377F"/>
    <w:rsid w:val="00DF5F15"/>
    <w:rsid w:val="00E25547"/>
    <w:rsid w:val="00E2773B"/>
    <w:rsid w:val="00E3287E"/>
    <w:rsid w:val="00E66197"/>
    <w:rsid w:val="00EB5BA5"/>
    <w:rsid w:val="00EF4195"/>
    <w:rsid w:val="00F202C3"/>
    <w:rsid w:val="00F23D94"/>
    <w:rsid w:val="00F31093"/>
    <w:rsid w:val="00F412AF"/>
    <w:rsid w:val="00F43667"/>
    <w:rsid w:val="00F447A7"/>
    <w:rsid w:val="00FB4C59"/>
    <w:rsid w:val="00FD409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59"/>
    <w:rsid w:val="00355C4C"/>
    <w:rPr>
      <w:rFonts w:asciiTheme="minorHAnsi" w:eastAsiaTheme="minorEastAsia" w:hAnsiTheme="minorHAnsi" w:cstheme="minorBidi"/>
      <w:sz w:val="22"/>
      <w:szCs w:val="22"/>
      <w:lang w:val="en-PH"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
    <w:name w:val="Plain Table 2"/>
    <w:basedOn w:val="TableNormal"/>
    <w:uiPriority w:val="42"/>
    <w:rsid w:val="00355C4C"/>
    <w:rPr>
      <w:rFonts w:asciiTheme="minorHAnsi" w:eastAsiaTheme="minorEastAsia" w:hAnsiTheme="minorHAnsi" w:cstheme="minorBidi"/>
      <w:sz w:val="22"/>
      <w:szCs w:val="22"/>
      <w:lang w:val="en-PH" w:eastAsia="en-PH"/>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pple-converted-space">
    <w:name w:val="apple-converted-space"/>
    <w:basedOn w:val="DefaultParagraphFont"/>
    <w:rsid w:val="007757FC"/>
  </w:style>
  <w:style w:type="character" w:styleId="HTMLCite">
    <w:name w:val="HTML Cite"/>
    <w:basedOn w:val="DefaultParagraphFont"/>
    <w:uiPriority w:val="99"/>
    <w:semiHidden/>
    <w:unhideWhenUsed/>
    <w:rsid w:val="007757FC"/>
    <w:rPr>
      <w:i/>
      <w:iCs/>
    </w:rPr>
  </w:style>
  <w:style w:type="character" w:customStyle="1" w:styleId="hlfld-title">
    <w:name w:val="hlfld-title"/>
    <w:basedOn w:val="DefaultParagraphFont"/>
    <w:rsid w:val="007757FC"/>
  </w:style>
  <w:style w:type="character" w:customStyle="1" w:styleId="citationvolume">
    <w:name w:val="citation_volume"/>
    <w:basedOn w:val="DefaultParagraphFont"/>
    <w:rsid w:val="007757FC"/>
  </w:style>
  <w:style w:type="character" w:customStyle="1" w:styleId="publication-meta-journal">
    <w:name w:val="publication-meta-journal"/>
    <w:basedOn w:val="DefaultParagraphFont"/>
    <w:rsid w:val="007757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59"/>
    <w:rsid w:val="00355C4C"/>
    <w:rPr>
      <w:rFonts w:asciiTheme="minorHAnsi" w:eastAsiaTheme="minorEastAsia" w:hAnsiTheme="minorHAnsi" w:cstheme="minorBidi"/>
      <w:sz w:val="22"/>
      <w:szCs w:val="22"/>
      <w:lang w:val="en-PH"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
    <w:name w:val="Plain Table 2"/>
    <w:basedOn w:val="TableNormal"/>
    <w:uiPriority w:val="42"/>
    <w:rsid w:val="00355C4C"/>
    <w:rPr>
      <w:rFonts w:asciiTheme="minorHAnsi" w:eastAsiaTheme="minorEastAsia" w:hAnsiTheme="minorHAnsi" w:cstheme="minorBidi"/>
      <w:sz w:val="22"/>
      <w:szCs w:val="22"/>
      <w:lang w:val="en-PH" w:eastAsia="en-PH"/>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pple-converted-space">
    <w:name w:val="apple-converted-space"/>
    <w:basedOn w:val="DefaultParagraphFont"/>
    <w:rsid w:val="007757FC"/>
  </w:style>
  <w:style w:type="character" w:styleId="HTMLCite">
    <w:name w:val="HTML Cite"/>
    <w:basedOn w:val="DefaultParagraphFont"/>
    <w:uiPriority w:val="99"/>
    <w:semiHidden/>
    <w:unhideWhenUsed/>
    <w:rsid w:val="007757FC"/>
    <w:rPr>
      <w:i/>
      <w:iCs/>
    </w:rPr>
  </w:style>
  <w:style w:type="character" w:customStyle="1" w:styleId="hlfld-title">
    <w:name w:val="hlfld-title"/>
    <w:basedOn w:val="DefaultParagraphFont"/>
    <w:rsid w:val="007757FC"/>
  </w:style>
  <w:style w:type="character" w:customStyle="1" w:styleId="citationvolume">
    <w:name w:val="citation_volume"/>
    <w:basedOn w:val="DefaultParagraphFont"/>
    <w:rsid w:val="007757FC"/>
  </w:style>
  <w:style w:type="character" w:customStyle="1" w:styleId="publication-meta-journal">
    <w:name w:val="publication-meta-journal"/>
    <w:basedOn w:val="DefaultParagraphFont"/>
    <w:rsid w:val="00775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chart" Target="charts/chart2.xml"/><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Yochanan%20Mikael\Documents\Conservation%20Stuffs%20-copied%2006%2023%202016\mga%20resulta%20=)\next%20papers\MIX%20MORTAR%20stuffs\opol%20manil%20mortar%20siev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Yochanan%20Mikael\Documents\Conservation%20Stuffs%20-copied%2006%2023%202016\mga%20resulta%20=)\MIX%20MORTAR%20stuffs\sieve\opol%20manil%20mortar%20siev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v>Misamis Oriental</c:v>
          </c:tx>
          <c:spPr>
            <a:solidFill>
              <a:schemeClr val="accent1"/>
            </a:solidFill>
          </c:spPr>
          <c:invertIfNegative val="0"/>
          <c:cat>
            <c:strRef>
              <c:f>combined!$B$4:$B$12</c:f>
              <c:strCache>
                <c:ptCount val="9"/>
                <c:pt idx="0">
                  <c:v>4.750</c:v>
                </c:pt>
                <c:pt idx="1">
                  <c:v>2.360</c:v>
                </c:pt>
                <c:pt idx="2">
                  <c:v>1.180</c:v>
                </c:pt>
                <c:pt idx="3">
                  <c:v>0.600</c:v>
                </c:pt>
                <c:pt idx="4">
                  <c:v>0.425</c:v>
                </c:pt>
                <c:pt idx="5">
                  <c:v>0.250</c:v>
                </c:pt>
                <c:pt idx="6">
                  <c:v>0.150</c:v>
                </c:pt>
                <c:pt idx="7">
                  <c:v>0.075</c:v>
                </c:pt>
                <c:pt idx="8">
                  <c:v>pan</c:v>
                </c:pt>
              </c:strCache>
            </c:strRef>
          </c:cat>
          <c:val>
            <c:numRef>
              <c:f>combined!$D$4:$D$12</c:f>
              <c:numCache>
                <c:formatCode>0.0000</c:formatCode>
                <c:ptCount val="9"/>
                <c:pt idx="0">
                  <c:v>0</c:v>
                </c:pt>
                <c:pt idx="1">
                  <c:v>3.3947124781401063</c:v>
                </c:pt>
                <c:pt idx="2">
                  <c:v>1.7513630284950121</c:v>
                </c:pt>
                <c:pt idx="3">
                  <c:v>8.1215924287624759</c:v>
                </c:pt>
                <c:pt idx="4">
                  <c:v>12.606727702911222</c:v>
                </c:pt>
                <c:pt idx="5">
                  <c:v>26.301306449953714</c:v>
                </c:pt>
                <c:pt idx="6">
                  <c:v>18.141137743030548</c:v>
                </c:pt>
                <c:pt idx="7">
                  <c:v>11.572883448204916</c:v>
                </c:pt>
                <c:pt idx="8">
                  <c:v>18.110276720502007</c:v>
                </c:pt>
              </c:numCache>
            </c:numRef>
          </c:val>
          <c:extLst xmlns:c16r2="http://schemas.microsoft.com/office/drawing/2015/06/chart">
            <c:ext xmlns:c16="http://schemas.microsoft.com/office/drawing/2014/chart" uri="{C3380CC4-5D6E-409C-BE32-E72D297353CC}">
              <c16:uniqueId val="{00000000-8844-4668-AE66-EC2ACAC95040}"/>
            </c:ext>
          </c:extLst>
        </c:ser>
        <c:ser>
          <c:idx val="1"/>
          <c:order val="1"/>
          <c:tx>
            <c:v>Metro Manila</c:v>
          </c:tx>
          <c:spPr>
            <a:solidFill>
              <a:srgbClr val="C00000"/>
            </a:solidFill>
          </c:spPr>
          <c:invertIfNegative val="0"/>
          <c:val>
            <c:numRef>
              <c:f>combined!$D$19:$D$27</c:f>
              <c:numCache>
                <c:formatCode>General</c:formatCode>
                <c:ptCount val="9"/>
                <c:pt idx="0">
                  <c:v>3.3020441225520543</c:v>
                </c:pt>
                <c:pt idx="1">
                  <c:v>1.9214275503883353</c:v>
                </c:pt>
                <c:pt idx="2">
                  <c:v>6.5004526611712024</c:v>
                </c:pt>
                <c:pt idx="3">
                  <c:v>22.012436270071948</c:v>
                </c:pt>
                <c:pt idx="4">
                  <c:v>17.582312860342121</c:v>
                </c:pt>
                <c:pt idx="5">
                  <c:v>25.265640634678604</c:v>
                </c:pt>
                <c:pt idx="6">
                  <c:v>11.339162338590555</c:v>
                </c:pt>
                <c:pt idx="7">
                  <c:v>4.4563301091151652</c:v>
                </c:pt>
                <c:pt idx="8">
                  <c:v>7.6201934530900068</c:v>
                </c:pt>
              </c:numCache>
            </c:numRef>
          </c:val>
          <c:extLst xmlns:c16r2="http://schemas.microsoft.com/office/drawing/2015/06/chart">
            <c:ext xmlns:c16="http://schemas.microsoft.com/office/drawing/2014/chart" uri="{C3380CC4-5D6E-409C-BE32-E72D297353CC}">
              <c16:uniqueId val="{00000001-8844-4668-AE66-EC2ACAC95040}"/>
            </c:ext>
          </c:extLst>
        </c:ser>
        <c:dLbls>
          <c:showLegendKey val="0"/>
          <c:showVal val="0"/>
          <c:showCatName val="0"/>
          <c:showSerName val="0"/>
          <c:showPercent val="0"/>
          <c:showBubbleSize val="0"/>
        </c:dLbls>
        <c:gapWidth val="150"/>
        <c:axId val="40484864"/>
        <c:axId val="74685056"/>
      </c:barChart>
      <c:catAx>
        <c:axId val="40484864"/>
        <c:scaling>
          <c:orientation val="minMax"/>
        </c:scaling>
        <c:delete val="0"/>
        <c:axPos val="b"/>
        <c:title>
          <c:tx>
            <c:rich>
              <a:bodyPr/>
              <a:lstStyle/>
              <a:p>
                <a:pPr>
                  <a:defRPr sz="900"/>
                </a:pPr>
                <a:r>
                  <a:rPr lang="en-PH" sz="900"/>
                  <a:t>Sieve Size (mm)</a:t>
                </a:r>
              </a:p>
            </c:rich>
          </c:tx>
          <c:layout/>
          <c:overlay val="0"/>
        </c:title>
        <c:numFmt formatCode="#,##0.000" sourceLinked="0"/>
        <c:majorTickMark val="out"/>
        <c:minorTickMark val="none"/>
        <c:tickLblPos val="nextTo"/>
        <c:txPr>
          <a:bodyPr/>
          <a:lstStyle/>
          <a:p>
            <a:pPr>
              <a:defRPr sz="900"/>
            </a:pPr>
            <a:endParaRPr lang="en-US"/>
          </a:p>
        </c:txPr>
        <c:crossAx val="74685056"/>
        <c:crosses val="autoZero"/>
        <c:auto val="1"/>
        <c:lblAlgn val="ctr"/>
        <c:lblOffset val="100"/>
        <c:noMultiLvlLbl val="0"/>
      </c:catAx>
      <c:valAx>
        <c:axId val="74685056"/>
        <c:scaling>
          <c:orientation val="minMax"/>
        </c:scaling>
        <c:delete val="0"/>
        <c:axPos val="l"/>
        <c:majorGridlines>
          <c:spPr>
            <a:ln>
              <a:prstDash val="dash"/>
            </a:ln>
          </c:spPr>
        </c:majorGridlines>
        <c:title>
          <c:tx>
            <c:rich>
              <a:bodyPr rot="-5400000" vert="horz"/>
              <a:lstStyle/>
              <a:p>
                <a:pPr>
                  <a:defRPr sz="900"/>
                </a:pPr>
                <a:r>
                  <a:rPr lang="en-US" sz="900"/>
                  <a:t>Retained Weight (%)</a:t>
                </a:r>
              </a:p>
            </c:rich>
          </c:tx>
          <c:layout/>
          <c:overlay val="0"/>
        </c:title>
        <c:numFmt formatCode="0" sourceLinked="0"/>
        <c:majorTickMark val="out"/>
        <c:minorTickMark val="none"/>
        <c:tickLblPos val="nextTo"/>
        <c:txPr>
          <a:bodyPr/>
          <a:lstStyle/>
          <a:p>
            <a:pPr>
              <a:defRPr sz="900"/>
            </a:pPr>
            <a:endParaRPr lang="en-US"/>
          </a:p>
        </c:txPr>
        <c:crossAx val="40484864"/>
        <c:crosses val="autoZero"/>
        <c:crossBetween val="between"/>
      </c:valAx>
    </c:plotArea>
    <c:legend>
      <c:legendPos val="t"/>
      <c:layout/>
      <c:overlay val="0"/>
      <c:txPr>
        <a:bodyPr/>
        <a:lstStyle/>
        <a:p>
          <a:pPr>
            <a:defRPr sz="900"/>
          </a:pPr>
          <a:endParaRPr lang="en-US"/>
        </a:p>
      </c:txPr>
    </c:legend>
    <c:plotVisOnly val="1"/>
    <c:dispBlanksAs val="gap"/>
    <c:showDLblsOverMax val="0"/>
  </c:chart>
  <c:spPr>
    <a:ln>
      <a:solidFill>
        <a:schemeClr val="tx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Misamis Oriental</c:v>
          </c:tx>
          <c:spPr>
            <a:ln w="19050">
              <a:solidFill>
                <a:schemeClr val="bg1">
                  <a:lumMod val="65000"/>
                </a:schemeClr>
              </a:solidFill>
              <a:prstDash val="solid"/>
            </a:ln>
          </c:spPr>
          <c:marker>
            <c:symbol val="square"/>
            <c:size val="4"/>
          </c:marker>
          <c:xVal>
            <c:numRef>
              <c:f>'plot scratch'!$B$3:$B$10</c:f>
              <c:numCache>
                <c:formatCode>General</c:formatCode>
                <c:ptCount val="8"/>
                <c:pt idx="0">
                  <c:v>4.75</c:v>
                </c:pt>
                <c:pt idx="1">
                  <c:v>2.36</c:v>
                </c:pt>
                <c:pt idx="2">
                  <c:v>1.18</c:v>
                </c:pt>
                <c:pt idx="3">
                  <c:v>0.6</c:v>
                </c:pt>
                <c:pt idx="4">
                  <c:v>0.42499999999999999</c:v>
                </c:pt>
                <c:pt idx="5">
                  <c:v>0.25</c:v>
                </c:pt>
                <c:pt idx="6">
                  <c:v>0.15</c:v>
                </c:pt>
                <c:pt idx="7">
                  <c:v>7.4999999999999997E-2</c:v>
                </c:pt>
              </c:numCache>
            </c:numRef>
          </c:xVal>
          <c:yVal>
            <c:numRef>
              <c:f>'plot scratch'!$D$3:$D$10</c:f>
              <c:numCache>
                <c:formatCode>0.0000</c:formatCode>
                <c:ptCount val="8"/>
                <c:pt idx="0">
                  <c:v>100</c:v>
                </c:pt>
                <c:pt idx="1">
                  <c:v>96.605287521859893</c:v>
                </c:pt>
                <c:pt idx="2">
                  <c:v>94.853924493364886</c:v>
                </c:pt>
                <c:pt idx="3">
                  <c:v>86.732332064602417</c:v>
                </c:pt>
                <c:pt idx="4">
                  <c:v>74.125604361691188</c:v>
                </c:pt>
                <c:pt idx="5">
                  <c:v>47.824297911737474</c:v>
                </c:pt>
                <c:pt idx="6">
                  <c:v>29.683160168706927</c:v>
                </c:pt>
                <c:pt idx="7">
                  <c:v>18.110276720502011</c:v>
                </c:pt>
              </c:numCache>
            </c:numRef>
          </c:yVal>
          <c:smooth val="1"/>
          <c:extLst xmlns:c16r2="http://schemas.microsoft.com/office/drawing/2015/06/chart">
            <c:ext xmlns:c16="http://schemas.microsoft.com/office/drawing/2014/chart" uri="{C3380CC4-5D6E-409C-BE32-E72D297353CC}">
              <c16:uniqueId val="{00000000-58C1-4EA6-8B15-14207E5320CB}"/>
            </c:ext>
          </c:extLst>
        </c:ser>
        <c:ser>
          <c:idx val="1"/>
          <c:order val="1"/>
          <c:tx>
            <c:v>Metro Manila</c:v>
          </c:tx>
          <c:spPr>
            <a:ln w="19050">
              <a:solidFill>
                <a:schemeClr val="bg1">
                  <a:lumMod val="50000"/>
                </a:schemeClr>
              </a:solidFill>
              <a:prstDash val="sysDash"/>
            </a:ln>
          </c:spPr>
          <c:marker>
            <c:symbol val="square"/>
            <c:size val="4"/>
            <c:spPr>
              <a:ln>
                <a:noFill/>
              </a:ln>
            </c:spPr>
          </c:marker>
          <c:xVal>
            <c:numRef>
              <c:f>'plot scratch'!$B$3:$B$10</c:f>
              <c:numCache>
                <c:formatCode>General</c:formatCode>
                <c:ptCount val="8"/>
                <c:pt idx="0">
                  <c:v>4.75</c:v>
                </c:pt>
                <c:pt idx="1">
                  <c:v>2.36</c:v>
                </c:pt>
                <c:pt idx="2">
                  <c:v>1.18</c:v>
                </c:pt>
                <c:pt idx="3">
                  <c:v>0.6</c:v>
                </c:pt>
                <c:pt idx="4">
                  <c:v>0.42499999999999999</c:v>
                </c:pt>
                <c:pt idx="5">
                  <c:v>0.25</c:v>
                </c:pt>
                <c:pt idx="6">
                  <c:v>0.15</c:v>
                </c:pt>
                <c:pt idx="7">
                  <c:v>7.4999999999999997E-2</c:v>
                </c:pt>
              </c:numCache>
            </c:numRef>
          </c:xVal>
          <c:yVal>
            <c:numRef>
              <c:f>'plot scratch'!$C$3:$C$10</c:f>
              <c:numCache>
                <c:formatCode>General</c:formatCode>
                <c:ptCount val="8"/>
                <c:pt idx="0">
                  <c:v>96.697955877447953</c:v>
                </c:pt>
                <c:pt idx="1">
                  <c:v>94.776528327059623</c:v>
                </c:pt>
                <c:pt idx="2">
                  <c:v>88.276075665888413</c:v>
                </c:pt>
                <c:pt idx="3">
                  <c:v>66.263639395816469</c:v>
                </c:pt>
                <c:pt idx="4">
                  <c:v>48.681326535474348</c:v>
                </c:pt>
                <c:pt idx="5">
                  <c:v>23.415685900795744</c:v>
                </c:pt>
                <c:pt idx="6">
                  <c:v>12.076523562205189</c:v>
                </c:pt>
                <c:pt idx="7">
                  <c:v>7.6201934530900237</c:v>
                </c:pt>
              </c:numCache>
            </c:numRef>
          </c:yVal>
          <c:smooth val="1"/>
          <c:extLst xmlns:c16r2="http://schemas.microsoft.com/office/drawing/2015/06/chart">
            <c:ext xmlns:c16="http://schemas.microsoft.com/office/drawing/2014/chart" uri="{C3380CC4-5D6E-409C-BE32-E72D297353CC}">
              <c16:uniqueId val="{00000001-58C1-4EA6-8B15-14207E5320CB}"/>
            </c:ext>
          </c:extLst>
        </c:ser>
        <c:dLbls>
          <c:showLegendKey val="0"/>
          <c:showVal val="0"/>
          <c:showCatName val="0"/>
          <c:showSerName val="0"/>
          <c:showPercent val="0"/>
          <c:showBubbleSize val="0"/>
        </c:dLbls>
        <c:axId val="157596288"/>
        <c:axId val="161467392"/>
      </c:scatterChart>
      <c:valAx>
        <c:axId val="157596288"/>
        <c:scaling>
          <c:logBase val="10"/>
          <c:orientation val="minMax"/>
        </c:scaling>
        <c:delete val="0"/>
        <c:axPos val="b"/>
        <c:majorGridlines/>
        <c:minorGridlines/>
        <c:title>
          <c:tx>
            <c:rich>
              <a:bodyPr/>
              <a:lstStyle/>
              <a:p>
                <a:pPr>
                  <a:defRPr sz="900"/>
                </a:pPr>
                <a:r>
                  <a:rPr lang="en-PH" sz="900"/>
                  <a:t>Sieve Size (mm)</a:t>
                </a:r>
              </a:p>
            </c:rich>
          </c:tx>
          <c:layout/>
          <c:overlay val="0"/>
        </c:title>
        <c:numFmt formatCode="#,##0.000" sourceLinked="0"/>
        <c:majorTickMark val="out"/>
        <c:minorTickMark val="none"/>
        <c:tickLblPos val="nextTo"/>
        <c:txPr>
          <a:bodyPr/>
          <a:lstStyle/>
          <a:p>
            <a:pPr>
              <a:defRPr sz="900"/>
            </a:pPr>
            <a:endParaRPr lang="en-US"/>
          </a:p>
        </c:txPr>
        <c:crossAx val="161467392"/>
        <c:crosses val="autoZero"/>
        <c:crossBetween val="midCat"/>
        <c:minorUnit val="10"/>
      </c:valAx>
      <c:valAx>
        <c:axId val="161467392"/>
        <c:scaling>
          <c:orientation val="minMax"/>
          <c:max val="100"/>
        </c:scaling>
        <c:delete val="0"/>
        <c:axPos val="r"/>
        <c:majorGridlines/>
        <c:minorGridlines>
          <c:spPr>
            <a:ln>
              <a:noFill/>
            </a:ln>
          </c:spPr>
        </c:minorGridlines>
        <c:title>
          <c:tx>
            <c:rich>
              <a:bodyPr/>
              <a:lstStyle/>
              <a:p>
                <a:pPr>
                  <a:defRPr sz="900"/>
                </a:pPr>
                <a:r>
                  <a:rPr lang="en-US" sz="900"/>
                  <a:t>Percent</a:t>
                </a:r>
                <a:r>
                  <a:rPr lang="en-US" sz="900" baseline="0"/>
                  <a:t> </a:t>
                </a:r>
                <a:r>
                  <a:rPr lang="en-US" sz="900"/>
                  <a:t>Finer (%)</a:t>
                </a:r>
              </a:p>
            </c:rich>
          </c:tx>
          <c:layout/>
          <c:overlay val="0"/>
        </c:title>
        <c:numFmt formatCode="0" sourceLinked="0"/>
        <c:majorTickMark val="out"/>
        <c:minorTickMark val="none"/>
        <c:tickLblPos val="nextTo"/>
        <c:crossAx val="157596288"/>
        <c:crosses val="max"/>
        <c:crossBetween val="midCat"/>
      </c:valAx>
    </c:plotArea>
    <c:legend>
      <c:legendPos val="t"/>
      <c:layout/>
      <c:overlay val="0"/>
      <c:txPr>
        <a:bodyPr/>
        <a:lstStyle/>
        <a:p>
          <a:pPr>
            <a:defRPr sz="900"/>
          </a:pPr>
          <a:endParaRPr lang="en-US"/>
        </a:p>
      </c:txPr>
    </c:legend>
    <c:plotVisOnly val="1"/>
    <c:dispBlanksAs val="gap"/>
    <c:showDLblsOverMax val="0"/>
  </c:chart>
  <c:spPr>
    <a:ln>
      <a:solidFill>
        <a:schemeClr val="tx1"/>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E1735-4001-42C2-A674-8FC525DE0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11</Pages>
  <Words>5578</Words>
  <Characters>30071</Characters>
  <Application>Microsoft Office Word</Application>
  <DocSecurity>0</DocSecurity>
  <Lines>668</Lines>
  <Paragraphs>309</Paragraphs>
  <ScaleCrop>false</ScaleCrop>
  <HeadingPairs>
    <vt:vector size="2" baseType="variant">
      <vt:variant>
        <vt:lpstr>Title</vt:lpstr>
      </vt:variant>
      <vt:variant>
        <vt:i4>1</vt:i4>
      </vt:variant>
    </vt:vector>
  </HeadingPairs>
  <TitlesOfParts>
    <vt:vector size="1" baseType="lpstr">
      <vt:lpstr>MJAS Vol 21 No 5 (2017)</vt:lpstr>
    </vt:vector>
  </TitlesOfParts>
  <Company>UKM</Company>
  <LinksUpToDate>false</LinksUpToDate>
  <CharactersWithSpaces>35340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5 (2017)</dc:title>
  <dc:creator>Harun Hj Hamzah</dc:creator>
  <cp:lastModifiedBy>Harun Hamzah</cp:lastModifiedBy>
  <cp:revision>14</cp:revision>
  <cp:lastPrinted>2017-10-16T08:33:00Z</cp:lastPrinted>
  <dcterms:created xsi:type="dcterms:W3CDTF">2017-09-21T07:32:00Z</dcterms:created>
  <dcterms:modified xsi:type="dcterms:W3CDTF">2017-10-16T08:33:00Z</dcterms:modified>
</cp:coreProperties>
</file>