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FC0" w:rsidRDefault="00C65FC0" w:rsidP="00C65F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Malaysian Journal of Analytical Sciences Vol 21 No 5 (2017): 1151 - 1155</w:t>
      </w:r>
    </w:p>
    <w:p w:rsidR="00C65FC0" w:rsidRDefault="00C65FC0" w:rsidP="00C65F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5FC0" w:rsidRDefault="00C65FC0" w:rsidP="00C65F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5FC0" w:rsidRPr="00C65FC0" w:rsidRDefault="00C65FC0" w:rsidP="00C65F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5FC0" w:rsidRDefault="00C65FC0" w:rsidP="00C65F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SYNTHESIS, CHARACTERIZATION AND ANTIMICROBIAL PROPERTIES OF COPPER(II) COMPLEX OF HETEROCYCLIC LIGANDS</w:t>
      </w:r>
    </w:p>
    <w:p w:rsidR="00C65FC0" w:rsidRPr="009D0D26" w:rsidRDefault="00C65FC0" w:rsidP="00C65F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65FC0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color w:val="000000" w:themeColor="text1"/>
          <w:sz w:val="24"/>
          <w:szCs w:val="24"/>
          <w:lang w:val="ms-MY"/>
        </w:rPr>
      </w:pPr>
      <w:r w:rsidRPr="00BC7303">
        <w:rPr>
          <w:rFonts w:ascii="Times New Roman" w:hAnsi="Times New Roman"/>
          <w:noProof/>
          <w:color w:val="000000" w:themeColor="text1"/>
          <w:sz w:val="24"/>
          <w:szCs w:val="24"/>
          <w:lang w:val="ms-MY"/>
        </w:rPr>
        <w:t xml:space="preserve">(Sintesis, Pencirian dan </w:t>
      </w:r>
      <w:r w:rsidRPr="00BC7303">
        <w:rPr>
          <w:rFonts w:ascii="Times New Roman" w:hAnsi="Times New Roman"/>
          <w:noProof/>
          <w:sz w:val="24"/>
          <w:szCs w:val="24"/>
          <w:lang w:val="ms-MY"/>
        </w:rPr>
        <w:t>Ciri</w:t>
      </w:r>
      <w:r>
        <w:rPr>
          <w:rFonts w:ascii="Times New Roman" w:hAnsi="Times New Roman"/>
          <w:noProof/>
          <w:sz w:val="24"/>
          <w:szCs w:val="24"/>
          <w:lang w:val="ms-MY"/>
        </w:rPr>
        <w:t xml:space="preserve"> </w:t>
      </w:r>
      <w:r w:rsidRPr="00BC7303">
        <w:rPr>
          <w:rFonts w:ascii="Times New Roman" w:hAnsi="Times New Roman"/>
          <w:noProof/>
          <w:sz w:val="24"/>
          <w:szCs w:val="24"/>
          <w:lang w:val="ms-MY"/>
        </w:rPr>
        <w:t>Antimikrob</w:t>
      </w:r>
      <w:r w:rsidRPr="00BC7303">
        <w:rPr>
          <w:rFonts w:ascii="Times New Roman" w:hAnsi="Times New Roman"/>
          <w:noProof/>
          <w:color w:val="0000FF"/>
          <w:sz w:val="24"/>
          <w:szCs w:val="24"/>
          <w:lang w:val="ms-MY"/>
        </w:rPr>
        <w:t xml:space="preserve"> </w:t>
      </w:r>
      <w:r w:rsidRPr="00BC7303">
        <w:rPr>
          <w:rFonts w:ascii="Times New Roman" w:hAnsi="Times New Roman"/>
          <w:noProof/>
          <w:color w:val="000000" w:themeColor="text1"/>
          <w:sz w:val="24"/>
          <w:szCs w:val="24"/>
          <w:lang w:val="ms-MY"/>
        </w:rPr>
        <w:t>Kuprum(II) Kompleks</w:t>
      </w:r>
      <w:r>
        <w:rPr>
          <w:rFonts w:ascii="Times New Roman" w:hAnsi="Times New Roman"/>
          <w:noProof/>
          <w:color w:val="000000" w:themeColor="text1"/>
          <w:sz w:val="24"/>
          <w:szCs w:val="24"/>
          <w:lang w:val="ms-MY"/>
        </w:rPr>
        <w:t xml:space="preserve"> dengan Ligan</w:t>
      </w:r>
      <w:r w:rsidRPr="00BC7303">
        <w:rPr>
          <w:rFonts w:ascii="Times New Roman" w:hAnsi="Times New Roman"/>
          <w:noProof/>
          <w:color w:val="000000" w:themeColor="text1"/>
          <w:sz w:val="24"/>
          <w:szCs w:val="24"/>
          <w:lang w:val="ms-MY"/>
        </w:rPr>
        <w:t xml:space="preserve"> Heterosiklik)</w:t>
      </w:r>
    </w:p>
    <w:p w:rsidR="00C65FC0" w:rsidRPr="00D008E1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color w:val="000000" w:themeColor="text1"/>
          <w:sz w:val="20"/>
          <w:szCs w:val="20"/>
          <w:lang w:val="ms-MY"/>
        </w:rPr>
      </w:pPr>
    </w:p>
    <w:p w:rsidR="00C65FC0" w:rsidRPr="00BC7303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color w:val="000000" w:themeColor="text1"/>
          <w:sz w:val="20"/>
          <w:szCs w:val="20"/>
          <w:lang w:val="ms-MY"/>
        </w:rPr>
      </w:pPr>
      <w:r w:rsidRPr="00BC7303">
        <w:rPr>
          <w:rFonts w:ascii="Times New Roman" w:hAnsi="Times New Roman"/>
          <w:noProof/>
          <w:color w:val="000000" w:themeColor="text1"/>
          <w:sz w:val="20"/>
          <w:szCs w:val="20"/>
          <w:lang w:val="ms-MY"/>
        </w:rPr>
        <w:t>Rabuyah Ni</w:t>
      </w:r>
      <w:r>
        <w:rPr>
          <w:rFonts w:ascii="Times New Roman" w:hAnsi="Times New Roman"/>
          <w:noProof/>
          <w:color w:val="000000" w:themeColor="text1"/>
          <w:sz w:val="20"/>
          <w:szCs w:val="20"/>
          <w:lang w:val="ms-MY"/>
        </w:rPr>
        <w:t>*</w:t>
      </w:r>
      <w:r w:rsidRPr="00BC7303">
        <w:rPr>
          <w:rFonts w:ascii="Times New Roman" w:hAnsi="Times New Roman"/>
          <w:noProof/>
          <w:color w:val="000000" w:themeColor="text1"/>
          <w:sz w:val="20"/>
          <w:szCs w:val="20"/>
          <w:lang w:val="ms-MY"/>
        </w:rPr>
        <w:t>, Mohammad Isa Mohamadin, Vivien Jong Yi Mian</w:t>
      </w: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i/>
          <w:noProof/>
          <w:color w:val="000000" w:themeColor="text1"/>
          <w:sz w:val="20"/>
          <w:szCs w:val="20"/>
          <w:lang w:val="ms-MY"/>
        </w:rPr>
      </w:pPr>
      <w:r w:rsidRPr="00C65FC0">
        <w:rPr>
          <w:rFonts w:ascii="Times New Roman" w:hAnsi="Times New Roman"/>
          <w:i/>
          <w:noProof/>
          <w:color w:val="000000" w:themeColor="text1"/>
          <w:sz w:val="20"/>
          <w:szCs w:val="20"/>
          <w:lang w:val="ms-MY"/>
        </w:rPr>
        <w:t xml:space="preserve">Faculty of Applied Sciences, </w:t>
      </w: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i/>
          <w:noProof/>
          <w:color w:val="000000" w:themeColor="text1"/>
          <w:sz w:val="20"/>
          <w:szCs w:val="20"/>
          <w:lang w:val="ms-MY"/>
        </w:rPr>
      </w:pPr>
      <w:r w:rsidRPr="00C65FC0">
        <w:rPr>
          <w:rFonts w:ascii="Times New Roman" w:hAnsi="Times New Roman"/>
          <w:i/>
          <w:noProof/>
          <w:color w:val="000000" w:themeColor="text1"/>
          <w:sz w:val="20"/>
          <w:szCs w:val="20"/>
          <w:lang w:val="ms-MY"/>
        </w:rPr>
        <w:t>Universiti Teknologi MARA, Kampus Samarahan 2, 94300 Kota Samarahan, Sarawak, Malaysia</w:t>
      </w: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lang w:bidi="ar-SA"/>
        </w:rPr>
      </w:pPr>
      <w:r w:rsidRPr="00C65FC0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 </w:t>
      </w:r>
      <w:r w:rsidRPr="00C65FC0">
        <w:rPr>
          <w:rFonts w:ascii="Times New Roman" w:hAnsi="Times New Roman"/>
          <w:i/>
          <w:color w:val="000000" w:themeColor="text1"/>
          <w:sz w:val="20"/>
          <w:szCs w:val="20"/>
        </w:rPr>
        <w:t>abuyani2201@gmail.com</w:t>
      </w: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C65FC0">
        <w:rPr>
          <w:rFonts w:ascii="Times New Roman" w:hAnsi="Times New Roman"/>
          <w:noProof/>
          <w:sz w:val="20"/>
          <w:szCs w:val="20"/>
          <w:lang w:bidi="ar-SA"/>
        </w:rPr>
        <w:t>Received: 21 August 2016; Accepted: 27 July 2017</w:t>
      </w: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C65FC0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C65FC0" w:rsidRPr="00C65FC0" w:rsidRDefault="00C65FC0" w:rsidP="00C65F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65FC0">
        <w:rPr>
          <w:rFonts w:ascii="Times New Roman" w:hAnsi="Times New Roman"/>
          <w:sz w:val="20"/>
          <w:szCs w:val="20"/>
        </w:rPr>
        <w:t>Copper(II)-</w:t>
      </w:r>
      <w:r w:rsidRPr="00C65FC0">
        <w:rPr>
          <w:rFonts w:ascii="Times New Roman" w:hAnsi="Times New Roman"/>
          <w:i/>
          <w:sz w:val="20"/>
          <w:szCs w:val="20"/>
        </w:rPr>
        <w:sym w:font="Symbol" w:char="F062"/>
      </w:r>
      <w:r w:rsidRPr="00C65FC0">
        <w:rPr>
          <w:rFonts w:ascii="Times New Roman" w:hAnsi="Times New Roman"/>
          <w:sz w:val="20"/>
          <w:szCs w:val="20"/>
        </w:rPr>
        <w:t xml:space="preserve">-mangostin complex was prepared by 2:1 molar reaction of ligand, </w:t>
      </w:r>
      <w:r w:rsidRPr="00C65FC0">
        <w:rPr>
          <w:rFonts w:ascii="Times New Roman" w:hAnsi="Times New Roman"/>
          <w:i/>
          <w:sz w:val="20"/>
          <w:szCs w:val="20"/>
        </w:rPr>
        <w:sym w:font="Symbol" w:char="F062"/>
      </w:r>
      <w:r w:rsidRPr="00C65FC0">
        <w:rPr>
          <w:rFonts w:ascii="Times New Roman" w:hAnsi="Times New Roman"/>
          <w:sz w:val="20"/>
          <w:szCs w:val="20"/>
        </w:rPr>
        <w:t>-mangostin and copper(II) acetate in one-pot reaction. The resulting complex, [CuL</w:t>
      </w:r>
      <w:r w:rsidRPr="00C65FC0">
        <w:rPr>
          <w:rFonts w:ascii="Times New Roman" w:hAnsi="Times New Roman"/>
          <w:sz w:val="20"/>
          <w:szCs w:val="20"/>
          <w:vertAlign w:val="subscript"/>
        </w:rPr>
        <w:t>2</w:t>
      </w:r>
      <w:r w:rsidRPr="00C65FC0">
        <w:rPr>
          <w:rFonts w:ascii="Times New Roman" w:hAnsi="Times New Roman"/>
          <w:sz w:val="20"/>
          <w:szCs w:val="20"/>
        </w:rPr>
        <w:t>(H</w:t>
      </w:r>
      <w:r w:rsidRPr="00C65FC0">
        <w:rPr>
          <w:rFonts w:ascii="Times New Roman" w:hAnsi="Times New Roman"/>
          <w:sz w:val="20"/>
          <w:szCs w:val="20"/>
          <w:vertAlign w:val="subscript"/>
        </w:rPr>
        <w:t>2</w:t>
      </w:r>
      <w:r w:rsidRPr="00C65FC0">
        <w:rPr>
          <w:rFonts w:ascii="Times New Roman" w:hAnsi="Times New Roman"/>
          <w:sz w:val="20"/>
          <w:szCs w:val="20"/>
        </w:rPr>
        <w:t>O)</w:t>
      </w:r>
      <w:r w:rsidRPr="00C65FC0">
        <w:rPr>
          <w:rFonts w:ascii="Times New Roman" w:hAnsi="Times New Roman"/>
          <w:sz w:val="20"/>
          <w:szCs w:val="20"/>
          <w:vertAlign w:val="subscript"/>
        </w:rPr>
        <w:t>2</w:t>
      </w:r>
      <w:r w:rsidRPr="00C65FC0">
        <w:rPr>
          <w:rFonts w:ascii="Times New Roman" w:hAnsi="Times New Roman"/>
          <w:sz w:val="20"/>
          <w:szCs w:val="20"/>
        </w:rPr>
        <w:t xml:space="preserve">] has been characterized by using spectroscopic techniques. Ligand and its metal complex were tested against </w:t>
      </w:r>
      <w:r w:rsidRPr="00C65FC0">
        <w:rPr>
          <w:rFonts w:ascii="Times New Roman" w:hAnsi="Times New Roman"/>
          <w:i/>
          <w:sz w:val="20"/>
          <w:szCs w:val="20"/>
        </w:rPr>
        <w:t>Escherichia coli</w:t>
      </w:r>
      <w:r w:rsidRPr="00C65FC0">
        <w:rPr>
          <w:rFonts w:ascii="Times New Roman" w:hAnsi="Times New Roman"/>
          <w:sz w:val="20"/>
          <w:szCs w:val="20"/>
        </w:rPr>
        <w:t xml:space="preserve">, </w:t>
      </w:r>
      <w:r w:rsidRPr="00C65FC0">
        <w:rPr>
          <w:rFonts w:ascii="Times New Roman" w:hAnsi="Times New Roman"/>
          <w:i/>
          <w:sz w:val="20"/>
          <w:szCs w:val="20"/>
        </w:rPr>
        <w:t>Pseudomonas aeruginosa</w:t>
      </w:r>
      <w:r w:rsidRPr="00C65FC0">
        <w:rPr>
          <w:rFonts w:ascii="Times New Roman" w:hAnsi="Times New Roman"/>
          <w:sz w:val="20"/>
          <w:szCs w:val="20"/>
        </w:rPr>
        <w:t xml:space="preserve">, </w:t>
      </w:r>
      <w:r w:rsidRPr="00C65FC0">
        <w:rPr>
          <w:rFonts w:ascii="Times New Roman" w:hAnsi="Times New Roman"/>
          <w:i/>
          <w:sz w:val="20"/>
          <w:szCs w:val="20"/>
        </w:rPr>
        <w:t>Proteus vulgaris</w:t>
      </w:r>
      <w:r w:rsidRPr="00C65FC0">
        <w:rPr>
          <w:rFonts w:ascii="Times New Roman" w:hAnsi="Times New Roman"/>
          <w:sz w:val="20"/>
          <w:szCs w:val="20"/>
        </w:rPr>
        <w:t xml:space="preserve">, </w:t>
      </w:r>
      <w:r w:rsidRPr="00C65FC0">
        <w:rPr>
          <w:rFonts w:ascii="Times New Roman" w:hAnsi="Times New Roman"/>
          <w:i/>
          <w:sz w:val="20"/>
          <w:szCs w:val="20"/>
        </w:rPr>
        <w:t xml:space="preserve">Klebsiella pneumonia </w:t>
      </w:r>
      <w:r w:rsidRPr="00C65FC0">
        <w:rPr>
          <w:rFonts w:ascii="Times New Roman" w:hAnsi="Times New Roman"/>
          <w:sz w:val="20"/>
          <w:szCs w:val="20"/>
        </w:rPr>
        <w:t xml:space="preserve">and </w:t>
      </w:r>
      <w:r w:rsidRPr="00C65FC0">
        <w:rPr>
          <w:rFonts w:ascii="Times New Roman" w:hAnsi="Times New Roman"/>
          <w:i/>
          <w:sz w:val="20"/>
          <w:szCs w:val="20"/>
        </w:rPr>
        <w:t>Salmonella pneumoniae</w:t>
      </w:r>
      <w:r w:rsidRPr="00C65FC0">
        <w:rPr>
          <w:rFonts w:ascii="Times New Roman" w:hAnsi="Times New Roman"/>
          <w:sz w:val="20"/>
          <w:szCs w:val="20"/>
        </w:rPr>
        <w:t xml:space="preserve"> bacteria to assess on their antibacterial properties using Minimum Inhibitory Concentrations (MICs) and Minimum Bactericidal Concentrations (MBCs) method. The UV-Vis result showed that the complex has an octahedral geometry. The general formula [ML</w:t>
      </w:r>
      <w:r w:rsidRPr="00C65FC0">
        <w:rPr>
          <w:rFonts w:ascii="Times New Roman" w:hAnsi="Times New Roman"/>
          <w:sz w:val="20"/>
          <w:szCs w:val="20"/>
          <w:vertAlign w:val="subscript"/>
        </w:rPr>
        <w:t>2</w:t>
      </w:r>
      <w:r w:rsidRPr="00C65FC0">
        <w:rPr>
          <w:rFonts w:ascii="Times New Roman" w:hAnsi="Times New Roman"/>
          <w:sz w:val="20"/>
          <w:szCs w:val="20"/>
        </w:rPr>
        <w:t>(H</w:t>
      </w:r>
      <w:r w:rsidRPr="00C65FC0">
        <w:rPr>
          <w:rFonts w:ascii="Times New Roman" w:hAnsi="Times New Roman"/>
          <w:sz w:val="20"/>
          <w:szCs w:val="20"/>
          <w:vertAlign w:val="subscript"/>
        </w:rPr>
        <w:t>2</w:t>
      </w:r>
      <w:r w:rsidRPr="00C65FC0">
        <w:rPr>
          <w:rFonts w:ascii="Times New Roman" w:hAnsi="Times New Roman"/>
          <w:sz w:val="20"/>
          <w:szCs w:val="20"/>
        </w:rPr>
        <w:t>O)</w:t>
      </w:r>
      <w:r w:rsidRPr="00C65FC0">
        <w:rPr>
          <w:rFonts w:ascii="Times New Roman" w:hAnsi="Times New Roman"/>
          <w:sz w:val="20"/>
          <w:szCs w:val="20"/>
          <w:vertAlign w:val="subscript"/>
        </w:rPr>
        <w:t>2</w:t>
      </w:r>
      <w:r w:rsidRPr="00C65FC0">
        <w:rPr>
          <w:rFonts w:ascii="Times New Roman" w:hAnsi="Times New Roman"/>
          <w:sz w:val="20"/>
          <w:szCs w:val="20"/>
        </w:rPr>
        <w:t>], in which L =</w:t>
      </w:r>
      <w:r w:rsidRPr="00C65FC0">
        <w:rPr>
          <w:rFonts w:ascii="Times New Roman" w:hAnsi="Times New Roman"/>
          <w:i/>
          <w:sz w:val="20"/>
          <w:szCs w:val="20"/>
        </w:rPr>
        <w:t xml:space="preserve"> </w:t>
      </w:r>
      <w:r w:rsidRPr="00C65FC0">
        <w:rPr>
          <w:rFonts w:ascii="Times New Roman" w:hAnsi="Times New Roman"/>
          <w:i/>
          <w:sz w:val="20"/>
          <w:szCs w:val="20"/>
        </w:rPr>
        <w:sym w:font="Symbol" w:char="F062"/>
      </w:r>
      <w:r w:rsidRPr="00C65FC0">
        <w:rPr>
          <w:rFonts w:ascii="Times New Roman" w:hAnsi="Times New Roman"/>
          <w:i/>
          <w:sz w:val="20"/>
          <w:szCs w:val="20"/>
        </w:rPr>
        <w:t>-</w:t>
      </w:r>
      <w:r w:rsidRPr="00C65FC0">
        <w:rPr>
          <w:rFonts w:ascii="Times New Roman" w:hAnsi="Times New Roman"/>
          <w:sz w:val="20"/>
          <w:szCs w:val="20"/>
        </w:rPr>
        <w:t>mangostin, is determined from UV-Vis, FTIR and CHNS data.  Ligands were completely inactive against bacteria whereas the copper(II)</w:t>
      </w:r>
      <w:r w:rsidRPr="00C65FC0">
        <w:rPr>
          <w:rFonts w:ascii="Times New Roman" w:hAnsi="Times New Roman"/>
          <w:i/>
          <w:sz w:val="20"/>
          <w:szCs w:val="20"/>
        </w:rPr>
        <w:t xml:space="preserve"> </w:t>
      </w:r>
      <w:r w:rsidRPr="00C65FC0">
        <w:rPr>
          <w:rFonts w:ascii="Times New Roman" w:hAnsi="Times New Roman"/>
          <w:i/>
          <w:sz w:val="20"/>
          <w:szCs w:val="20"/>
        </w:rPr>
        <w:sym w:font="Symbol" w:char="F062"/>
      </w:r>
      <w:r w:rsidRPr="00C65FC0">
        <w:rPr>
          <w:rFonts w:ascii="Times New Roman" w:hAnsi="Times New Roman"/>
          <w:i/>
          <w:sz w:val="20"/>
          <w:szCs w:val="20"/>
        </w:rPr>
        <w:t>-</w:t>
      </w:r>
      <w:r w:rsidRPr="00C65FC0">
        <w:rPr>
          <w:rFonts w:ascii="Times New Roman" w:hAnsi="Times New Roman"/>
          <w:sz w:val="20"/>
          <w:szCs w:val="20"/>
        </w:rPr>
        <w:t>mangostin complex has significant action on bacteria, indicating that it has a good potential as bactericide.</w:t>
      </w:r>
    </w:p>
    <w:p w:rsidR="00C65FC0" w:rsidRPr="00C65FC0" w:rsidRDefault="00C65FC0" w:rsidP="00C65F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65FC0" w:rsidRPr="00C65FC0" w:rsidRDefault="00C65FC0" w:rsidP="00C65F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65FC0">
        <w:rPr>
          <w:rFonts w:ascii="Times New Roman" w:hAnsi="Times New Roman"/>
          <w:b/>
          <w:color w:val="000000" w:themeColor="text1"/>
          <w:sz w:val="20"/>
          <w:szCs w:val="20"/>
        </w:rPr>
        <w:t>Keywords</w:t>
      </w:r>
      <w:r w:rsidRPr="00C65FC0">
        <w:rPr>
          <w:rFonts w:ascii="Times New Roman" w:hAnsi="Times New Roman"/>
          <w:color w:val="000000" w:themeColor="text1"/>
          <w:sz w:val="20"/>
          <w:szCs w:val="20"/>
        </w:rPr>
        <w:t xml:space="preserve">:  </w:t>
      </w:r>
      <w:r w:rsidRPr="00C65FC0">
        <w:rPr>
          <w:rFonts w:ascii="Times New Roman" w:hAnsi="Times New Roman"/>
          <w:i/>
          <w:color w:val="000000" w:themeColor="text1"/>
          <w:sz w:val="20"/>
          <w:szCs w:val="20"/>
        </w:rPr>
        <w:sym w:font="Symbol" w:char="F062"/>
      </w:r>
      <w:r w:rsidRPr="00C65FC0">
        <w:rPr>
          <w:rFonts w:ascii="Times New Roman" w:hAnsi="Times New Roman"/>
          <w:color w:val="000000" w:themeColor="text1"/>
          <w:sz w:val="20"/>
          <w:szCs w:val="20"/>
        </w:rPr>
        <w:t>-mangostin, copper(II) complex, antimicrobial, xanthones</w:t>
      </w: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color w:val="FF0000"/>
          <w:sz w:val="20"/>
          <w:szCs w:val="20"/>
        </w:rPr>
      </w:pPr>
    </w:p>
    <w:p w:rsidR="00C65FC0" w:rsidRPr="00C65FC0" w:rsidRDefault="00C65FC0" w:rsidP="00C65FC0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val="ms-MY"/>
        </w:rPr>
      </w:pPr>
      <w:r w:rsidRPr="00C65FC0">
        <w:rPr>
          <w:rFonts w:ascii="Times New Roman" w:hAnsi="Times New Roman"/>
          <w:b/>
          <w:noProof/>
          <w:sz w:val="20"/>
          <w:szCs w:val="20"/>
          <w:lang w:val="ms-MY"/>
        </w:rPr>
        <w:t>Abstrak</w:t>
      </w:r>
    </w:p>
    <w:p w:rsidR="00C65FC0" w:rsidRPr="00C65FC0" w:rsidRDefault="00C65FC0" w:rsidP="00C65FC0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C65FC0">
        <w:rPr>
          <w:rFonts w:ascii="Times New Roman" w:hAnsi="Times New Roman"/>
          <w:noProof/>
          <w:sz w:val="20"/>
          <w:szCs w:val="20"/>
          <w:lang w:val="ms-MY"/>
        </w:rPr>
        <w:t>Kompleks kuprum(II)-</w:t>
      </w:r>
      <w:r w:rsidRPr="00C65FC0">
        <w:rPr>
          <w:rFonts w:ascii="Times New Roman" w:hAnsi="Times New Roman"/>
          <w:i/>
          <w:noProof/>
          <w:sz w:val="20"/>
          <w:szCs w:val="20"/>
          <w:lang w:val="ms-MY"/>
        </w:rPr>
        <w:sym w:font="Symbol" w:char="F062"/>
      </w:r>
      <w:r w:rsidRPr="00C65FC0">
        <w:rPr>
          <w:rFonts w:ascii="Times New Roman" w:hAnsi="Times New Roman"/>
          <w:noProof/>
          <w:sz w:val="20"/>
          <w:szCs w:val="20"/>
          <w:lang w:val="ms-MY"/>
        </w:rPr>
        <w:t xml:space="preserve">-mangostin disediakan dengan nisbah 2:1 mol antara ligand, </w:t>
      </w:r>
      <w:r w:rsidRPr="00C65FC0">
        <w:rPr>
          <w:rFonts w:ascii="Times New Roman" w:hAnsi="Times New Roman"/>
          <w:i/>
          <w:noProof/>
          <w:sz w:val="20"/>
          <w:szCs w:val="20"/>
          <w:lang w:val="ms-MY"/>
        </w:rPr>
        <w:sym w:font="Symbol" w:char="F062"/>
      </w:r>
      <w:r w:rsidR="002D4232">
        <w:rPr>
          <w:rFonts w:ascii="Times New Roman" w:hAnsi="Times New Roman"/>
          <w:noProof/>
          <w:sz w:val="20"/>
          <w:szCs w:val="20"/>
          <w:lang w:val="ms-MY"/>
        </w:rPr>
        <w:t>-mangostin dan ku</w:t>
      </w:r>
      <w:bookmarkStart w:id="0" w:name="_GoBack"/>
      <w:bookmarkEnd w:id="0"/>
      <w:r w:rsidRPr="00C65FC0">
        <w:rPr>
          <w:rFonts w:ascii="Times New Roman" w:hAnsi="Times New Roman"/>
          <w:noProof/>
          <w:sz w:val="20"/>
          <w:szCs w:val="20"/>
          <w:lang w:val="ms-MY"/>
        </w:rPr>
        <w:t>prum asetat dalam tindak balas satu-bekas. Kompleks yang dihasilkan, [CuL</w:t>
      </w:r>
      <w:r w:rsidRPr="00C65FC0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2</w:t>
      </w:r>
      <w:r w:rsidRPr="00C65FC0">
        <w:rPr>
          <w:rFonts w:ascii="Times New Roman" w:hAnsi="Times New Roman"/>
          <w:noProof/>
          <w:sz w:val="20"/>
          <w:szCs w:val="20"/>
          <w:lang w:val="ms-MY"/>
        </w:rPr>
        <w:t>(H</w:t>
      </w:r>
      <w:r w:rsidRPr="00C65FC0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2</w:t>
      </w:r>
      <w:r w:rsidRPr="00C65FC0">
        <w:rPr>
          <w:rFonts w:ascii="Times New Roman" w:hAnsi="Times New Roman"/>
          <w:noProof/>
          <w:sz w:val="20"/>
          <w:szCs w:val="20"/>
          <w:lang w:val="ms-MY"/>
        </w:rPr>
        <w:t>O)</w:t>
      </w:r>
      <w:r w:rsidRPr="00C65FC0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2</w:t>
      </w:r>
      <w:r w:rsidRPr="00C65FC0">
        <w:rPr>
          <w:rFonts w:ascii="Times New Roman" w:hAnsi="Times New Roman"/>
          <w:noProof/>
          <w:sz w:val="20"/>
          <w:szCs w:val="20"/>
          <w:lang w:val="ms-MY"/>
        </w:rPr>
        <w:t xml:space="preserve">] dicirikan dengan menggunakan teknik spektroskopik. Ligan dan logam kompleks diuji ke atas bakteria </w:t>
      </w:r>
      <w:r w:rsidRPr="00C65FC0">
        <w:rPr>
          <w:rFonts w:ascii="Times New Roman" w:hAnsi="Times New Roman"/>
          <w:i/>
          <w:noProof/>
          <w:sz w:val="20"/>
          <w:szCs w:val="20"/>
          <w:lang w:val="ms-MY"/>
        </w:rPr>
        <w:t>Escherichia coli</w:t>
      </w:r>
      <w:r w:rsidRPr="00C65FC0">
        <w:rPr>
          <w:rFonts w:ascii="Times New Roman" w:hAnsi="Times New Roman"/>
          <w:noProof/>
          <w:sz w:val="20"/>
          <w:szCs w:val="20"/>
          <w:lang w:val="ms-MY"/>
        </w:rPr>
        <w:t xml:space="preserve">, </w:t>
      </w:r>
      <w:r w:rsidRPr="00C65FC0">
        <w:rPr>
          <w:rFonts w:ascii="Times New Roman" w:hAnsi="Times New Roman"/>
          <w:i/>
          <w:noProof/>
          <w:sz w:val="20"/>
          <w:szCs w:val="20"/>
          <w:lang w:val="ms-MY"/>
        </w:rPr>
        <w:t>Pseudomonas aeruginosa</w:t>
      </w:r>
      <w:r w:rsidRPr="00C65FC0">
        <w:rPr>
          <w:rFonts w:ascii="Times New Roman" w:hAnsi="Times New Roman"/>
          <w:noProof/>
          <w:sz w:val="20"/>
          <w:szCs w:val="20"/>
          <w:lang w:val="ms-MY"/>
        </w:rPr>
        <w:t xml:space="preserve">, </w:t>
      </w:r>
      <w:r w:rsidRPr="00C65FC0">
        <w:rPr>
          <w:rFonts w:ascii="Times New Roman" w:hAnsi="Times New Roman"/>
          <w:i/>
          <w:noProof/>
          <w:sz w:val="20"/>
          <w:szCs w:val="20"/>
          <w:lang w:val="ms-MY"/>
        </w:rPr>
        <w:t>Proteus vulgaris</w:t>
      </w:r>
      <w:r w:rsidRPr="00C65FC0">
        <w:rPr>
          <w:rFonts w:ascii="Times New Roman" w:hAnsi="Times New Roman"/>
          <w:noProof/>
          <w:sz w:val="20"/>
          <w:szCs w:val="20"/>
          <w:lang w:val="ms-MY"/>
        </w:rPr>
        <w:t xml:space="preserve">, </w:t>
      </w:r>
      <w:r w:rsidRPr="00C65FC0">
        <w:rPr>
          <w:rFonts w:ascii="Times New Roman" w:hAnsi="Times New Roman"/>
          <w:i/>
          <w:noProof/>
          <w:sz w:val="20"/>
          <w:szCs w:val="20"/>
          <w:lang w:val="ms-MY"/>
        </w:rPr>
        <w:t>Klebsiella pneumonia</w:t>
      </w:r>
      <w:r w:rsidRPr="00C65FC0">
        <w:rPr>
          <w:rFonts w:ascii="Times New Roman" w:hAnsi="Times New Roman"/>
          <w:noProof/>
          <w:sz w:val="20"/>
          <w:szCs w:val="20"/>
          <w:lang w:val="ms-MY"/>
        </w:rPr>
        <w:t xml:space="preserve"> and </w:t>
      </w:r>
      <w:r w:rsidRPr="00C65FC0">
        <w:rPr>
          <w:rFonts w:ascii="Times New Roman" w:hAnsi="Times New Roman"/>
          <w:i/>
          <w:noProof/>
          <w:sz w:val="20"/>
          <w:szCs w:val="20"/>
          <w:lang w:val="ms-MY"/>
        </w:rPr>
        <w:t xml:space="preserve">Salmonella pneumoniae </w:t>
      </w:r>
      <w:r w:rsidRPr="00C65FC0">
        <w:rPr>
          <w:rFonts w:ascii="Times New Roman" w:hAnsi="Times New Roman"/>
          <w:noProof/>
          <w:sz w:val="20"/>
          <w:szCs w:val="20"/>
          <w:lang w:val="ms-MY"/>
        </w:rPr>
        <w:t xml:space="preserve">untuk menilai tindak balas bakteria menggunakan kaedah Kepekatan Perencatan Minimum (KPM) dan kaedah Kepekatan Bakteria Minimum (KBM). Keputusan UV-Vis menunjukkan kompleks mempunyai geometri oktahedron. Formula umum </w:t>
      </w:r>
      <w:r w:rsidRPr="00C65FC0">
        <w:rPr>
          <w:rFonts w:ascii="Times New Roman" w:eastAsiaTheme="majorEastAsia" w:hAnsi="Times New Roman"/>
          <w:noProof/>
          <w:sz w:val="20"/>
          <w:szCs w:val="20"/>
          <w:lang w:val="ms-MY"/>
        </w:rPr>
        <w:t>[ML</w:t>
      </w:r>
      <w:r w:rsidRPr="00C65FC0">
        <w:rPr>
          <w:rFonts w:ascii="Times New Roman" w:eastAsiaTheme="majorEastAsia" w:hAnsi="Times New Roman"/>
          <w:noProof/>
          <w:sz w:val="20"/>
          <w:szCs w:val="20"/>
          <w:vertAlign w:val="subscript"/>
          <w:lang w:val="ms-MY"/>
        </w:rPr>
        <w:t>2</w:t>
      </w:r>
      <w:r w:rsidRPr="00C65FC0">
        <w:rPr>
          <w:rFonts w:ascii="Times New Roman" w:eastAsiaTheme="majorEastAsia" w:hAnsi="Times New Roman"/>
          <w:noProof/>
          <w:sz w:val="20"/>
          <w:szCs w:val="20"/>
          <w:lang w:val="ms-MY"/>
        </w:rPr>
        <w:t>(H</w:t>
      </w:r>
      <w:r w:rsidRPr="00C65FC0">
        <w:rPr>
          <w:rFonts w:ascii="Times New Roman" w:eastAsiaTheme="majorEastAsia" w:hAnsi="Times New Roman"/>
          <w:noProof/>
          <w:sz w:val="20"/>
          <w:szCs w:val="20"/>
          <w:vertAlign w:val="subscript"/>
          <w:lang w:val="ms-MY"/>
        </w:rPr>
        <w:t>2</w:t>
      </w:r>
      <w:r w:rsidRPr="00C65FC0">
        <w:rPr>
          <w:rFonts w:ascii="Times New Roman" w:eastAsiaTheme="majorEastAsia" w:hAnsi="Times New Roman"/>
          <w:noProof/>
          <w:sz w:val="20"/>
          <w:szCs w:val="20"/>
          <w:lang w:val="ms-MY"/>
        </w:rPr>
        <w:t>O)</w:t>
      </w:r>
      <w:r w:rsidRPr="00C65FC0">
        <w:rPr>
          <w:rFonts w:ascii="Times New Roman" w:eastAsiaTheme="majorEastAsia" w:hAnsi="Times New Roman"/>
          <w:noProof/>
          <w:sz w:val="20"/>
          <w:szCs w:val="20"/>
          <w:vertAlign w:val="subscript"/>
          <w:lang w:val="ms-MY"/>
        </w:rPr>
        <w:t>2</w:t>
      </w:r>
      <w:r w:rsidRPr="00C65FC0">
        <w:rPr>
          <w:rFonts w:ascii="Times New Roman" w:eastAsiaTheme="majorEastAsia" w:hAnsi="Times New Roman"/>
          <w:noProof/>
          <w:sz w:val="20"/>
          <w:szCs w:val="20"/>
          <w:lang w:val="ms-MY"/>
        </w:rPr>
        <w:t xml:space="preserve">], yang mana L = </w:t>
      </w:r>
      <w:r w:rsidRPr="00C65FC0">
        <w:rPr>
          <w:rFonts w:ascii="Times New Roman" w:eastAsiaTheme="majorEastAsia" w:hAnsi="Times New Roman"/>
          <w:i/>
          <w:noProof/>
          <w:sz w:val="20"/>
          <w:szCs w:val="20"/>
          <w:lang w:val="ms-MY"/>
        </w:rPr>
        <w:sym w:font="Symbol" w:char="F062"/>
      </w:r>
      <w:r w:rsidRPr="00C65FC0">
        <w:rPr>
          <w:rFonts w:ascii="Times New Roman" w:eastAsiaTheme="majorEastAsia" w:hAnsi="Times New Roman"/>
          <w:noProof/>
          <w:sz w:val="20"/>
          <w:szCs w:val="20"/>
          <w:lang w:val="ms-MY"/>
        </w:rPr>
        <w:t xml:space="preserve">-mangostin ditentukan dari data UV-Vis, FTIR dan CHNS. Ligand sepenuhnya tidak aktif ke atas bakteria, manakala komplex kuprum(II) </w:t>
      </w:r>
      <w:r w:rsidRPr="00C65FC0">
        <w:rPr>
          <w:rFonts w:ascii="Times New Roman" w:eastAsiaTheme="majorEastAsia" w:hAnsi="Times New Roman"/>
          <w:i/>
          <w:noProof/>
          <w:sz w:val="20"/>
          <w:szCs w:val="20"/>
          <w:lang w:val="ms-MY"/>
        </w:rPr>
        <w:sym w:font="Symbol" w:char="F062"/>
      </w:r>
      <w:r w:rsidRPr="00C65FC0">
        <w:rPr>
          <w:rFonts w:ascii="Times New Roman" w:eastAsiaTheme="majorEastAsia" w:hAnsi="Times New Roman"/>
          <w:noProof/>
          <w:sz w:val="20"/>
          <w:szCs w:val="20"/>
          <w:lang w:val="ms-MY"/>
        </w:rPr>
        <w:t>-mangostin memberikan tindak balas yang signifikan ke atas bakteria, menunjukkan ia mempunyai potensi yang baik sebagai bactericide.</w:t>
      </w:r>
    </w:p>
    <w:p w:rsidR="00C65FC0" w:rsidRPr="00C65FC0" w:rsidRDefault="00C65FC0" w:rsidP="00C65FC0">
      <w:pPr>
        <w:spacing w:after="0" w:line="240" w:lineRule="auto"/>
        <w:ind w:left="993" w:hanging="993"/>
        <w:jc w:val="both"/>
        <w:rPr>
          <w:rFonts w:ascii="Times New Roman" w:hAnsi="Times New Roman"/>
          <w:b/>
          <w:noProof/>
          <w:color w:val="000000" w:themeColor="text1"/>
          <w:sz w:val="20"/>
          <w:szCs w:val="20"/>
          <w:lang w:val="ms-MY"/>
        </w:rPr>
      </w:pPr>
    </w:p>
    <w:p w:rsidR="0004232F" w:rsidRDefault="00C65FC0" w:rsidP="00C65FC0">
      <w:pPr>
        <w:spacing w:after="0" w:line="240" w:lineRule="auto"/>
        <w:ind w:left="993" w:hanging="993"/>
        <w:jc w:val="both"/>
        <w:rPr>
          <w:rFonts w:ascii="Times New Roman" w:hAnsi="Times New Roman"/>
          <w:noProof/>
          <w:color w:val="000000" w:themeColor="text1"/>
          <w:sz w:val="20"/>
          <w:szCs w:val="20"/>
          <w:lang w:val="ms-MY"/>
        </w:rPr>
      </w:pPr>
      <w:r w:rsidRPr="00C65FC0">
        <w:rPr>
          <w:rFonts w:ascii="Times New Roman" w:hAnsi="Times New Roman"/>
          <w:b/>
          <w:noProof/>
          <w:color w:val="000000" w:themeColor="text1"/>
          <w:sz w:val="20"/>
          <w:szCs w:val="20"/>
          <w:lang w:val="ms-MY"/>
        </w:rPr>
        <w:t>Kata kunci</w:t>
      </w:r>
      <w:r w:rsidRPr="00C65FC0">
        <w:rPr>
          <w:rFonts w:ascii="Times New Roman" w:hAnsi="Times New Roman"/>
          <w:noProof/>
          <w:color w:val="000000" w:themeColor="text1"/>
          <w:sz w:val="20"/>
          <w:szCs w:val="20"/>
          <w:lang w:val="ms-MY"/>
        </w:rPr>
        <w:t xml:space="preserve">:  </w:t>
      </w:r>
      <w:r w:rsidRPr="00C65FC0">
        <w:rPr>
          <w:rFonts w:ascii="Times New Roman" w:hAnsi="Times New Roman"/>
          <w:i/>
          <w:noProof/>
          <w:color w:val="000000" w:themeColor="text1"/>
          <w:sz w:val="20"/>
          <w:szCs w:val="20"/>
          <w:lang w:val="ms-MY"/>
        </w:rPr>
        <w:sym w:font="Symbol" w:char="F062"/>
      </w:r>
      <w:r w:rsidRPr="00C65FC0">
        <w:rPr>
          <w:rFonts w:ascii="Times New Roman" w:hAnsi="Times New Roman"/>
          <w:noProof/>
          <w:color w:val="000000" w:themeColor="text1"/>
          <w:sz w:val="20"/>
          <w:szCs w:val="20"/>
          <w:lang w:val="ms-MY"/>
        </w:rPr>
        <w:t>-mangostin, kuprum(II) kompleks, antimikrob, xanthones</w:t>
      </w:r>
    </w:p>
    <w:p w:rsidR="00C65FC0" w:rsidRDefault="00C65FC0" w:rsidP="00C65FC0">
      <w:pPr>
        <w:spacing w:after="0" w:line="240" w:lineRule="auto"/>
        <w:ind w:left="993" w:hanging="993"/>
        <w:jc w:val="both"/>
        <w:rPr>
          <w:rFonts w:ascii="Times New Roman" w:hAnsi="Times New Roman"/>
          <w:sz w:val="20"/>
          <w:szCs w:val="20"/>
          <w:lang w:val="ms-MY"/>
        </w:rPr>
      </w:pPr>
    </w:p>
    <w:p w:rsidR="00C65FC0" w:rsidRPr="00F447A7" w:rsidRDefault="00C65FC0" w:rsidP="00C65FC0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Grazul, M., and Budzisc, E. (2009). Biological activity of metal ions complexes of chromones, coumarines and flavones.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Coordination Chemistry Review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253: 2588 – 2598.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Panhwar, Q.K., Memon S. and Bhanger, M.I. (2010). Synthesis, characterisation, spectroscopic and antioxidant studies of Cu(II)-morin Complex.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 xml:space="preserve">Journal of Molecular Structure, 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967: 47 – 53.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lastRenderedPageBreak/>
        <w:t xml:space="preserve">Aisha, A. F. A., Abu-Salah, K. M., Ismail, Z. and Abdul Majid, A. M. S. (2013). Determination of total xanthones in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Garcinia mangostana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 fruit rind extracts by ultraviolet (UV) spectrophotometry.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Journal of Medicinal Plant Research,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 7(1): 29 – 35.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Yoshwathana, N. and Estiaghi, M. N. (2015). Optimization of subcritical ethanol extraction for xanthone from mangosteen pericarp.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International Journal of Chemical Engineering and Application,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 6(2): 115 – 119.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Sylvain V. T. Sob, H. K., Wabo, A. T., Tchinda, P., Tane, B. T. and Ngadjui, Y. Y. (2010). Anthraquinones, sterols, triterpenoids and xanthones from Cassia obtusifolia.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Biochemical Systematics and Ecology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, 38: 342 – 345. 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Shagutfa, and Ahmad, I. (2016). Recent insight into the biological activities of synthetic xanthone derivatives,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European Journal of Medicinal Chemistry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116: 267 – 280.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Shen, R., Wang, P. and Tang, N. (2009). Synthesis, crystal structure, DNA-binding properties and cytotoxic activity of the copper(II) complex involving xanthone.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Journal of Fluorescence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19: 1073 –1082.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Wang, H.F., Shen, R. and Tang, N. (2009). Synthesis and characterization of the Zn(II) and Cu(II) piperidinyl isoeuxanthone complexes: DNA-binding and cytotoxic activity.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European Journal of Medicinal Chemistry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44: 4509 – 4515.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Angia, V., Bakhtiar, A. and Arbain, D. (2015). The isolation of xanthones from trunk latex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of Garcinia mangostana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 Linn. and their antimicrobial activities.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Indonesian Journal Chemistry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15(2): 187 – 193.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Fei, X., Jo, M, Lee, B., Han, S.B., Lee, K., Jung, J.K., Seo, S.Y. and Kwak, Y.S. (2014). Synthesis of xanthone derivatives based on </w:t>
      </w:r>
      <w:r w:rsidRPr="00206934">
        <w:rPr>
          <w:rFonts w:ascii="Times New Roman" w:hAnsi="Times New Roman"/>
          <w:i/>
          <w:noProof/>
          <w:sz w:val="20"/>
          <w:szCs w:val="20"/>
        </w:rPr>
        <w:sym w:font="Symbol" w:char="F061"/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-mangostin and their biological evaluation for anticancer agents.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Bioorganic &amp; Medicinal Chemistry Letters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21: 2062 – 2065.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Bukhari, S. B., Memon, S., Tahir, M. M. and Bhanger M. I. (2009). Synthesis, charaterisation and antioxidant activity copper-quercetin complex.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Spectrochimica Acta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71: 1901 – 1906.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Destandau, E., Toribio, A., Lafosse, M., Pecher, V., Lamy, C. and Andre, P. (2009). Centrifugal partition chromatography directly interfaced with mass spectrometry for the fast screening and fractionation of major xanthones in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Garcinia mangostana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Journal of Chromatography A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1216: 1390 –</w:t>
      </w:r>
      <w:r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1394.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Ee, G. C. L., Daud, S., Taufiq Yap, Y. H., Ismail, N. H. and Rahmani, M. (2006). Xanthones from </w:t>
      </w:r>
      <w:r w:rsidRPr="00206934">
        <w:rPr>
          <w:rFonts w:ascii="Times New Roman" w:hAnsi="Times New Roman"/>
          <w:i/>
          <w:iCs/>
          <w:noProof/>
          <w:sz w:val="20"/>
          <w:szCs w:val="20"/>
          <w:lang w:val="ms-MY"/>
        </w:rPr>
        <w:t>Garcinia mangostana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 (Guttiferae).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Natural Product Research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20: 1067 – 1073.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Gopalakrishnan, G., Banumathi, B. and Suresh, G. (1997). Evaluation of the antifungal activity of natural xantones from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Garcinia mangostana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 and their synthetic derivatives.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Journal Natural Product,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 60: 519 – 524.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Sen, A. K. Sarkar, K. K., Mazumder, P. C., Banerji, N., Uusvuori, R. and Hase, T. A. (1982). The structure of garcinones A, B and C: Three new xanthones from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Garcinia mangostana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Phytochemistry,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 21:1747 – 1750.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Al-Massarani, S. M., El Gamal, A. A., Al-Musayeib, N. M., Mothana, R. A., Basudan, O. A., Al-Rehaily, A. J., Farag, M., Assaf, M. H., El Tahir, K. and Maes, L. (2013). Phytochemical, antimicrobial and antiprotozoal evaluation of Garcinia mangostana pericarp and </w:t>
      </w:r>
      <w:r w:rsidRPr="00206934">
        <w:rPr>
          <w:rFonts w:ascii="Times New Roman" w:hAnsi="Times New Roman"/>
          <w:i/>
          <w:noProof/>
          <w:sz w:val="20"/>
          <w:szCs w:val="20"/>
        </w:rPr>
        <w:sym w:font="Symbol" w:char="F061"/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-mangostin, Its major xanthone derivative.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Molecules,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 18: 10599 – 10608.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Syam, S., Bustaman, A. Abdullah, R., Sukari, M. A, Hashim, N. M., Yahayu, M., Hassandarvish, P. and Abselwaheb, S. I. (2014). Cytotoxic and oral acute toxicity studies of </w:t>
      </w:r>
      <w:r w:rsidRPr="00206934">
        <w:rPr>
          <w:rFonts w:ascii="Times New Roman" w:hAnsi="Times New Roman"/>
          <w:i/>
          <w:noProof/>
          <w:sz w:val="20"/>
          <w:szCs w:val="20"/>
        </w:rPr>
        <w:sym w:font="Symbol" w:char="F062"/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-mangostin isolated from Cratoxylum arborescens.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Phcog Journal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6: 47 – 56.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Yousef, T. A., Abu El-Raesh, G. M, Al-jahdali, M. and El-Rakhawy, E. R. (2014). Synthesis, spectral characterization and biological evaluation of Mn(II), Co(II), Ni(II), Cu(II), Zn(II) and Cd(II) complexes with thiosemicarbazone ending by pyrazole and pyridyl rings.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Spectrochimica Acta Part A: Molecular and Biomolecular Spectroscopy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129: 163 – 172.</w:t>
      </w:r>
    </w:p>
    <w:p w:rsidR="00C65FC0" w:rsidRPr="00206934" w:rsidRDefault="00C65FC0" w:rsidP="00C65FC0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206934">
        <w:rPr>
          <w:rFonts w:ascii="Times New Roman" w:hAnsi="Times New Roman"/>
          <w:noProof/>
          <w:sz w:val="20"/>
          <w:szCs w:val="20"/>
          <w:lang w:val="ms-MY"/>
        </w:rPr>
        <w:t xml:space="preserve">Farhan, S. A. (2013). Study on the interaction of copper(II) complex of morin and its antimicrobial effect. </w:t>
      </w:r>
      <w:r w:rsidRPr="00206934">
        <w:rPr>
          <w:rFonts w:ascii="Times New Roman" w:hAnsi="Times New Roman"/>
          <w:i/>
          <w:noProof/>
          <w:sz w:val="20"/>
          <w:szCs w:val="20"/>
          <w:lang w:val="ms-MY"/>
        </w:rPr>
        <w:t>International Journal Chemistry of Sciences</w:t>
      </w:r>
      <w:r w:rsidRPr="00206934">
        <w:rPr>
          <w:rFonts w:ascii="Times New Roman" w:hAnsi="Times New Roman"/>
          <w:noProof/>
          <w:sz w:val="20"/>
          <w:szCs w:val="20"/>
          <w:lang w:val="ms-MY"/>
        </w:rPr>
        <w:t>, 11(3): 1248 – 1255.</w:t>
      </w:r>
    </w:p>
    <w:p w:rsidR="00C65FC0" w:rsidRPr="00C65FC0" w:rsidRDefault="00C65FC0" w:rsidP="00C65FC0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0"/>
          <w:szCs w:val="20"/>
          <w:lang w:val="ms-MY"/>
        </w:rPr>
      </w:pPr>
    </w:p>
    <w:sectPr w:rsidR="00C65FC0" w:rsidRPr="00C65FC0" w:rsidSect="00C65FC0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2433C"/>
    <w:multiLevelType w:val="hybridMultilevel"/>
    <w:tmpl w:val="EA1499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FC0"/>
    <w:rsid w:val="0004232F"/>
    <w:rsid w:val="002D4232"/>
    <w:rsid w:val="00C65FC0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FC0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FC0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990</Words>
  <Characters>5805</Characters>
  <Application>Microsoft Office Word</Application>
  <DocSecurity>0</DocSecurity>
  <Lines>96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2</cp:revision>
  <dcterms:created xsi:type="dcterms:W3CDTF">2017-10-02T15:39:00Z</dcterms:created>
  <dcterms:modified xsi:type="dcterms:W3CDTF">2017-10-17T15:26:00Z</dcterms:modified>
</cp:coreProperties>
</file>