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124" w:rsidRDefault="006C0124" w:rsidP="006C0124">
      <w:pPr>
        <w:spacing w:after="0" w:line="240" w:lineRule="auto"/>
        <w:rPr>
          <w:rStyle w:val="SubtleEmphasis"/>
          <w:rFonts w:ascii="Times New Roman" w:hAnsi="Times New Roman"/>
          <w:bCs/>
          <w:i w:val="0"/>
          <w:sz w:val="24"/>
          <w:szCs w:val="24"/>
        </w:rPr>
      </w:pPr>
      <w:r>
        <w:rPr>
          <w:rStyle w:val="SubtleEmphasis"/>
          <w:rFonts w:ascii="Times New Roman" w:hAnsi="Times New Roman"/>
          <w:bCs/>
          <w:i w:val="0"/>
          <w:sz w:val="24"/>
          <w:szCs w:val="24"/>
        </w:rPr>
        <w:t>Malaysian Journal of Analytical Sciences Vol 21 No 5 (2017): 1162 - 1167</w:t>
      </w:r>
    </w:p>
    <w:p w:rsidR="006C0124" w:rsidRDefault="006C0124" w:rsidP="006C0124">
      <w:pPr>
        <w:spacing w:after="0" w:line="240" w:lineRule="auto"/>
        <w:rPr>
          <w:rStyle w:val="SubtleEmphasis"/>
          <w:rFonts w:ascii="Times New Roman" w:hAnsi="Times New Roman"/>
          <w:bCs/>
          <w:i w:val="0"/>
          <w:sz w:val="24"/>
          <w:szCs w:val="24"/>
        </w:rPr>
      </w:pPr>
    </w:p>
    <w:p w:rsidR="006C0124" w:rsidRDefault="006C0124" w:rsidP="006C0124">
      <w:pPr>
        <w:spacing w:after="0" w:line="240" w:lineRule="auto"/>
        <w:rPr>
          <w:rStyle w:val="SubtleEmphasis"/>
          <w:rFonts w:ascii="Times New Roman" w:hAnsi="Times New Roman"/>
          <w:bCs/>
          <w:i w:val="0"/>
          <w:sz w:val="24"/>
          <w:szCs w:val="24"/>
        </w:rPr>
      </w:pPr>
    </w:p>
    <w:p w:rsidR="006C0124" w:rsidRPr="006C0124" w:rsidRDefault="006C0124" w:rsidP="006C0124">
      <w:pPr>
        <w:spacing w:after="0" w:line="240" w:lineRule="auto"/>
        <w:rPr>
          <w:rStyle w:val="SubtleEmphasis"/>
          <w:rFonts w:ascii="Times New Roman" w:hAnsi="Times New Roman"/>
          <w:bCs/>
          <w:i w:val="0"/>
          <w:sz w:val="24"/>
          <w:szCs w:val="24"/>
        </w:rPr>
      </w:pPr>
    </w:p>
    <w:p w:rsidR="006C0124" w:rsidRPr="004B1DEC" w:rsidRDefault="006C0124" w:rsidP="006C0124">
      <w:pPr>
        <w:spacing w:after="0" w:line="240" w:lineRule="auto"/>
        <w:jc w:val="center"/>
        <w:rPr>
          <w:rStyle w:val="SubtleEmphasis"/>
          <w:rFonts w:ascii="Times New Roman" w:hAnsi="Times New Roman"/>
          <w:bCs/>
          <w:i w:val="0"/>
          <w:sz w:val="28"/>
          <w:szCs w:val="28"/>
        </w:rPr>
      </w:pPr>
      <w:r w:rsidRPr="004B1DEC">
        <w:rPr>
          <w:rStyle w:val="SubtleEmphasis"/>
          <w:rFonts w:ascii="Times New Roman" w:hAnsi="Times New Roman"/>
          <w:bCs/>
          <w:i w:val="0"/>
          <w:sz w:val="28"/>
          <w:szCs w:val="28"/>
        </w:rPr>
        <w:t>IRON(II) COMPLEX OF ANTHRAQUINONE: SYNTHESIS, STRUCTURAL ELUCIDATION AND ANTIMICROBIAL ACTIVITY</w:t>
      </w:r>
    </w:p>
    <w:p w:rsidR="006C0124" w:rsidRDefault="006C0124" w:rsidP="006C0124">
      <w:pPr>
        <w:spacing w:after="0" w:line="240" w:lineRule="auto"/>
        <w:jc w:val="center"/>
        <w:rPr>
          <w:rStyle w:val="SubtleEmphasis"/>
          <w:rFonts w:ascii="Times New Roman" w:hAnsi="Times New Roman"/>
          <w:i w:val="0"/>
          <w:noProof/>
          <w:sz w:val="24"/>
          <w:szCs w:val="24"/>
        </w:rPr>
      </w:pPr>
    </w:p>
    <w:p w:rsidR="006C0124" w:rsidRPr="00F60CAB" w:rsidRDefault="006C0124" w:rsidP="006C0124">
      <w:pPr>
        <w:spacing w:after="0" w:line="240" w:lineRule="auto"/>
        <w:jc w:val="center"/>
        <w:rPr>
          <w:rStyle w:val="SubtleEmphasis"/>
          <w:rFonts w:ascii="Times New Roman" w:hAnsi="Times New Roman"/>
          <w:i w:val="0"/>
          <w:noProof/>
          <w:sz w:val="24"/>
          <w:szCs w:val="24"/>
        </w:rPr>
      </w:pPr>
      <w:r w:rsidRPr="00F60CAB">
        <w:rPr>
          <w:rStyle w:val="SubtleEmphasis"/>
          <w:rFonts w:ascii="Times New Roman" w:hAnsi="Times New Roman"/>
          <w:i w:val="0"/>
          <w:noProof/>
          <w:sz w:val="24"/>
          <w:szCs w:val="24"/>
        </w:rPr>
        <w:t>(Komplek Ferum(II) Antrakuinon: Sintesis, Penentuan Struktur Organik dan Aktiviti Antimikrob)</w:t>
      </w:r>
    </w:p>
    <w:p w:rsidR="006C0124" w:rsidRPr="00F60CAB" w:rsidRDefault="006C0124" w:rsidP="006C0124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s-ES"/>
        </w:rPr>
      </w:pPr>
    </w:p>
    <w:p w:rsidR="006C0124" w:rsidRPr="008B1F60" w:rsidRDefault="006C0124" w:rsidP="006C0124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  <w:lang w:val="es-ES"/>
        </w:rPr>
      </w:pPr>
      <w:r w:rsidRPr="008B1F60">
        <w:rPr>
          <w:rFonts w:ascii="Times New Roman" w:hAnsi="Times New Roman"/>
          <w:sz w:val="20"/>
          <w:szCs w:val="20"/>
          <w:lang w:val="es-ES"/>
        </w:rPr>
        <w:t>Nur Dzaina Zaidel, Vivien Jong Yi Mian</w:t>
      </w:r>
      <w:r w:rsidRPr="00A24FE5">
        <w:rPr>
          <w:rFonts w:ascii="Times New Roman" w:hAnsi="Times New Roman"/>
          <w:sz w:val="20"/>
          <w:szCs w:val="20"/>
          <w:lang w:val="es-ES"/>
        </w:rPr>
        <w:t>*</w:t>
      </w:r>
      <w:r w:rsidRPr="008B1F60">
        <w:rPr>
          <w:rFonts w:ascii="Times New Roman" w:hAnsi="Times New Roman"/>
          <w:sz w:val="20"/>
          <w:szCs w:val="20"/>
          <w:lang w:val="es-ES"/>
        </w:rPr>
        <w:t>, Mohammad Isa Mohamadin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vertAlign w:val="superscript"/>
        </w:rPr>
      </w:pPr>
      <w:r w:rsidRPr="006C0124">
        <w:rPr>
          <w:rFonts w:ascii="Times New Roman" w:hAnsi="Times New Roman"/>
          <w:i/>
          <w:sz w:val="20"/>
          <w:szCs w:val="20"/>
        </w:rPr>
        <w:t>Faculty of Applied Sciences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vertAlign w:val="superscript"/>
        </w:rPr>
      </w:pPr>
      <w:r w:rsidRPr="006C0124">
        <w:rPr>
          <w:rFonts w:ascii="Times New Roman" w:hAnsi="Times New Roman"/>
          <w:i/>
          <w:sz w:val="20"/>
          <w:szCs w:val="20"/>
        </w:rPr>
        <w:t>Universiti Teknologi MARA, 94300 Kota Samarahan, Sarawak, Malaysia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6C0124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6C0124">
        <w:rPr>
          <w:rFonts w:ascii="Times New Roman" w:hAnsi="Times New Roman"/>
          <w:i/>
          <w:iCs/>
          <w:sz w:val="20"/>
          <w:szCs w:val="20"/>
        </w:rPr>
        <w:t>vivien@sarawak.uitm.edu.my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6C0124">
        <w:rPr>
          <w:rFonts w:ascii="Times New Roman" w:hAnsi="Times New Roman"/>
          <w:noProof/>
          <w:sz w:val="20"/>
          <w:szCs w:val="20"/>
          <w:lang w:bidi="ar-SA"/>
        </w:rPr>
        <w:t>Received: 21 August 2016; Accepted: 27 July 2017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bookmarkStart w:id="0" w:name="_GoBack"/>
      <w:bookmarkEnd w:id="0"/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6C0124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6C0124" w:rsidRPr="006C0124" w:rsidRDefault="006C0124" w:rsidP="00BA3DE0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MY" w:eastAsia="en-MY"/>
        </w:rPr>
      </w:pPr>
      <w:r w:rsidRPr="006C0124">
        <w:rPr>
          <w:rFonts w:ascii="Times New Roman" w:hAnsi="Times New Roman"/>
          <w:sz w:val="20"/>
          <w:szCs w:val="20"/>
        </w:rPr>
        <w:t xml:space="preserve">Our continuing interest in anthraquinone had led the researchers to look at the synthesis of metal complex by reacting our major compound, nordamnacanthal with transition metal, Fe(II). Fe(II)-nordamnacanthal complex had been synthesized successfully via telescoping synthesis/ one-pot reaction. The ligand and its metal complex were established by 1D and 2D nuclear magnetic resonance spectroscopy, UV-Visible, CHNS analyzer, gas chromatography mass spectrometry and infrared analysis. They were evaluated for their antimicrobial activity using minimum inhibitory concentration (MIC) and minimum bactericidal concentration (MBC). Fe(II)-nordamnacanthal complex showed stronger inhibition against </w:t>
      </w:r>
      <w:r w:rsidRPr="006C0124">
        <w:rPr>
          <w:rFonts w:ascii="Times New Roman" w:hAnsi="Times New Roman"/>
          <w:i/>
          <w:iCs/>
          <w:color w:val="000000"/>
          <w:kern w:val="24"/>
          <w:sz w:val="20"/>
          <w:szCs w:val="20"/>
          <w:lang w:val="en-MY" w:eastAsia="en-MY"/>
        </w:rPr>
        <w:t xml:space="preserve">Pseudomonas aeruginosa </w:t>
      </w:r>
      <w:r w:rsidR="00BA3DE0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at the concentration of 450 </w:t>
      </w:r>
      <w:r w:rsidR="00BA3DE0" w:rsidRPr="00A24FE5">
        <w:rPr>
          <w:rFonts w:ascii="Times New Roman" w:hAnsi="Times New Roman"/>
          <w:noProof/>
          <w:color w:val="212121"/>
          <w:sz w:val="18"/>
          <w:szCs w:val="18"/>
          <w:lang w:val="ms-MY" w:eastAsia="en-MY"/>
        </w:rPr>
        <w:sym w:font="Symbol" w:char="F06D"/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>g/mL</w:t>
      </w:r>
      <w:r w:rsidRPr="006C0124">
        <w:rPr>
          <w:rFonts w:ascii="Times New Roman" w:hAnsi="Times New Roman"/>
          <w:i/>
          <w:iCs/>
          <w:color w:val="000000"/>
          <w:kern w:val="24"/>
          <w:sz w:val="20"/>
          <w:szCs w:val="20"/>
          <w:lang w:val="en-MY" w:eastAsia="en-MY"/>
        </w:rPr>
        <w:t xml:space="preserve"> </w:t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while </w:t>
      </w:r>
      <w:r w:rsidRPr="006C0124">
        <w:rPr>
          <w:rFonts w:ascii="Times New Roman" w:hAnsi="Times New Roman"/>
          <w:i/>
          <w:iCs/>
          <w:color w:val="000000"/>
          <w:kern w:val="24"/>
          <w:sz w:val="20"/>
          <w:szCs w:val="20"/>
          <w:lang w:val="en-MY" w:eastAsia="en-MY"/>
        </w:rPr>
        <w:t xml:space="preserve">Proteus vulgaris, Klebsiella pneumoniae </w:t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and </w:t>
      </w:r>
      <w:r w:rsidRPr="006C0124">
        <w:rPr>
          <w:rFonts w:ascii="Times New Roman" w:hAnsi="Times New Roman"/>
          <w:i/>
          <w:iCs/>
          <w:color w:val="000000"/>
          <w:kern w:val="24"/>
          <w:sz w:val="20"/>
          <w:szCs w:val="20"/>
          <w:lang w:val="en-MY" w:eastAsia="en-MY"/>
        </w:rPr>
        <w:t>Salmonella</w:t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 </w:t>
      </w:r>
      <w:r w:rsidRPr="006C0124">
        <w:rPr>
          <w:rFonts w:ascii="Times New Roman" w:hAnsi="Times New Roman"/>
          <w:i/>
          <w:color w:val="212121"/>
          <w:sz w:val="20"/>
          <w:szCs w:val="20"/>
          <w:lang w:val="ms-MY" w:eastAsia="en-MY"/>
        </w:rPr>
        <w:t>pneumoniae</w:t>
      </w:r>
      <w:r w:rsidR="00BA3DE0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 at the concentration of 225 </w:t>
      </w:r>
      <w:r w:rsidR="00BA3DE0" w:rsidRPr="00A24FE5">
        <w:rPr>
          <w:rFonts w:ascii="Times New Roman" w:hAnsi="Times New Roman"/>
          <w:noProof/>
          <w:color w:val="212121"/>
          <w:sz w:val="18"/>
          <w:szCs w:val="18"/>
          <w:lang w:val="ms-MY" w:eastAsia="en-MY"/>
        </w:rPr>
        <w:sym w:font="Symbol" w:char="F06D"/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>g/mL</w:t>
      </w:r>
      <w:r w:rsidRPr="006C0124">
        <w:rPr>
          <w:rFonts w:ascii="Times New Roman" w:hAnsi="Times New Roman"/>
          <w:i/>
          <w:iCs/>
          <w:color w:val="000000"/>
          <w:kern w:val="24"/>
          <w:sz w:val="20"/>
          <w:szCs w:val="20"/>
          <w:lang w:val="en-MY" w:eastAsia="en-MY"/>
        </w:rPr>
        <w:t xml:space="preserve"> </w:t>
      </w:r>
      <w:r w:rsidRPr="006C0124">
        <w:rPr>
          <w:rFonts w:ascii="Times New Roman" w:hAnsi="Times New Roman"/>
          <w:iCs/>
          <w:color w:val="000000"/>
          <w:kern w:val="24"/>
          <w:sz w:val="20"/>
          <w:szCs w:val="20"/>
          <w:lang w:val="en-MY" w:eastAsia="en-MY"/>
        </w:rPr>
        <w:t xml:space="preserve">compare to nordamnacanthal. </w:t>
      </w:r>
      <w:r w:rsidRPr="006C0124">
        <w:rPr>
          <w:rFonts w:ascii="Times New Roman" w:hAnsi="Times New Roman"/>
          <w:sz w:val="20"/>
          <w:szCs w:val="20"/>
          <w:lang w:val="en-MY" w:eastAsia="en-MY"/>
        </w:rPr>
        <w:t xml:space="preserve">In this work, the synthesized compound, Fe(II)-nordamnacanthal </w:t>
      </w:r>
      <w:r w:rsidRPr="006C0124">
        <w:rPr>
          <w:rFonts w:ascii="Times New Roman" w:hAnsi="Times New Roman"/>
          <w:sz w:val="20"/>
          <w:szCs w:val="20"/>
        </w:rPr>
        <w:t xml:space="preserve">showed better </w:t>
      </w:r>
      <w:r w:rsidRPr="006C0124">
        <w:rPr>
          <w:rFonts w:ascii="Times New Roman" w:hAnsi="Times New Roman"/>
          <w:sz w:val="20"/>
          <w:szCs w:val="20"/>
          <w:lang w:val="en-MY" w:eastAsia="en-MY"/>
        </w:rPr>
        <w:t>antimicrobial activity compared to the ligand itself.</w:t>
      </w:r>
    </w:p>
    <w:p w:rsidR="006C0124" w:rsidRPr="006C0124" w:rsidRDefault="006C0124" w:rsidP="006C01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C0124" w:rsidRPr="006C0124" w:rsidRDefault="006C0124" w:rsidP="006C01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C0124">
        <w:rPr>
          <w:rFonts w:ascii="Times New Roman" w:hAnsi="Times New Roman"/>
          <w:b/>
          <w:sz w:val="20"/>
          <w:szCs w:val="20"/>
        </w:rPr>
        <w:t>Keywords</w:t>
      </w:r>
      <w:r w:rsidRPr="006C0124">
        <w:rPr>
          <w:rFonts w:ascii="Times New Roman" w:hAnsi="Times New Roman"/>
          <w:sz w:val="20"/>
          <w:szCs w:val="20"/>
        </w:rPr>
        <w:t>:  nordamnacanthal, transition metal Fe(II), Fe(II)-nordamnacanthal complex, antimicrobial activity</w:t>
      </w: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C0124" w:rsidRPr="006C0124" w:rsidRDefault="006C0124" w:rsidP="006C012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val="ms-MY"/>
        </w:rPr>
      </w:pPr>
      <w:r w:rsidRPr="006C0124">
        <w:rPr>
          <w:rFonts w:ascii="Times New Roman" w:hAnsi="Times New Roman"/>
          <w:b/>
          <w:noProof/>
          <w:sz w:val="20"/>
          <w:szCs w:val="20"/>
          <w:lang w:val="ms-MY"/>
        </w:rPr>
        <w:t>Abstrak</w:t>
      </w:r>
    </w:p>
    <w:p w:rsidR="006C0124" w:rsidRPr="006C0124" w:rsidRDefault="006C0124" w:rsidP="006C01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</w:pP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Kesinambungan perhatian kami terhadap antrakuinon telah membawa kami untuk melihat kepada sintesis kompleks logam dengan menghasilkan tindak balas sebatian utama kami, nordamnacanthal dengan logam peralihan, Fe(II). Kompleks Fe(II)-nordamnacanthal telah berjaya disintesiskan melalui teleskop sintesis/tindak balas satu-periuk. Sebatian dan kompleks logam dikenalpasti melalui 1D dan 2D spektroskopi resonan magnetik nukleus, UV-Vis, CHNS, kromatografi gas spektometri jisim dan analisis inframerah. Sebatian dan kompleks logam tersebut telah dinilai untuk aktiviti antimikrob dengan menggunakan kepekatan perencatan minimum (MIC) dan minimum kepekatan bakteria (MBC). Kompleks Fe(II)-nordamnacanthal menunjukkan perencatan yang kuat terhadap </w:t>
      </w:r>
      <w:r w:rsidRPr="006C0124">
        <w:rPr>
          <w:rFonts w:ascii="Times New Roman" w:hAnsi="Times New Roman"/>
          <w:i/>
          <w:noProof/>
          <w:color w:val="212121"/>
          <w:sz w:val="20"/>
          <w:szCs w:val="20"/>
          <w:lang w:val="ms-MY" w:eastAsia="en-MY"/>
        </w:rPr>
        <w:t>Pseudomonas aeruginosa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 pada kepekatan 450 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sym w:font="Symbol" w:char="F06D"/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g/mL manakala </w:t>
      </w:r>
      <w:r w:rsidRPr="006C0124">
        <w:rPr>
          <w:rFonts w:ascii="Times New Roman" w:hAnsi="Times New Roman"/>
          <w:i/>
          <w:noProof/>
          <w:color w:val="212121"/>
          <w:sz w:val="20"/>
          <w:szCs w:val="20"/>
          <w:lang w:val="ms-MY" w:eastAsia="en-MY"/>
        </w:rPr>
        <w:t>Proteus vulgaris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, </w:t>
      </w:r>
      <w:r w:rsidRPr="006C0124">
        <w:rPr>
          <w:rFonts w:ascii="Times New Roman" w:hAnsi="Times New Roman"/>
          <w:i/>
          <w:noProof/>
          <w:color w:val="212121"/>
          <w:sz w:val="20"/>
          <w:szCs w:val="20"/>
          <w:lang w:val="ms-MY" w:eastAsia="en-MY"/>
        </w:rPr>
        <w:t>Klebsiella pneumoniae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 dan </w:t>
      </w:r>
      <w:r w:rsidRPr="006C0124">
        <w:rPr>
          <w:rFonts w:ascii="Times New Roman" w:hAnsi="Times New Roman"/>
          <w:i/>
          <w:noProof/>
          <w:color w:val="212121"/>
          <w:sz w:val="20"/>
          <w:szCs w:val="20"/>
          <w:lang w:val="ms-MY" w:eastAsia="en-MY"/>
        </w:rPr>
        <w:t>Salmonella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 </w:t>
      </w:r>
      <w:r w:rsidRPr="006C0124">
        <w:rPr>
          <w:rFonts w:ascii="Times New Roman" w:hAnsi="Times New Roman"/>
          <w:i/>
          <w:noProof/>
          <w:color w:val="212121"/>
          <w:sz w:val="20"/>
          <w:szCs w:val="20"/>
          <w:lang w:val="ms-MY" w:eastAsia="en-MY"/>
        </w:rPr>
        <w:t>pneumoniae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 pada kepekatan 225 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sym w:font="Symbol" w:char="F06D"/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>g/mL berbanding dengan nordamnacanthal. Dalam kajian ini, sebatian yang disintesis, kompleks Fe(II)-nordamnacanthal menunjukkan aktiviti antimikrob lebih baik berbanding dengan sebatian itu sendiri.</w:t>
      </w:r>
    </w:p>
    <w:p w:rsidR="006C0124" w:rsidRPr="006C0124" w:rsidRDefault="006C0124" w:rsidP="006C01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</w:pPr>
    </w:p>
    <w:p w:rsidR="006C0124" w:rsidRDefault="006C0124" w:rsidP="006C0124">
      <w:pPr>
        <w:spacing w:after="0" w:line="240" w:lineRule="auto"/>
        <w:jc w:val="both"/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</w:pPr>
      <w:r w:rsidRPr="006C0124">
        <w:rPr>
          <w:rFonts w:ascii="Times New Roman" w:hAnsi="Times New Roman"/>
          <w:b/>
          <w:noProof/>
          <w:color w:val="212121"/>
          <w:sz w:val="20"/>
          <w:szCs w:val="20"/>
          <w:lang w:val="ms-MY" w:eastAsia="en-MY"/>
        </w:rPr>
        <w:t>Kata kunci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 xml:space="preserve">:  nordamnacanthal, </w:t>
      </w:r>
      <w:r w:rsidRPr="006C0124">
        <w:rPr>
          <w:rFonts w:ascii="Times New Roman" w:hAnsi="Times New Roman"/>
          <w:noProof/>
          <w:sz w:val="20"/>
          <w:szCs w:val="20"/>
          <w:lang w:val="ms-MY"/>
        </w:rPr>
        <w:t>logam peralihan Fe(II</w:t>
      </w:r>
      <w:r w:rsidRPr="006C0124"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  <w:t>), kompleks Fe(II)-nordamnacanthal, aktiviti antimikrob</w:t>
      </w:r>
    </w:p>
    <w:p w:rsidR="006C0124" w:rsidRDefault="006C0124" w:rsidP="006C0124">
      <w:pPr>
        <w:spacing w:after="0" w:line="240" w:lineRule="auto"/>
        <w:jc w:val="both"/>
        <w:rPr>
          <w:rFonts w:ascii="Times New Roman" w:hAnsi="Times New Roman"/>
          <w:noProof/>
          <w:color w:val="212121"/>
          <w:sz w:val="20"/>
          <w:szCs w:val="20"/>
          <w:lang w:val="ms-MY" w:eastAsia="en-MY"/>
        </w:rPr>
      </w:pPr>
    </w:p>
    <w:p w:rsidR="006C0124" w:rsidRPr="00F447A7" w:rsidRDefault="006C0124" w:rsidP="006C012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iCs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lastRenderedPageBreak/>
        <w:t>Jing J. W., Barbara J. S. and Wei Z. (2011). Cytotoxic effect of</w:t>
      </w:r>
      <w:r w:rsidRPr="008B1F60">
        <w:rPr>
          <w:rStyle w:val="hit"/>
          <w:rFonts w:ascii="Times New Roman" w:hAnsi="Times New Roman"/>
          <w:bCs/>
          <w:sz w:val="20"/>
          <w:szCs w:val="20"/>
        </w:rPr>
        <w:t xml:space="preserve"> xanthones</w:t>
      </w:r>
      <w:r w:rsidRPr="008B1F60">
        <w:rPr>
          <w:rFonts w:ascii="Times New Roman" w:hAnsi="Times New Roman"/>
          <w:sz w:val="20"/>
          <w:szCs w:val="20"/>
        </w:rPr>
        <w:t xml:space="preserve"> from pericarp of the tropical fruit</w:t>
      </w:r>
      <w:r w:rsidRPr="008B1F60">
        <w:rPr>
          <w:rStyle w:val="hit"/>
          <w:rFonts w:ascii="Times New Roman" w:hAnsi="Times New Roman"/>
          <w:bCs/>
          <w:sz w:val="20"/>
          <w:szCs w:val="20"/>
        </w:rPr>
        <w:t xml:space="preserve"> mangosteen</w:t>
      </w:r>
      <w:r w:rsidRPr="008B1F60">
        <w:rPr>
          <w:rFonts w:ascii="Times New Roman" w:hAnsi="Times New Roman"/>
          <w:sz w:val="20"/>
          <w:szCs w:val="20"/>
        </w:rPr>
        <w:t xml:space="preserve"> (</w:t>
      </w:r>
      <w:r w:rsidRPr="008B1F60">
        <w:rPr>
          <w:rFonts w:ascii="Times New Roman" w:hAnsi="Times New Roman"/>
          <w:i/>
          <w:iCs/>
          <w:sz w:val="20"/>
          <w:szCs w:val="20"/>
        </w:rPr>
        <w:t>Garcinia mangostana</w:t>
      </w:r>
      <w:r w:rsidRPr="008B1F60">
        <w:rPr>
          <w:rFonts w:ascii="Times New Roman" w:hAnsi="Times New Roman"/>
          <w:sz w:val="20"/>
          <w:szCs w:val="20"/>
        </w:rPr>
        <w:t xml:space="preserve"> Linn.) on human melanoma cells. </w:t>
      </w:r>
      <w:r w:rsidRPr="008B1F60">
        <w:rPr>
          <w:rFonts w:ascii="Times New Roman" w:hAnsi="Times New Roman"/>
          <w:i/>
          <w:iCs/>
          <w:sz w:val="20"/>
          <w:szCs w:val="20"/>
        </w:rPr>
        <w:t>Food and Chemical Toxicology</w:t>
      </w:r>
      <w:r w:rsidRPr="008B1F60">
        <w:rPr>
          <w:rFonts w:ascii="Times New Roman" w:hAnsi="Times New Roman"/>
          <w:sz w:val="20"/>
          <w:szCs w:val="20"/>
        </w:rPr>
        <w:t xml:space="preserve">, </w:t>
      </w:r>
      <w:r w:rsidRPr="008B1F60">
        <w:rPr>
          <w:rFonts w:ascii="Times New Roman" w:hAnsi="Times New Roman"/>
          <w:iCs/>
          <w:sz w:val="20"/>
          <w:szCs w:val="20"/>
        </w:rPr>
        <w:t>49: 2385 –</w:t>
      </w:r>
      <w:r w:rsidRPr="008B1F60">
        <w:rPr>
          <w:rFonts w:ascii="Times New Roman" w:hAnsi="Times New Roman"/>
          <w:sz w:val="20"/>
          <w:szCs w:val="20"/>
        </w:rPr>
        <w:t xml:space="preserve"> </w:t>
      </w:r>
      <w:r w:rsidRPr="008B1F60">
        <w:rPr>
          <w:rFonts w:ascii="Times New Roman" w:hAnsi="Times New Roman"/>
          <w:iCs/>
          <w:sz w:val="20"/>
          <w:szCs w:val="20"/>
        </w:rPr>
        <w:t>2391.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 xml:space="preserve">Jittra K., Siriporn S., Pattiyaa L., Pranee R. and Chawanee T. (2013). </w:t>
      </w:r>
      <w:r w:rsidRPr="008B1F60">
        <w:rPr>
          <w:rStyle w:val="hit"/>
          <w:rFonts w:ascii="Times New Roman" w:hAnsi="Times New Roman"/>
          <w:bCs/>
          <w:sz w:val="20"/>
          <w:szCs w:val="20"/>
        </w:rPr>
        <w:t>Xanthone</w:t>
      </w:r>
      <w:r w:rsidRPr="008B1F60">
        <w:rPr>
          <w:rFonts w:ascii="Times New Roman" w:hAnsi="Times New Roman"/>
          <w:sz w:val="20"/>
          <w:szCs w:val="20"/>
        </w:rPr>
        <w:t xml:space="preserve"> and</w:t>
      </w:r>
      <w:r w:rsidRPr="008B1F60">
        <w:rPr>
          <w:rStyle w:val="hit"/>
          <w:rFonts w:ascii="Times New Roman" w:hAnsi="Times New Roman"/>
          <w:bCs/>
          <w:sz w:val="20"/>
          <w:szCs w:val="20"/>
        </w:rPr>
        <w:t xml:space="preserve"> anthraquinone</w:t>
      </w:r>
      <w:r w:rsidRPr="008B1F60">
        <w:rPr>
          <w:rFonts w:ascii="Times New Roman" w:hAnsi="Times New Roman"/>
          <w:sz w:val="20"/>
          <w:szCs w:val="20"/>
        </w:rPr>
        <w:t xml:space="preserve">-type mycotoxins from the scale insect fungus </w:t>
      </w:r>
      <w:r w:rsidRPr="008B1F60">
        <w:rPr>
          <w:rFonts w:ascii="Times New Roman" w:hAnsi="Times New Roman"/>
          <w:i/>
          <w:iCs/>
          <w:sz w:val="20"/>
          <w:szCs w:val="20"/>
        </w:rPr>
        <w:t>Aschersonia marginata</w:t>
      </w:r>
      <w:r w:rsidRPr="008B1F60">
        <w:rPr>
          <w:rFonts w:ascii="Times New Roman" w:hAnsi="Times New Roman"/>
          <w:sz w:val="20"/>
          <w:szCs w:val="20"/>
        </w:rPr>
        <w:t xml:space="preserve"> BCC 28721</w:t>
      </w:r>
      <w:r w:rsidRPr="008B1F60">
        <w:rPr>
          <w:rFonts w:ascii="Times New Roman" w:hAnsi="Times New Roman"/>
          <w:iCs/>
          <w:sz w:val="20"/>
          <w:szCs w:val="20"/>
        </w:rPr>
        <w:t xml:space="preserve">. </w:t>
      </w:r>
      <w:r w:rsidRPr="008B1F60">
        <w:rPr>
          <w:rFonts w:ascii="Times New Roman" w:hAnsi="Times New Roman"/>
          <w:i/>
          <w:iCs/>
          <w:sz w:val="20"/>
          <w:szCs w:val="20"/>
        </w:rPr>
        <w:t>Tetrahedron Letters</w:t>
      </w:r>
      <w:r w:rsidRPr="008B1F60">
        <w:rPr>
          <w:rFonts w:ascii="Times New Roman" w:hAnsi="Times New Roman"/>
          <w:sz w:val="20"/>
          <w:szCs w:val="20"/>
        </w:rPr>
        <w:t xml:space="preserve">, </w:t>
      </w:r>
      <w:r w:rsidRPr="008B1F60">
        <w:rPr>
          <w:rFonts w:ascii="Times New Roman" w:hAnsi="Times New Roman"/>
          <w:iCs/>
          <w:sz w:val="20"/>
          <w:szCs w:val="20"/>
        </w:rPr>
        <w:t>54: 3813 – 3815</w:t>
      </w:r>
      <w:r w:rsidRPr="008B1F60">
        <w:rPr>
          <w:rFonts w:ascii="Times New Roman" w:hAnsi="Times New Roman"/>
          <w:i/>
          <w:iCs/>
          <w:sz w:val="20"/>
          <w:szCs w:val="20"/>
        </w:rPr>
        <w:t>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0"/>
        </w:rPr>
      </w:pPr>
      <w:r w:rsidRPr="008B1F60">
        <w:rPr>
          <w:rFonts w:ascii="Times New Roman" w:hAnsi="Times New Roman"/>
          <w:bCs/>
          <w:color w:val="000000"/>
          <w:kern w:val="24"/>
          <w:sz w:val="20"/>
          <w:szCs w:val="20"/>
          <w:lang w:eastAsia="en-MY"/>
        </w:rPr>
        <w:t xml:space="preserve">Arno R. N. D., Michel F. T., Hippolyte K. W., Gerold J., Guang-Zhi Z., Peter W.r, Ning-Hua T. and Pierre T. (2014). Two new anthraquinone dimers from the stem bark of </w:t>
      </w:r>
      <w:r w:rsidRPr="008B1F60">
        <w:rPr>
          <w:rFonts w:ascii="Times New Roman" w:hAnsi="Times New Roman"/>
          <w:bCs/>
          <w:i/>
          <w:iCs/>
          <w:color w:val="000000"/>
          <w:kern w:val="24"/>
          <w:sz w:val="20"/>
          <w:szCs w:val="20"/>
          <w:lang w:eastAsia="en-MY"/>
        </w:rPr>
        <w:t>Pentas schimperi</w:t>
      </w:r>
      <w:r w:rsidRPr="008B1F60">
        <w:rPr>
          <w:rFonts w:ascii="Times New Roman" w:hAnsi="Times New Roman"/>
          <w:bCs/>
          <w:color w:val="000000"/>
          <w:kern w:val="24"/>
          <w:sz w:val="20"/>
          <w:szCs w:val="20"/>
          <w:lang w:eastAsia="en-MY"/>
        </w:rPr>
        <w:t xml:space="preserve"> (Rubiaceae)</w:t>
      </w:r>
      <w:r w:rsidRPr="008B1F60">
        <w:rPr>
          <w:rFonts w:ascii="Times New Roman" w:hAnsi="Times New Roman"/>
          <w:bCs/>
          <w:color w:val="000000"/>
          <w:kern w:val="24"/>
          <w:sz w:val="20"/>
          <w:szCs w:val="20"/>
          <w:u w:val="single"/>
          <w:lang w:eastAsia="en-MY"/>
        </w:rPr>
        <w:t xml:space="preserve"> </w:t>
      </w:r>
      <w:r w:rsidRPr="008B1F60">
        <w:rPr>
          <w:rFonts w:ascii="Times New Roman" w:hAnsi="Times New Roman"/>
          <w:bCs/>
          <w:i/>
          <w:iCs/>
          <w:color w:val="000000"/>
          <w:kern w:val="24"/>
          <w:sz w:val="20"/>
          <w:szCs w:val="20"/>
          <w:lang w:eastAsia="en-MY"/>
        </w:rPr>
        <w:t>Phytochemistry Letters</w:t>
      </w:r>
      <w:r w:rsidRPr="008B1F60">
        <w:rPr>
          <w:rFonts w:ascii="Times New Roman" w:hAnsi="Times New Roman"/>
          <w:bCs/>
          <w:i/>
          <w:color w:val="000000"/>
          <w:kern w:val="24"/>
          <w:sz w:val="20"/>
          <w:szCs w:val="20"/>
          <w:lang w:eastAsia="en-MY"/>
        </w:rPr>
        <w:t xml:space="preserve">, </w:t>
      </w:r>
      <w:r w:rsidRPr="008B1F60">
        <w:rPr>
          <w:rFonts w:ascii="Times New Roman" w:hAnsi="Times New Roman"/>
          <w:bCs/>
          <w:color w:val="000000"/>
          <w:kern w:val="24"/>
          <w:sz w:val="20"/>
          <w:szCs w:val="20"/>
          <w:lang w:eastAsia="en-MY"/>
        </w:rPr>
        <w:t>8: 55 –</w:t>
      </w:r>
      <w:r w:rsidRPr="008B1F60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8B1F60">
        <w:rPr>
          <w:rFonts w:ascii="Times New Roman" w:hAnsi="Times New Roman"/>
          <w:bCs/>
          <w:color w:val="000000"/>
          <w:kern w:val="24"/>
          <w:sz w:val="20"/>
          <w:szCs w:val="20"/>
          <w:lang w:eastAsia="en-MY"/>
        </w:rPr>
        <w:t>58</w:t>
      </w:r>
      <w:r w:rsidRPr="008B1F60">
        <w:rPr>
          <w:rFonts w:ascii="Times New Roman" w:hAnsi="Times New Roman"/>
          <w:bCs/>
          <w:iCs/>
          <w:color w:val="000000"/>
          <w:kern w:val="24"/>
          <w:sz w:val="20"/>
          <w:szCs w:val="20"/>
          <w:lang w:eastAsia="en-MY"/>
        </w:rPr>
        <w:t>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 xml:space="preserve">West, B. J., Palmer, S. K., Deng, S. and Palu, A. K. (2012). Antimicrobial activity of an iridoid rich extract from" morinda citrifolia" fruit. </w:t>
      </w:r>
      <w:r w:rsidRPr="008B1F60">
        <w:rPr>
          <w:rFonts w:ascii="Times New Roman" w:hAnsi="Times New Roman"/>
          <w:i/>
          <w:iCs/>
          <w:sz w:val="20"/>
          <w:szCs w:val="20"/>
        </w:rPr>
        <w:t>Current Research Journal of Biological Sciences</w:t>
      </w:r>
      <w:r w:rsidRPr="008B1F60">
        <w:rPr>
          <w:rFonts w:ascii="Times New Roman" w:hAnsi="Times New Roman"/>
          <w:sz w:val="20"/>
          <w:szCs w:val="20"/>
        </w:rPr>
        <w:t>, 4(1): 52 – 54.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>Kamiya, K., Hamabe, W., Tokuyama, S. and Satake, T. (2009). New anthraquinone glycosides from the roots of Morinda citrifolia.</w:t>
      </w:r>
      <w:r w:rsidRPr="008B1F60">
        <w:rPr>
          <w:rFonts w:ascii="Times New Roman" w:hAnsi="Times New Roman"/>
          <w:i/>
          <w:iCs/>
          <w:sz w:val="20"/>
          <w:szCs w:val="20"/>
        </w:rPr>
        <w:t xml:space="preserve"> Fitoterapia, </w:t>
      </w:r>
      <w:r w:rsidRPr="008B1F60">
        <w:rPr>
          <w:rFonts w:ascii="Times New Roman" w:hAnsi="Times New Roman"/>
          <w:sz w:val="20"/>
          <w:szCs w:val="20"/>
        </w:rPr>
        <w:t>80(3): 196 – 199.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eastAsia="Arial Unicode MS" w:hAnsi="Times New Roman"/>
          <w:sz w:val="20"/>
          <w:szCs w:val="20"/>
        </w:rPr>
        <w:t xml:space="preserve">Mani G., Rangasamy L., Sethu R., Anvarbatcha R., Mohamad A. A. and Mallayan P. (2012) </w:t>
      </w:r>
      <w:r w:rsidRPr="008B1F60">
        <w:rPr>
          <w:rFonts w:ascii="Times New Roman" w:eastAsia="Arial Unicode MS" w:hAnsi="Times New Roman"/>
          <w:bCs/>
          <w:kern w:val="36"/>
          <w:sz w:val="20"/>
          <w:szCs w:val="20"/>
        </w:rPr>
        <w:t xml:space="preserve">Interaction of mixed ligand copper(II) complexes with CT-DNA and BSA: Effect of primary ligand hydrophobicity on DNA and protein binding and cleavage and anticancer activities. </w:t>
      </w:r>
      <w:r w:rsidRPr="008B1F60">
        <w:rPr>
          <w:rFonts w:ascii="Times New Roman" w:eastAsia="Arial Unicode MS" w:hAnsi="Times New Roman"/>
          <w:bCs/>
          <w:i/>
          <w:kern w:val="36"/>
          <w:sz w:val="20"/>
          <w:szCs w:val="20"/>
        </w:rPr>
        <w:t xml:space="preserve">Polyhedron, </w:t>
      </w:r>
      <w:r w:rsidRPr="008B1F60">
        <w:rPr>
          <w:rFonts w:ascii="Times New Roman" w:eastAsia="Arial Unicode MS" w:hAnsi="Times New Roman"/>
          <w:bCs/>
          <w:iCs/>
          <w:kern w:val="36"/>
          <w:sz w:val="20"/>
          <w:szCs w:val="20"/>
        </w:rPr>
        <w:t>52:</w:t>
      </w:r>
      <w:r w:rsidRPr="008B1F60">
        <w:rPr>
          <w:rFonts w:ascii="Times New Roman" w:eastAsia="Arial Unicode MS" w:hAnsi="Times New Roman"/>
          <w:bCs/>
          <w:kern w:val="36"/>
          <w:sz w:val="20"/>
          <w:szCs w:val="20"/>
        </w:rPr>
        <w:t xml:space="preserve"> 924 –</w:t>
      </w:r>
      <w:r w:rsidRPr="008B1F60">
        <w:rPr>
          <w:rFonts w:ascii="Times New Roman" w:hAnsi="Times New Roman"/>
          <w:sz w:val="20"/>
          <w:szCs w:val="20"/>
        </w:rPr>
        <w:t xml:space="preserve"> </w:t>
      </w:r>
      <w:r w:rsidRPr="008B1F60">
        <w:rPr>
          <w:rFonts w:ascii="Times New Roman" w:eastAsia="Arial Unicode MS" w:hAnsi="Times New Roman"/>
          <w:bCs/>
          <w:kern w:val="36"/>
          <w:sz w:val="20"/>
          <w:szCs w:val="20"/>
        </w:rPr>
        <w:t>938.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bCs/>
          <w:sz w:val="20"/>
          <w:szCs w:val="20"/>
        </w:rPr>
        <w:t xml:space="preserve">Li, V.S., Choi, D., Wang, Z., Jimenez, L.S., Tang, M.S., Kohn, H. (1996) Role of the C-10 Substituent in Mitomycin C-1−DNA Bonding.  </w:t>
      </w:r>
      <w:r w:rsidRPr="008B1F60">
        <w:rPr>
          <w:rFonts w:ascii="Times New Roman" w:hAnsi="Times New Roman"/>
          <w:bCs/>
          <w:i/>
          <w:sz w:val="20"/>
          <w:szCs w:val="20"/>
        </w:rPr>
        <w:t>Journal of American Chemical Society</w:t>
      </w:r>
      <w:r w:rsidRPr="008B1F60">
        <w:rPr>
          <w:rFonts w:ascii="Times New Roman" w:hAnsi="Times New Roman"/>
          <w:bCs/>
          <w:sz w:val="20"/>
          <w:szCs w:val="20"/>
        </w:rPr>
        <w:t xml:space="preserve"> </w:t>
      </w:r>
      <w:r w:rsidRPr="008B1F60">
        <w:rPr>
          <w:rFonts w:ascii="Times New Roman" w:hAnsi="Times New Roman"/>
          <w:bCs/>
          <w:i/>
          <w:sz w:val="20"/>
          <w:szCs w:val="20"/>
        </w:rPr>
        <w:t>118</w:t>
      </w:r>
      <w:r w:rsidRPr="008B1F60">
        <w:rPr>
          <w:rFonts w:ascii="Times New Roman" w:hAnsi="Times New Roman"/>
          <w:bCs/>
          <w:sz w:val="20"/>
          <w:szCs w:val="20"/>
        </w:rPr>
        <w:t>: 2326-2331.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Zin, Z. M., Abdul-Hamid, A. and Osman, A. (2002). Antioxidative activity of extracts from Mengkudu (</w:t>
      </w:r>
      <w:r w:rsidRPr="008B1F60">
        <w:rPr>
          <w:rFonts w:ascii="Times New Roman" w:hAnsi="Times New Roman"/>
          <w:i/>
          <w:iCs/>
          <w:color w:val="222222"/>
          <w:sz w:val="20"/>
          <w:szCs w:val="20"/>
          <w:shd w:val="clear" w:color="auto" w:fill="FFFFFF"/>
        </w:rPr>
        <w:t>Morinda citrifolia</w:t>
      </w:r>
      <w:r w:rsidRPr="008B1F60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L.) root, fruit and leaf. </w:t>
      </w:r>
      <w:r w:rsidRPr="008B1F60">
        <w:rPr>
          <w:rFonts w:ascii="Times New Roman" w:hAnsi="Times New Roman"/>
          <w:i/>
          <w:iCs/>
          <w:color w:val="222222"/>
          <w:sz w:val="20"/>
          <w:szCs w:val="20"/>
          <w:shd w:val="clear" w:color="auto" w:fill="FFFFFF"/>
        </w:rPr>
        <w:t>Food Chemistry</w:t>
      </w:r>
      <w:r w:rsidRPr="008B1F60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, 78(2): 227 –</w:t>
      </w:r>
      <w:r w:rsidRPr="008B1F60">
        <w:rPr>
          <w:rFonts w:ascii="Times New Roman" w:hAnsi="Times New Roman"/>
          <w:sz w:val="20"/>
          <w:szCs w:val="20"/>
        </w:rPr>
        <w:t xml:space="preserve"> </w:t>
      </w:r>
      <w:r w:rsidRPr="008B1F60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231.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 xml:space="preserve">Güllüce, M., Sökmen, M., Şahin, F., Sökmen, A., Adigüzel, A. and Özer, H. (2004). Biological activities of the essential oil and methanolic extract of </w:t>
      </w:r>
      <w:r w:rsidRPr="008B1F60">
        <w:rPr>
          <w:rFonts w:ascii="Times New Roman" w:hAnsi="Times New Roman"/>
          <w:i/>
          <w:iCs/>
          <w:sz w:val="20"/>
          <w:szCs w:val="20"/>
        </w:rPr>
        <w:t>Micromeria fruticosa</w:t>
      </w:r>
      <w:r w:rsidRPr="008B1F60">
        <w:rPr>
          <w:rFonts w:ascii="Times New Roman" w:hAnsi="Times New Roman"/>
          <w:sz w:val="20"/>
          <w:szCs w:val="20"/>
        </w:rPr>
        <w:t xml:space="preserve"> (L) Druce ssp serpyllifolia (Bieb) PH Davis plants from the eastern Anatolia region of Turkey. </w:t>
      </w:r>
      <w:r w:rsidRPr="008B1F60">
        <w:rPr>
          <w:rFonts w:ascii="Times New Roman" w:hAnsi="Times New Roman"/>
          <w:i/>
          <w:iCs/>
          <w:sz w:val="20"/>
          <w:szCs w:val="20"/>
        </w:rPr>
        <w:t>Journal of the Science of Food and Agriculture</w:t>
      </w:r>
      <w:r w:rsidRPr="008B1F60">
        <w:rPr>
          <w:rFonts w:ascii="Times New Roman" w:hAnsi="Times New Roman"/>
          <w:sz w:val="20"/>
          <w:szCs w:val="20"/>
        </w:rPr>
        <w:t>, 84(7): 735 – 741.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 xml:space="preserve">Prista, L. N., Roque, A. S., Ferreira, M. A. and Alves, A. C. (1965). Chemical study of </w:t>
      </w:r>
      <w:r w:rsidRPr="008B1F60">
        <w:rPr>
          <w:rFonts w:ascii="Times New Roman" w:hAnsi="Times New Roman"/>
          <w:i/>
          <w:sz w:val="20"/>
          <w:szCs w:val="20"/>
        </w:rPr>
        <w:t>Morinda geminate</w:t>
      </w:r>
      <w:r w:rsidRPr="008B1F60">
        <w:rPr>
          <w:rFonts w:ascii="Times New Roman" w:hAnsi="Times New Roman"/>
          <w:sz w:val="20"/>
          <w:szCs w:val="20"/>
        </w:rPr>
        <w:t xml:space="preserve">. I. isolation of morindone, damnacanthal, nor-damnacanthal and rubiadin-1-methyl ether. </w:t>
      </w:r>
      <w:r w:rsidRPr="008B1F60">
        <w:rPr>
          <w:rFonts w:ascii="Times New Roman" w:hAnsi="Times New Roman"/>
          <w:i/>
          <w:sz w:val="20"/>
          <w:szCs w:val="20"/>
        </w:rPr>
        <w:t>Garcia de Orta,</w:t>
      </w:r>
      <w:r w:rsidRPr="008B1F60">
        <w:rPr>
          <w:rFonts w:ascii="Times New Roman" w:hAnsi="Times New Roman"/>
          <w:sz w:val="20"/>
          <w:szCs w:val="20"/>
        </w:rPr>
        <w:t xml:space="preserve"> 13: 19 – 38.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</w:rPr>
        <w:t xml:space="preserve">Panhwar, Q. K. and Memon, S. (2014). Synthesis of Cr(III)-morin complex: characterization and antioxidant study. </w:t>
      </w:r>
      <w:r w:rsidRPr="008B1F60">
        <w:rPr>
          <w:rFonts w:ascii="Times New Roman" w:hAnsi="Times New Roman"/>
          <w:i/>
          <w:iCs/>
          <w:sz w:val="20"/>
          <w:szCs w:val="20"/>
        </w:rPr>
        <w:t>The Scientific World Journal</w:t>
      </w:r>
      <w:r w:rsidRPr="008B1F60">
        <w:rPr>
          <w:rFonts w:ascii="Times New Roman" w:hAnsi="Times New Roman"/>
          <w:sz w:val="20"/>
          <w:szCs w:val="20"/>
        </w:rPr>
        <w:t>, 2014: 1 – 8.</w:t>
      </w:r>
    </w:p>
    <w:p w:rsidR="006C0124" w:rsidRPr="008B1F60" w:rsidRDefault="006C0124" w:rsidP="006C012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8B1F60">
        <w:rPr>
          <w:rFonts w:ascii="Times New Roman" w:hAnsi="Times New Roman"/>
          <w:sz w:val="20"/>
          <w:szCs w:val="20"/>
          <w:lang w:eastAsia="en-AU"/>
        </w:rPr>
        <w:t xml:space="preserve">Ran, X. G., Wang, L. Y., Cao, D. R., Lin, Y. C. and Hao, J. (2011). Synthesis, characterization and </w:t>
      </w:r>
      <w:r w:rsidRPr="008B1F60">
        <w:rPr>
          <w:rFonts w:ascii="Times New Roman" w:hAnsi="Times New Roman"/>
          <w:i/>
          <w:iCs/>
          <w:sz w:val="20"/>
          <w:szCs w:val="20"/>
          <w:lang w:eastAsia="en-AU"/>
        </w:rPr>
        <w:t xml:space="preserve">in vitro </w:t>
      </w:r>
      <w:r w:rsidRPr="008B1F60">
        <w:rPr>
          <w:rFonts w:ascii="Times New Roman" w:hAnsi="Times New Roman"/>
          <w:sz w:val="20"/>
          <w:szCs w:val="20"/>
          <w:lang w:eastAsia="en-AU"/>
        </w:rPr>
        <w:t xml:space="preserve">biological activity of cobalt(II), copper(II) and zinc(II). Schiff base complexes derived from salicylaldehyde and D, Lselenomethionine. </w:t>
      </w:r>
      <w:r w:rsidRPr="008B1F60">
        <w:rPr>
          <w:rFonts w:ascii="Times New Roman" w:hAnsi="Times New Roman"/>
          <w:i/>
          <w:iCs/>
          <w:sz w:val="20"/>
          <w:szCs w:val="20"/>
          <w:lang w:eastAsia="en-AU"/>
        </w:rPr>
        <w:t>Applied Organometallic</w:t>
      </w:r>
      <w:r w:rsidRPr="008B1F60">
        <w:rPr>
          <w:rFonts w:ascii="Times New Roman" w:hAnsi="Times New Roman"/>
          <w:sz w:val="20"/>
          <w:szCs w:val="20"/>
          <w:lang w:eastAsia="en-AU"/>
        </w:rPr>
        <w:t xml:space="preserve"> </w:t>
      </w:r>
      <w:r w:rsidRPr="008B1F60">
        <w:rPr>
          <w:rFonts w:ascii="Times New Roman" w:hAnsi="Times New Roman"/>
          <w:i/>
          <w:iCs/>
          <w:sz w:val="20"/>
          <w:szCs w:val="20"/>
          <w:lang w:eastAsia="en-AU"/>
        </w:rPr>
        <w:t xml:space="preserve">Chemistry, </w:t>
      </w:r>
      <w:r w:rsidRPr="008B1F60">
        <w:rPr>
          <w:rFonts w:ascii="Times New Roman" w:hAnsi="Times New Roman"/>
          <w:sz w:val="20"/>
          <w:szCs w:val="20"/>
          <w:lang w:eastAsia="en-AU"/>
        </w:rPr>
        <w:t>25: 9 –</w:t>
      </w:r>
      <w:r w:rsidRPr="008B1F60">
        <w:rPr>
          <w:rFonts w:ascii="Times New Roman" w:hAnsi="Times New Roman"/>
          <w:sz w:val="20"/>
          <w:szCs w:val="20"/>
        </w:rPr>
        <w:t xml:space="preserve"> </w:t>
      </w:r>
      <w:r w:rsidRPr="008B1F60">
        <w:rPr>
          <w:rFonts w:ascii="Times New Roman" w:hAnsi="Times New Roman"/>
          <w:sz w:val="20"/>
          <w:szCs w:val="20"/>
          <w:lang w:eastAsia="en-AU"/>
        </w:rPr>
        <w:t>15.</w:t>
      </w:r>
    </w:p>
    <w:p w:rsidR="006C0124" w:rsidRPr="006C0124" w:rsidRDefault="006C0124" w:rsidP="006C0124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003544" w:rsidRDefault="00003544"/>
    <w:sectPr w:rsidR="00003544" w:rsidSect="006C0124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412C"/>
    <w:multiLevelType w:val="hybridMultilevel"/>
    <w:tmpl w:val="362E06A4"/>
    <w:lvl w:ilvl="0" w:tplc="2E2812A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124"/>
    <w:rsid w:val="00003544"/>
    <w:rsid w:val="006C0124"/>
    <w:rsid w:val="00BA3DE0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2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uiPriority w:val="19"/>
    <w:qFormat/>
    <w:rsid w:val="006C0124"/>
    <w:rPr>
      <w:i/>
      <w:iCs/>
    </w:rPr>
  </w:style>
  <w:style w:type="character" w:customStyle="1" w:styleId="hit">
    <w:name w:val="hit"/>
    <w:rsid w:val="006C01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2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uiPriority w:val="19"/>
    <w:qFormat/>
    <w:rsid w:val="006C0124"/>
    <w:rPr>
      <w:i/>
      <w:iCs/>
    </w:rPr>
  </w:style>
  <w:style w:type="character" w:customStyle="1" w:styleId="hit">
    <w:name w:val="hit"/>
    <w:rsid w:val="006C0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826</Words>
  <Characters>4752</Characters>
  <Application>Microsoft Office Word</Application>
  <DocSecurity>0</DocSecurity>
  <Lines>91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2017-10-08T10:36:00Z</dcterms:created>
  <dcterms:modified xsi:type="dcterms:W3CDTF">2017-10-16T09:26:00Z</dcterms:modified>
</cp:coreProperties>
</file>