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F5A" w:rsidRDefault="00606F5A" w:rsidP="00606F5A">
      <w:pPr>
        <w:tabs>
          <w:tab w:val="left" w:pos="2703"/>
        </w:tabs>
        <w:spacing w:after="0" w:line="240" w:lineRule="auto"/>
        <w:rPr>
          <w:rFonts w:asciiTheme="majorBidi" w:hAnsiTheme="majorBidi" w:cstheme="majorBidi"/>
          <w:sz w:val="24"/>
          <w:szCs w:val="24"/>
        </w:rPr>
      </w:pPr>
      <w:r>
        <w:rPr>
          <w:rFonts w:asciiTheme="majorBidi" w:hAnsiTheme="majorBidi" w:cstheme="majorBidi"/>
          <w:sz w:val="24"/>
          <w:szCs w:val="24"/>
        </w:rPr>
        <w:t>Malaysian Journal of Analytical Sciences Vol 21 No 5 (2017): 1028 - 1035</w:t>
      </w:r>
    </w:p>
    <w:p w:rsidR="00606F5A" w:rsidRDefault="00606F5A" w:rsidP="00606F5A">
      <w:pPr>
        <w:tabs>
          <w:tab w:val="left" w:pos="2703"/>
        </w:tabs>
        <w:spacing w:after="0" w:line="240" w:lineRule="auto"/>
        <w:rPr>
          <w:rFonts w:asciiTheme="majorBidi" w:hAnsiTheme="majorBidi" w:cstheme="majorBidi"/>
          <w:sz w:val="24"/>
          <w:szCs w:val="24"/>
        </w:rPr>
      </w:pPr>
    </w:p>
    <w:p w:rsidR="00606F5A" w:rsidRDefault="00606F5A" w:rsidP="00606F5A">
      <w:pPr>
        <w:tabs>
          <w:tab w:val="left" w:pos="2703"/>
        </w:tabs>
        <w:spacing w:after="0" w:line="240" w:lineRule="auto"/>
        <w:rPr>
          <w:rFonts w:asciiTheme="majorBidi" w:hAnsiTheme="majorBidi" w:cstheme="majorBidi"/>
          <w:sz w:val="24"/>
          <w:szCs w:val="24"/>
        </w:rPr>
      </w:pPr>
    </w:p>
    <w:p w:rsidR="00606F5A" w:rsidRPr="00606F5A" w:rsidRDefault="00606F5A" w:rsidP="00606F5A">
      <w:pPr>
        <w:tabs>
          <w:tab w:val="left" w:pos="2703"/>
        </w:tabs>
        <w:spacing w:after="0" w:line="240" w:lineRule="auto"/>
        <w:rPr>
          <w:rFonts w:asciiTheme="majorBidi" w:hAnsiTheme="majorBidi" w:cstheme="majorBidi"/>
          <w:sz w:val="24"/>
          <w:szCs w:val="24"/>
        </w:rPr>
      </w:pPr>
    </w:p>
    <w:p w:rsidR="00606F5A" w:rsidRDefault="00606F5A" w:rsidP="00606F5A">
      <w:pPr>
        <w:tabs>
          <w:tab w:val="left" w:pos="2703"/>
        </w:tabs>
        <w:spacing w:after="0" w:line="240" w:lineRule="auto"/>
        <w:jc w:val="center"/>
        <w:rPr>
          <w:rFonts w:asciiTheme="majorBidi" w:hAnsiTheme="majorBidi" w:cstheme="majorBidi"/>
          <w:sz w:val="28"/>
          <w:szCs w:val="28"/>
        </w:rPr>
      </w:pPr>
      <w:r w:rsidRPr="003D05AE">
        <w:rPr>
          <w:rFonts w:asciiTheme="majorBidi" w:hAnsiTheme="majorBidi" w:cstheme="majorBidi"/>
          <w:sz w:val="28"/>
          <w:szCs w:val="28"/>
        </w:rPr>
        <w:t xml:space="preserve">ANTI-PROLIFERATIVE EFFECT OF </w:t>
      </w:r>
      <w:r w:rsidRPr="003D05AE">
        <w:rPr>
          <w:rFonts w:asciiTheme="majorBidi" w:hAnsiTheme="majorBidi" w:cstheme="majorBidi"/>
          <w:i/>
          <w:iCs/>
          <w:sz w:val="28"/>
          <w:szCs w:val="28"/>
        </w:rPr>
        <w:t xml:space="preserve">Aerva </w:t>
      </w:r>
      <w:r>
        <w:rPr>
          <w:rFonts w:asciiTheme="majorBidi" w:hAnsiTheme="majorBidi" w:cstheme="majorBidi"/>
          <w:i/>
          <w:iCs/>
          <w:sz w:val="28"/>
          <w:szCs w:val="28"/>
        </w:rPr>
        <w:t>j</w:t>
      </w:r>
      <w:r w:rsidRPr="003D05AE">
        <w:rPr>
          <w:rFonts w:asciiTheme="majorBidi" w:hAnsiTheme="majorBidi" w:cstheme="majorBidi"/>
          <w:i/>
          <w:iCs/>
          <w:sz w:val="28"/>
          <w:szCs w:val="28"/>
        </w:rPr>
        <w:t>avanica</w:t>
      </w:r>
      <w:r w:rsidRPr="003D05AE">
        <w:rPr>
          <w:rFonts w:asciiTheme="majorBidi" w:hAnsiTheme="majorBidi" w:cstheme="majorBidi"/>
          <w:sz w:val="28"/>
          <w:szCs w:val="28"/>
        </w:rPr>
        <w:t xml:space="preserve"> EXTRACTS ON MCF7 AND MDA-MB-231 BREAST CANCER CELL LINES</w:t>
      </w:r>
    </w:p>
    <w:p w:rsidR="00606F5A" w:rsidRPr="00B6444F" w:rsidRDefault="00606F5A" w:rsidP="00606F5A">
      <w:pPr>
        <w:tabs>
          <w:tab w:val="left" w:pos="2703"/>
        </w:tabs>
        <w:spacing w:after="0" w:line="240" w:lineRule="auto"/>
        <w:jc w:val="center"/>
        <w:rPr>
          <w:rFonts w:asciiTheme="majorBidi" w:hAnsiTheme="majorBidi" w:cstheme="majorBidi"/>
          <w:sz w:val="24"/>
          <w:szCs w:val="24"/>
        </w:rPr>
      </w:pPr>
    </w:p>
    <w:p w:rsidR="00606F5A" w:rsidRPr="005E0D25" w:rsidRDefault="00606F5A" w:rsidP="005E0D25">
      <w:pPr>
        <w:tabs>
          <w:tab w:val="left" w:pos="2703"/>
        </w:tabs>
        <w:spacing w:after="0" w:line="240" w:lineRule="auto"/>
        <w:jc w:val="center"/>
        <w:rPr>
          <w:rFonts w:asciiTheme="majorBidi" w:hAnsiTheme="majorBidi" w:cstheme="majorBidi"/>
          <w:noProof/>
          <w:sz w:val="24"/>
          <w:szCs w:val="24"/>
          <w:lang w:val="ms-MY"/>
        </w:rPr>
      </w:pPr>
      <w:r w:rsidRPr="00A551D4">
        <w:rPr>
          <w:rFonts w:asciiTheme="majorBidi" w:hAnsiTheme="majorBidi" w:cstheme="majorBidi"/>
          <w:noProof/>
          <w:sz w:val="24"/>
          <w:szCs w:val="24"/>
          <w:lang w:val="ms-MY"/>
        </w:rPr>
        <w:t xml:space="preserve">(Kesan Anti-proliferatif Ekstrak </w:t>
      </w:r>
      <w:r w:rsidRPr="00A551D4">
        <w:rPr>
          <w:rFonts w:asciiTheme="majorBidi" w:hAnsiTheme="majorBidi" w:cstheme="majorBidi"/>
          <w:i/>
          <w:iCs/>
          <w:noProof/>
          <w:sz w:val="24"/>
          <w:szCs w:val="24"/>
          <w:lang w:val="ms-MY"/>
        </w:rPr>
        <w:t>Aerva Javanica</w:t>
      </w:r>
      <w:r w:rsidRPr="00A551D4">
        <w:rPr>
          <w:rFonts w:asciiTheme="majorBidi" w:hAnsiTheme="majorBidi" w:cstheme="majorBidi"/>
          <w:noProof/>
          <w:sz w:val="24"/>
          <w:szCs w:val="24"/>
          <w:lang w:val="ms-MY"/>
        </w:rPr>
        <w:t xml:space="preserve"> Ke Atas Titisan Sel Kanser Payudara </w:t>
      </w:r>
      <w:r>
        <w:rPr>
          <w:rFonts w:asciiTheme="majorBidi" w:hAnsiTheme="majorBidi" w:cstheme="majorBidi"/>
          <w:noProof/>
          <w:sz w:val="24"/>
          <w:szCs w:val="24"/>
          <w:lang w:val="ms-MY"/>
        </w:rPr>
        <w:t>MCF7 d</w:t>
      </w:r>
      <w:r w:rsidRPr="00A551D4">
        <w:rPr>
          <w:rFonts w:asciiTheme="majorBidi" w:hAnsiTheme="majorBidi" w:cstheme="majorBidi"/>
          <w:noProof/>
          <w:sz w:val="24"/>
          <w:szCs w:val="24"/>
          <w:lang w:val="ms-MY"/>
        </w:rPr>
        <w:t xml:space="preserve">an MDA-MB-231) </w:t>
      </w:r>
    </w:p>
    <w:p w:rsidR="005E0D25" w:rsidRDefault="005E0D25" w:rsidP="00606F5A">
      <w:pPr>
        <w:tabs>
          <w:tab w:val="left" w:pos="2703"/>
        </w:tabs>
        <w:spacing w:after="0" w:line="240" w:lineRule="auto"/>
        <w:jc w:val="center"/>
        <w:rPr>
          <w:rFonts w:asciiTheme="majorBidi" w:hAnsiTheme="majorBidi" w:cstheme="majorBidi"/>
          <w:noProof/>
          <w:sz w:val="20"/>
          <w:szCs w:val="20"/>
          <w:lang w:val="ms-MY"/>
        </w:rPr>
      </w:pPr>
    </w:p>
    <w:p w:rsidR="00606F5A" w:rsidRPr="005E0D25" w:rsidRDefault="00606F5A" w:rsidP="005E0D25">
      <w:pPr>
        <w:tabs>
          <w:tab w:val="left" w:pos="2703"/>
        </w:tabs>
        <w:spacing w:after="0" w:line="240" w:lineRule="auto"/>
        <w:jc w:val="center"/>
        <w:rPr>
          <w:rFonts w:asciiTheme="majorBidi" w:hAnsiTheme="majorBidi" w:cstheme="majorBidi"/>
          <w:noProof/>
          <w:sz w:val="20"/>
          <w:szCs w:val="20"/>
          <w:lang w:val="ms-MY"/>
        </w:rPr>
      </w:pPr>
      <w:r w:rsidRPr="00A551D4">
        <w:rPr>
          <w:rFonts w:asciiTheme="majorBidi" w:hAnsiTheme="majorBidi" w:cstheme="majorBidi"/>
          <w:noProof/>
          <w:sz w:val="20"/>
          <w:szCs w:val="20"/>
          <w:lang w:val="ms-MY"/>
        </w:rPr>
        <w:t>Nagla Mustafa Eltayeb</w:t>
      </w:r>
      <w:r w:rsidRPr="00A551D4">
        <w:rPr>
          <w:rFonts w:asciiTheme="majorBidi" w:hAnsiTheme="majorBidi" w:cstheme="majorBidi"/>
          <w:noProof/>
          <w:sz w:val="20"/>
          <w:szCs w:val="20"/>
          <w:vertAlign w:val="superscript"/>
          <w:lang w:val="ms-MY"/>
        </w:rPr>
        <w:t>1, 2</w:t>
      </w:r>
      <w:r w:rsidRPr="00A551D4">
        <w:rPr>
          <w:rFonts w:asciiTheme="majorBidi" w:hAnsiTheme="majorBidi" w:cstheme="majorBidi"/>
          <w:noProof/>
          <w:sz w:val="20"/>
          <w:szCs w:val="20"/>
          <w:lang w:val="ms-MY"/>
        </w:rPr>
        <w:t>, Ghada Mustafa Eltayeb</w:t>
      </w:r>
      <w:r w:rsidRPr="00A551D4">
        <w:rPr>
          <w:rFonts w:asciiTheme="majorBidi" w:hAnsiTheme="majorBidi" w:cstheme="majorBidi"/>
          <w:noProof/>
          <w:sz w:val="20"/>
          <w:szCs w:val="20"/>
          <w:vertAlign w:val="superscript"/>
          <w:lang w:val="ms-MY"/>
        </w:rPr>
        <w:t>3</w:t>
      </w:r>
      <w:r w:rsidRPr="00A551D4">
        <w:rPr>
          <w:rFonts w:asciiTheme="majorBidi" w:hAnsiTheme="majorBidi" w:cstheme="majorBidi"/>
          <w:noProof/>
          <w:sz w:val="20"/>
          <w:szCs w:val="20"/>
          <w:lang w:val="ms-MY"/>
        </w:rPr>
        <w:t>, Salizawati Muhamad Salhimi</w:t>
      </w:r>
      <w:r w:rsidRPr="00A551D4">
        <w:rPr>
          <w:rFonts w:asciiTheme="majorBidi" w:hAnsiTheme="majorBidi" w:cstheme="majorBidi"/>
          <w:noProof/>
          <w:sz w:val="20"/>
          <w:szCs w:val="20"/>
          <w:vertAlign w:val="superscript"/>
          <w:lang w:val="ms-MY"/>
        </w:rPr>
        <w:t>1</w:t>
      </w:r>
      <w:r w:rsidRPr="00B6444F">
        <w:rPr>
          <w:rFonts w:asciiTheme="majorBidi" w:hAnsiTheme="majorBidi" w:cstheme="majorBidi"/>
          <w:noProof/>
          <w:sz w:val="20"/>
          <w:szCs w:val="20"/>
          <w:lang w:val="ms-MY"/>
        </w:rPr>
        <w:t>*</w:t>
      </w:r>
    </w:p>
    <w:p w:rsidR="005E0D25" w:rsidRPr="005E0D25" w:rsidRDefault="005E0D25" w:rsidP="00606F5A">
      <w:pPr>
        <w:tabs>
          <w:tab w:val="left" w:pos="2703"/>
        </w:tabs>
        <w:spacing w:line="240" w:lineRule="auto"/>
        <w:contextualSpacing/>
        <w:jc w:val="center"/>
        <w:rPr>
          <w:rFonts w:asciiTheme="majorBidi" w:hAnsiTheme="majorBidi" w:cstheme="majorBidi"/>
          <w:i/>
          <w:iCs/>
          <w:sz w:val="20"/>
          <w:szCs w:val="20"/>
        </w:rPr>
      </w:pPr>
    </w:p>
    <w:p w:rsidR="00606F5A" w:rsidRPr="00606F5A" w:rsidRDefault="00606F5A" w:rsidP="005E0D25">
      <w:pPr>
        <w:tabs>
          <w:tab w:val="left" w:pos="2703"/>
        </w:tabs>
        <w:spacing w:after="0" w:line="240" w:lineRule="auto"/>
        <w:jc w:val="center"/>
        <w:rPr>
          <w:rFonts w:asciiTheme="majorBidi" w:hAnsiTheme="majorBidi" w:cstheme="majorBidi"/>
          <w:i/>
          <w:iCs/>
          <w:sz w:val="20"/>
          <w:szCs w:val="20"/>
        </w:rPr>
      </w:pPr>
      <w:r w:rsidRPr="00606F5A">
        <w:rPr>
          <w:rFonts w:asciiTheme="majorBidi" w:hAnsiTheme="majorBidi" w:cstheme="majorBidi"/>
          <w:i/>
          <w:iCs/>
          <w:sz w:val="20"/>
          <w:szCs w:val="20"/>
          <w:vertAlign w:val="superscript"/>
        </w:rPr>
        <w:t>1</w:t>
      </w:r>
      <w:r w:rsidRPr="00606F5A">
        <w:rPr>
          <w:rFonts w:asciiTheme="majorBidi" w:hAnsiTheme="majorBidi" w:cstheme="majorBidi"/>
          <w:i/>
          <w:iCs/>
          <w:sz w:val="20"/>
          <w:szCs w:val="20"/>
        </w:rPr>
        <w:t xml:space="preserve">School of Pharmaceutical Sciences, </w:t>
      </w:r>
    </w:p>
    <w:p w:rsidR="00606F5A" w:rsidRPr="00606F5A" w:rsidRDefault="00606F5A" w:rsidP="005E0D25">
      <w:pPr>
        <w:tabs>
          <w:tab w:val="left" w:pos="2703"/>
        </w:tabs>
        <w:spacing w:after="0" w:line="240" w:lineRule="auto"/>
        <w:jc w:val="center"/>
        <w:rPr>
          <w:rFonts w:asciiTheme="majorBidi" w:hAnsiTheme="majorBidi" w:cstheme="majorBidi"/>
          <w:i/>
          <w:iCs/>
          <w:sz w:val="20"/>
          <w:szCs w:val="20"/>
        </w:rPr>
      </w:pPr>
      <w:r w:rsidRPr="00606F5A">
        <w:rPr>
          <w:rFonts w:asciiTheme="majorBidi" w:hAnsiTheme="majorBidi" w:cstheme="majorBidi"/>
          <w:i/>
          <w:iCs/>
          <w:sz w:val="20"/>
          <w:szCs w:val="20"/>
        </w:rPr>
        <w:t>Universiti Sains Malaysia, 11800 USM, Penang, Malaysia</w:t>
      </w:r>
    </w:p>
    <w:p w:rsidR="00606F5A" w:rsidRPr="00606F5A" w:rsidRDefault="00606F5A" w:rsidP="005E0D25">
      <w:pPr>
        <w:spacing w:after="0" w:line="240" w:lineRule="auto"/>
        <w:jc w:val="center"/>
        <w:rPr>
          <w:rFonts w:asciiTheme="majorBidi" w:hAnsiTheme="majorBidi" w:cstheme="majorBidi"/>
          <w:i/>
          <w:iCs/>
          <w:sz w:val="20"/>
          <w:szCs w:val="20"/>
        </w:rPr>
      </w:pPr>
      <w:r w:rsidRPr="00606F5A">
        <w:rPr>
          <w:rFonts w:asciiTheme="majorBidi" w:hAnsiTheme="majorBidi" w:cstheme="majorBidi"/>
          <w:i/>
          <w:iCs/>
          <w:sz w:val="20"/>
          <w:szCs w:val="20"/>
          <w:vertAlign w:val="superscript"/>
        </w:rPr>
        <w:t>2</w:t>
      </w:r>
      <w:r w:rsidRPr="00606F5A">
        <w:rPr>
          <w:rFonts w:asciiTheme="majorBidi" w:hAnsiTheme="majorBidi" w:cstheme="majorBidi"/>
          <w:i/>
          <w:iCs/>
          <w:sz w:val="20"/>
          <w:szCs w:val="20"/>
        </w:rPr>
        <w:t>Tropical Medicine Research Institute (TMRI),</w:t>
      </w:r>
    </w:p>
    <w:p w:rsidR="00606F5A" w:rsidRPr="00606F5A" w:rsidRDefault="00606F5A" w:rsidP="005E0D25">
      <w:pPr>
        <w:spacing w:after="0" w:line="240" w:lineRule="auto"/>
        <w:jc w:val="center"/>
        <w:rPr>
          <w:rFonts w:asciiTheme="majorBidi" w:hAnsiTheme="majorBidi" w:cstheme="majorBidi"/>
          <w:i/>
          <w:iCs/>
          <w:sz w:val="20"/>
          <w:szCs w:val="20"/>
        </w:rPr>
      </w:pPr>
      <w:r w:rsidRPr="00606F5A">
        <w:rPr>
          <w:rFonts w:asciiTheme="majorBidi" w:hAnsiTheme="majorBidi" w:cstheme="majorBidi"/>
          <w:i/>
          <w:iCs/>
          <w:sz w:val="20"/>
          <w:szCs w:val="20"/>
        </w:rPr>
        <w:t xml:space="preserve"> National Centre for Research (NCR), Khartoum, Sudan</w:t>
      </w:r>
    </w:p>
    <w:p w:rsidR="00606F5A" w:rsidRPr="00606F5A" w:rsidRDefault="00606F5A" w:rsidP="005E0D25">
      <w:pPr>
        <w:spacing w:after="0" w:line="240" w:lineRule="auto"/>
        <w:jc w:val="center"/>
        <w:rPr>
          <w:rFonts w:asciiTheme="majorBidi" w:hAnsiTheme="majorBidi" w:cstheme="majorBidi"/>
          <w:i/>
          <w:iCs/>
          <w:sz w:val="20"/>
          <w:szCs w:val="20"/>
        </w:rPr>
      </w:pPr>
      <w:r w:rsidRPr="00606F5A">
        <w:rPr>
          <w:rFonts w:asciiTheme="majorBidi" w:hAnsiTheme="majorBidi" w:cstheme="majorBidi"/>
          <w:i/>
          <w:iCs/>
          <w:sz w:val="20"/>
          <w:szCs w:val="20"/>
        </w:rPr>
        <w:t xml:space="preserve"> </w:t>
      </w:r>
      <w:r w:rsidRPr="00606F5A">
        <w:rPr>
          <w:rFonts w:asciiTheme="majorBidi" w:hAnsiTheme="majorBidi" w:cstheme="majorBidi"/>
          <w:i/>
          <w:iCs/>
          <w:sz w:val="20"/>
          <w:szCs w:val="20"/>
          <w:vertAlign w:val="superscript"/>
        </w:rPr>
        <w:t>3</w:t>
      </w:r>
      <w:r w:rsidRPr="00606F5A">
        <w:rPr>
          <w:rFonts w:asciiTheme="majorBidi" w:hAnsiTheme="majorBidi" w:cstheme="majorBidi"/>
          <w:i/>
          <w:iCs/>
          <w:sz w:val="20"/>
          <w:szCs w:val="20"/>
        </w:rPr>
        <w:t xml:space="preserve">Faculty of Clinical and Industrial Pharmacy, </w:t>
      </w:r>
    </w:p>
    <w:p w:rsidR="00606F5A" w:rsidRPr="00606F5A" w:rsidRDefault="00606F5A" w:rsidP="005E0D25">
      <w:pPr>
        <w:spacing w:after="0" w:line="240" w:lineRule="auto"/>
        <w:jc w:val="center"/>
        <w:rPr>
          <w:rFonts w:asciiTheme="majorBidi" w:hAnsiTheme="majorBidi" w:cstheme="majorBidi"/>
          <w:i/>
          <w:iCs/>
          <w:sz w:val="20"/>
          <w:szCs w:val="20"/>
        </w:rPr>
      </w:pPr>
      <w:r w:rsidRPr="00606F5A">
        <w:rPr>
          <w:rFonts w:asciiTheme="majorBidi" w:hAnsiTheme="majorBidi" w:cstheme="majorBidi"/>
          <w:i/>
          <w:iCs/>
          <w:sz w:val="20"/>
          <w:szCs w:val="20"/>
        </w:rPr>
        <w:t>National University-Sudan, Khartoum 11111, Sudan</w:t>
      </w:r>
    </w:p>
    <w:p w:rsidR="00606F5A" w:rsidRPr="00606F5A" w:rsidRDefault="00606F5A" w:rsidP="00606F5A">
      <w:pPr>
        <w:spacing w:after="0" w:line="240" w:lineRule="auto"/>
        <w:jc w:val="center"/>
        <w:rPr>
          <w:rFonts w:ascii="Times New Roman" w:hAnsi="Times New Roman"/>
          <w:noProof/>
          <w:sz w:val="20"/>
          <w:szCs w:val="20"/>
          <w:lang w:bidi="ar-SA"/>
        </w:rPr>
      </w:pPr>
      <w:bookmarkStart w:id="0" w:name="_GoBack"/>
      <w:bookmarkEnd w:id="0"/>
    </w:p>
    <w:p w:rsidR="00606F5A" w:rsidRPr="00606F5A" w:rsidRDefault="00606F5A" w:rsidP="00606F5A">
      <w:pPr>
        <w:spacing w:after="0" w:line="240" w:lineRule="auto"/>
        <w:jc w:val="center"/>
        <w:rPr>
          <w:rFonts w:ascii="Times New Roman" w:hAnsi="Times New Roman"/>
          <w:i/>
          <w:noProof/>
          <w:sz w:val="20"/>
          <w:szCs w:val="20"/>
          <w:lang w:bidi="ar-SA"/>
        </w:rPr>
      </w:pPr>
      <w:r w:rsidRPr="00606F5A">
        <w:rPr>
          <w:rFonts w:ascii="Times New Roman" w:hAnsi="Times New Roman"/>
          <w:i/>
          <w:noProof/>
          <w:sz w:val="20"/>
          <w:szCs w:val="20"/>
          <w:lang w:bidi="ar-SA"/>
        </w:rPr>
        <w:t>*Corresponding author:  saliza@usm.my</w:t>
      </w:r>
    </w:p>
    <w:p w:rsidR="00606F5A" w:rsidRPr="00606F5A" w:rsidRDefault="00606F5A" w:rsidP="00606F5A">
      <w:pPr>
        <w:spacing w:after="0" w:line="240" w:lineRule="auto"/>
        <w:jc w:val="center"/>
        <w:rPr>
          <w:rFonts w:ascii="Times New Roman" w:hAnsi="Times New Roman"/>
          <w:noProof/>
          <w:sz w:val="20"/>
          <w:szCs w:val="20"/>
          <w:lang w:bidi="ar-SA"/>
        </w:rPr>
      </w:pPr>
    </w:p>
    <w:p w:rsidR="00606F5A" w:rsidRPr="00606F5A" w:rsidRDefault="00606F5A" w:rsidP="00606F5A">
      <w:pPr>
        <w:spacing w:after="0" w:line="240" w:lineRule="auto"/>
        <w:jc w:val="center"/>
        <w:rPr>
          <w:rFonts w:ascii="Times New Roman" w:hAnsi="Times New Roman"/>
          <w:noProof/>
          <w:sz w:val="20"/>
          <w:szCs w:val="20"/>
          <w:lang w:bidi="ar-SA"/>
        </w:rPr>
      </w:pPr>
    </w:p>
    <w:p w:rsidR="00606F5A" w:rsidRPr="00606F5A" w:rsidRDefault="00606F5A" w:rsidP="00606F5A">
      <w:pPr>
        <w:spacing w:after="0" w:line="240" w:lineRule="auto"/>
        <w:jc w:val="center"/>
        <w:rPr>
          <w:rFonts w:ascii="Times New Roman" w:hAnsi="Times New Roman"/>
          <w:noProof/>
          <w:sz w:val="20"/>
          <w:szCs w:val="20"/>
          <w:lang w:bidi="ar-SA"/>
        </w:rPr>
      </w:pPr>
      <w:r w:rsidRPr="00606F5A">
        <w:rPr>
          <w:rFonts w:ascii="Times New Roman" w:hAnsi="Times New Roman"/>
          <w:noProof/>
          <w:sz w:val="20"/>
          <w:szCs w:val="20"/>
          <w:lang w:bidi="ar-SA"/>
        </w:rPr>
        <w:t>Received: 16 August 2016; Accepted: 25 July 2017</w:t>
      </w:r>
    </w:p>
    <w:p w:rsidR="00606F5A" w:rsidRPr="00606F5A" w:rsidRDefault="00606F5A" w:rsidP="00606F5A">
      <w:pPr>
        <w:spacing w:after="0" w:line="240" w:lineRule="auto"/>
        <w:jc w:val="center"/>
        <w:rPr>
          <w:rFonts w:ascii="Times New Roman" w:hAnsi="Times New Roman"/>
          <w:noProof/>
          <w:sz w:val="20"/>
          <w:szCs w:val="20"/>
          <w:lang w:bidi="ar-SA"/>
        </w:rPr>
      </w:pPr>
    </w:p>
    <w:p w:rsidR="00606F5A" w:rsidRPr="00606F5A" w:rsidRDefault="00606F5A" w:rsidP="00606F5A">
      <w:pPr>
        <w:spacing w:after="0" w:line="240" w:lineRule="auto"/>
        <w:jc w:val="center"/>
        <w:rPr>
          <w:rFonts w:ascii="Times New Roman" w:hAnsi="Times New Roman"/>
          <w:noProof/>
          <w:sz w:val="20"/>
          <w:szCs w:val="20"/>
          <w:lang w:bidi="ar-SA"/>
        </w:rPr>
      </w:pPr>
    </w:p>
    <w:p w:rsidR="00606F5A" w:rsidRPr="00606F5A" w:rsidRDefault="00606F5A" w:rsidP="00606F5A">
      <w:pPr>
        <w:spacing w:after="0" w:line="240" w:lineRule="auto"/>
        <w:jc w:val="center"/>
        <w:rPr>
          <w:rFonts w:ascii="Times New Roman" w:hAnsi="Times New Roman"/>
          <w:b/>
          <w:noProof/>
          <w:sz w:val="20"/>
          <w:szCs w:val="20"/>
          <w:lang w:bidi="ar-SA"/>
        </w:rPr>
      </w:pPr>
      <w:r w:rsidRPr="00606F5A">
        <w:rPr>
          <w:rFonts w:ascii="Times New Roman" w:hAnsi="Times New Roman"/>
          <w:b/>
          <w:noProof/>
          <w:sz w:val="20"/>
          <w:szCs w:val="20"/>
          <w:lang w:bidi="ar-SA"/>
        </w:rPr>
        <w:t>Abstract</w:t>
      </w:r>
    </w:p>
    <w:p w:rsidR="00606F5A" w:rsidRPr="00606F5A" w:rsidRDefault="00606F5A" w:rsidP="00606F5A">
      <w:pPr>
        <w:tabs>
          <w:tab w:val="left" w:pos="2703"/>
        </w:tabs>
        <w:spacing w:after="0" w:line="240" w:lineRule="auto"/>
        <w:jc w:val="both"/>
        <w:rPr>
          <w:rFonts w:asciiTheme="majorBidi" w:hAnsiTheme="majorBidi" w:cstheme="majorBidi"/>
          <w:sz w:val="20"/>
          <w:szCs w:val="20"/>
        </w:rPr>
      </w:pPr>
      <w:r w:rsidRPr="00606F5A">
        <w:rPr>
          <w:rFonts w:asciiTheme="majorBidi" w:hAnsiTheme="majorBidi" w:cstheme="majorBidi"/>
          <w:sz w:val="20"/>
          <w:szCs w:val="20"/>
        </w:rPr>
        <w:t xml:space="preserve">In this study, the medicinal plant </w:t>
      </w:r>
      <w:r w:rsidRPr="00606F5A">
        <w:rPr>
          <w:rFonts w:asciiTheme="majorBidi" w:hAnsiTheme="majorBidi" w:cstheme="majorBidi"/>
          <w:i/>
          <w:iCs/>
          <w:sz w:val="20"/>
          <w:szCs w:val="20"/>
        </w:rPr>
        <w:t>Aerva javanica</w:t>
      </w:r>
      <w:r w:rsidRPr="00606F5A">
        <w:rPr>
          <w:rFonts w:asciiTheme="majorBidi" w:hAnsiTheme="majorBidi" w:cstheme="majorBidi"/>
          <w:sz w:val="20"/>
          <w:szCs w:val="20"/>
        </w:rPr>
        <w:t xml:space="preserve"> was sequentially extracted with n-hexane, chloroform and 80% methanol using maceration technique. The anti-proliferative effect of the three extracts was assessed on two different breast cancer cell lines, MDA-MB-231 and MCF7, using MTT assay.</w:t>
      </w:r>
      <w:r w:rsidRPr="00606F5A">
        <w:rPr>
          <w:sz w:val="20"/>
          <w:szCs w:val="20"/>
        </w:rPr>
        <w:t xml:space="preserve"> </w:t>
      </w:r>
      <w:r w:rsidRPr="00606F5A">
        <w:rPr>
          <w:rFonts w:asciiTheme="majorBidi" w:hAnsiTheme="majorBidi" w:cstheme="majorBidi"/>
          <w:sz w:val="20"/>
          <w:szCs w:val="20"/>
        </w:rPr>
        <w:t>1, 1-diphenyl-2-picryl-hydrazyl (DPPH) scavenging activity assay was used to assess the antioxidant activity of the three extracts. The result showed that the chloroform extract exerted an inhibitory effect in a concentration dependent manner on both cancer cell lines with IC</w:t>
      </w:r>
      <w:r w:rsidRPr="00606F5A">
        <w:rPr>
          <w:rFonts w:asciiTheme="majorBidi" w:hAnsiTheme="majorBidi" w:cstheme="majorBidi"/>
          <w:sz w:val="20"/>
          <w:szCs w:val="20"/>
          <w:vertAlign w:val="subscript"/>
        </w:rPr>
        <w:t>50</w:t>
      </w:r>
      <w:r w:rsidRPr="00606F5A">
        <w:rPr>
          <w:rFonts w:asciiTheme="majorBidi" w:hAnsiTheme="majorBidi" w:cstheme="majorBidi"/>
          <w:sz w:val="20"/>
          <w:szCs w:val="20"/>
        </w:rPr>
        <w:t xml:space="preserve"> values of 32.7 ± 0.7 µg/ml and 40.9 ± 2 µg/ml on MDA-MD-321 and MCF7 respectively. 80% methanol extract exhibited cytotoxic effect on MCF7 with IC</w:t>
      </w:r>
      <w:r w:rsidRPr="00606F5A">
        <w:rPr>
          <w:rFonts w:asciiTheme="majorBidi" w:hAnsiTheme="majorBidi" w:cstheme="majorBidi"/>
          <w:sz w:val="20"/>
          <w:szCs w:val="20"/>
          <w:vertAlign w:val="subscript"/>
        </w:rPr>
        <w:t>50</w:t>
      </w:r>
      <w:r w:rsidRPr="00606F5A">
        <w:rPr>
          <w:rFonts w:asciiTheme="majorBidi" w:hAnsiTheme="majorBidi" w:cstheme="majorBidi"/>
          <w:sz w:val="20"/>
          <w:szCs w:val="20"/>
        </w:rPr>
        <w:t xml:space="preserve"> value of 96.6 ± 2.9 µg/ml, whereas had no cytotoxic effect on MDA-MB-231 cell line (IC</w:t>
      </w:r>
      <w:r w:rsidRPr="00606F5A">
        <w:rPr>
          <w:rFonts w:asciiTheme="majorBidi" w:hAnsiTheme="majorBidi" w:cstheme="majorBidi"/>
          <w:sz w:val="20"/>
          <w:szCs w:val="20"/>
          <w:vertAlign w:val="subscript"/>
        </w:rPr>
        <w:t xml:space="preserve">50 </w:t>
      </w:r>
      <w:r w:rsidRPr="00606F5A">
        <w:rPr>
          <w:rFonts w:asciiTheme="majorBidi" w:hAnsiTheme="majorBidi" w:cstheme="majorBidi"/>
          <w:sz w:val="20"/>
          <w:szCs w:val="20"/>
        </w:rPr>
        <w:t>˃ 200 µg/ml). n-hexane extract found to be less cytotoxic against both cancer cell lines with IC</w:t>
      </w:r>
      <w:r w:rsidRPr="00606F5A">
        <w:rPr>
          <w:rFonts w:asciiTheme="majorBidi" w:hAnsiTheme="majorBidi" w:cstheme="majorBidi"/>
          <w:sz w:val="20"/>
          <w:szCs w:val="20"/>
          <w:vertAlign w:val="subscript"/>
        </w:rPr>
        <w:t>50</w:t>
      </w:r>
      <w:r w:rsidRPr="00606F5A">
        <w:rPr>
          <w:rFonts w:asciiTheme="majorBidi" w:hAnsiTheme="majorBidi" w:cstheme="majorBidi"/>
          <w:sz w:val="20"/>
          <w:szCs w:val="20"/>
        </w:rPr>
        <w:t xml:space="preserve"> values of 178.3 ± 3.7 and 196.9 ± 2.8 µg/ml on MDA-MB-231 and MCF7, respectively. The highest IC</w:t>
      </w:r>
      <w:r w:rsidRPr="00606F5A">
        <w:rPr>
          <w:rFonts w:asciiTheme="majorBidi" w:hAnsiTheme="majorBidi" w:cstheme="majorBidi"/>
          <w:sz w:val="20"/>
          <w:szCs w:val="20"/>
          <w:vertAlign w:val="subscript"/>
        </w:rPr>
        <w:t xml:space="preserve">50 </w:t>
      </w:r>
      <w:r w:rsidRPr="00606F5A">
        <w:rPr>
          <w:rFonts w:asciiTheme="majorBidi" w:hAnsiTheme="majorBidi" w:cstheme="majorBidi"/>
          <w:sz w:val="20"/>
          <w:szCs w:val="20"/>
        </w:rPr>
        <w:t>value for scavenging activity was shown by 80% methanol extract (46.5 ± 2.2</w:t>
      </w:r>
      <w:r w:rsidRPr="00606F5A">
        <w:rPr>
          <w:sz w:val="20"/>
          <w:szCs w:val="20"/>
        </w:rPr>
        <w:t xml:space="preserve"> </w:t>
      </w:r>
      <w:r w:rsidRPr="00606F5A">
        <w:rPr>
          <w:rFonts w:asciiTheme="majorBidi" w:hAnsiTheme="majorBidi" w:cstheme="majorBidi"/>
          <w:sz w:val="20"/>
          <w:szCs w:val="20"/>
        </w:rPr>
        <w:t>µg/ml) followed by chloroform extract (78.3 ± 3.6</w:t>
      </w:r>
      <w:r w:rsidRPr="00606F5A">
        <w:rPr>
          <w:sz w:val="20"/>
          <w:szCs w:val="20"/>
        </w:rPr>
        <w:t xml:space="preserve"> </w:t>
      </w:r>
      <w:r w:rsidRPr="00606F5A">
        <w:rPr>
          <w:rFonts w:asciiTheme="majorBidi" w:hAnsiTheme="majorBidi" w:cstheme="majorBidi"/>
          <w:sz w:val="20"/>
          <w:szCs w:val="20"/>
        </w:rPr>
        <w:t>µg/ml). On the other hand, the extract prepared in n-hexane showed no scavenging activity effect (IC</w:t>
      </w:r>
      <w:r w:rsidRPr="00606F5A">
        <w:rPr>
          <w:rFonts w:asciiTheme="majorBidi" w:hAnsiTheme="majorBidi" w:cstheme="majorBidi"/>
          <w:sz w:val="20"/>
          <w:szCs w:val="20"/>
          <w:vertAlign w:val="subscript"/>
        </w:rPr>
        <w:t xml:space="preserve">50 </w:t>
      </w:r>
      <w:r w:rsidRPr="00606F5A">
        <w:rPr>
          <w:rFonts w:asciiTheme="majorBidi" w:hAnsiTheme="majorBidi" w:cstheme="majorBidi"/>
          <w:sz w:val="20"/>
          <w:szCs w:val="20"/>
        </w:rPr>
        <w:t xml:space="preserve">˃ 1000 µg/ml). </w:t>
      </w:r>
      <w:r w:rsidRPr="00606F5A">
        <w:rPr>
          <w:rFonts w:asciiTheme="majorBidi" w:hAnsiTheme="majorBidi" w:cstheme="majorBidi"/>
          <w:i/>
          <w:iCs/>
          <w:sz w:val="20"/>
          <w:szCs w:val="20"/>
        </w:rPr>
        <w:t>Aerva javanica</w:t>
      </w:r>
      <w:r w:rsidRPr="00606F5A">
        <w:rPr>
          <w:rFonts w:asciiTheme="majorBidi" w:hAnsiTheme="majorBidi" w:cstheme="majorBidi"/>
          <w:sz w:val="20"/>
          <w:szCs w:val="20"/>
        </w:rPr>
        <w:t xml:space="preserve"> possesses moderate anti-proliferative activity against human breast cancer cell lines with some cytoselectivity towards MDA-MB-231 compare to MCF7 cells. Further studies are needed to identify the potential anticancer component (s) from </w:t>
      </w:r>
      <w:r w:rsidRPr="00606F5A">
        <w:rPr>
          <w:rFonts w:asciiTheme="majorBidi" w:hAnsiTheme="majorBidi" w:cstheme="majorBidi"/>
          <w:i/>
          <w:iCs/>
          <w:sz w:val="20"/>
          <w:szCs w:val="20"/>
        </w:rPr>
        <w:t>Aerva javanica</w:t>
      </w:r>
      <w:r w:rsidRPr="00606F5A">
        <w:rPr>
          <w:rFonts w:asciiTheme="majorBidi" w:hAnsiTheme="majorBidi" w:cstheme="majorBidi"/>
          <w:sz w:val="20"/>
          <w:szCs w:val="20"/>
        </w:rPr>
        <w:t>.</w:t>
      </w:r>
    </w:p>
    <w:p w:rsidR="00606F5A" w:rsidRPr="00606F5A" w:rsidRDefault="00606F5A" w:rsidP="00606F5A">
      <w:pPr>
        <w:tabs>
          <w:tab w:val="left" w:pos="2703"/>
        </w:tabs>
        <w:spacing w:after="0" w:line="240" w:lineRule="auto"/>
        <w:jc w:val="both"/>
        <w:rPr>
          <w:rFonts w:asciiTheme="majorBidi" w:hAnsiTheme="majorBidi" w:cstheme="majorBidi"/>
          <w:sz w:val="20"/>
          <w:szCs w:val="20"/>
        </w:rPr>
      </w:pPr>
    </w:p>
    <w:p w:rsidR="00606F5A" w:rsidRPr="00606F5A" w:rsidRDefault="00606F5A" w:rsidP="00606F5A">
      <w:pPr>
        <w:tabs>
          <w:tab w:val="left" w:pos="2703"/>
        </w:tabs>
        <w:spacing w:after="0" w:line="240" w:lineRule="auto"/>
        <w:jc w:val="both"/>
        <w:rPr>
          <w:rFonts w:asciiTheme="majorBidi" w:hAnsiTheme="majorBidi" w:cstheme="majorBidi"/>
          <w:sz w:val="20"/>
          <w:szCs w:val="20"/>
        </w:rPr>
      </w:pPr>
      <w:r w:rsidRPr="00606F5A">
        <w:rPr>
          <w:rFonts w:asciiTheme="majorBidi" w:hAnsiTheme="majorBidi" w:cstheme="majorBidi"/>
          <w:b/>
          <w:bCs/>
          <w:sz w:val="20"/>
          <w:szCs w:val="20"/>
        </w:rPr>
        <w:t>Keywords</w:t>
      </w:r>
      <w:r w:rsidRPr="00606F5A">
        <w:rPr>
          <w:rFonts w:asciiTheme="majorBidi" w:hAnsiTheme="majorBidi" w:cstheme="majorBidi"/>
          <w:sz w:val="20"/>
          <w:szCs w:val="20"/>
        </w:rPr>
        <w:t xml:space="preserve">:  MTT assay, </w:t>
      </w:r>
      <w:r w:rsidRPr="00606F5A">
        <w:rPr>
          <w:rFonts w:asciiTheme="majorBidi" w:hAnsiTheme="majorBidi" w:cstheme="majorBidi"/>
          <w:i/>
          <w:iCs/>
          <w:sz w:val="20"/>
          <w:szCs w:val="20"/>
        </w:rPr>
        <w:t>Aerva javanica</w:t>
      </w:r>
      <w:r w:rsidRPr="00606F5A">
        <w:rPr>
          <w:rFonts w:asciiTheme="majorBidi" w:hAnsiTheme="majorBidi" w:cstheme="majorBidi"/>
          <w:sz w:val="20"/>
          <w:szCs w:val="20"/>
        </w:rPr>
        <w:t>, MCF7, MDA-MB-231</w:t>
      </w:r>
    </w:p>
    <w:p w:rsidR="00606F5A" w:rsidRPr="00606F5A" w:rsidRDefault="00606F5A" w:rsidP="00606F5A">
      <w:pPr>
        <w:tabs>
          <w:tab w:val="left" w:pos="2703"/>
        </w:tabs>
        <w:spacing w:after="0" w:line="240" w:lineRule="auto"/>
        <w:jc w:val="center"/>
        <w:rPr>
          <w:rFonts w:asciiTheme="majorBidi" w:hAnsiTheme="majorBidi" w:cstheme="majorBidi"/>
          <w:sz w:val="20"/>
          <w:szCs w:val="20"/>
        </w:rPr>
      </w:pPr>
    </w:p>
    <w:p w:rsidR="00606F5A" w:rsidRPr="00606F5A" w:rsidRDefault="00606F5A" w:rsidP="00606F5A">
      <w:pPr>
        <w:tabs>
          <w:tab w:val="left" w:pos="2703"/>
        </w:tabs>
        <w:spacing w:after="0" w:line="240" w:lineRule="auto"/>
        <w:jc w:val="center"/>
        <w:rPr>
          <w:rFonts w:asciiTheme="majorBidi" w:hAnsiTheme="majorBidi" w:cstheme="majorBidi"/>
          <w:b/>
          <w:bCs/>
          <w:noProof/>
          <w:sz w:val="20"/>
          <w:szCs w:val="20"/>
          <w:lang w:val="ms-MY"/>
        </w:rPr>
      </w:pPr>
      <w:r w:rsidRPr="00606F5A">
        <w:rPr>
          <w:rFonts w:asciiTheme="majorBidi" w:hAnsiTheme="majorBidi" w:cstheme="majorBidi"/>
          <w:b/>
          <w:bCs/>
          <w:noProof/>
          <w:sz w:val="20"/>
          <w:szCs w:val="20"/>
          <w:lang w:val="ms-MY"/>
        </w:rPr>
        <w:t>Abstrak</w:t>
      </w:r>
    </w:p>
    <w:p w:rsidR="00606F5A" w:rsidRPr="00606F5A" w:rsidRDefault="00606F5A" w:rsidP="00606F5A">
      <w:pPr>
        <w:tabs>
          <w:tab w:val="left" w:pos="2703"/>
        </w:tabs>
        <w:spacing w:after="0" w:line="240" w:lineRule="auto"/>
        <w:jc w:val="both"/>
        <w:rPr>
          <w:rFonts w:asciiTheme="majorBidi" w:hAnsiTheme="majorBidi" w:cstheme="majorBidi"/>
          <w:noProof/>
          <w:sz w:val="20"/>
          <w:szCs w:val="20"/>
          <w:lang w:val="ms-MY"/>
        </w:rPr>
      </w:pPr>
      <w:r w:rsidRPr="00606F5A">
        <w:rPr>
          <w:rFonts w:asciiTheme="majorBidi" w:hAnsiTheme="majorBidi" w:cstheme="majorBidi"/>
          <w:noProof/>
          <w:sz w:val="20"/>
          <w:szCs w:val="20"/>
          <w:lang w:val="ms-MY"/>
        </w:rPr>
        <w:t xml:space="preserve">Dalam kajian ini, tumbuhan ubatan </w:t>
      </w:r>
      <w:r w:rsidRPr="00606F5A">
        <w:rPr>
          <w:rFonts w:asciiTheme="majorBidi" w:hAnsiTheme="majorBidi" w:cstheme="majorBidi"/>
          <w:i/>
          <w:iCs/>
          <w:noProof/>
          <w:sz w:val="20"/>
          <w:szCs w:val="20"/>
          <w:lang w:val="ms-MY"/>
        </w:rPr>
        <w:t>Aerva javanica</w:t>
      </w:r>
      <w:r w:rsidRPr="00606F5A">
        <w:rPr>
          <w:rFonts w:asciiTheme="majorBidi" w:hAnsiTheme="majorBidi" w:cstheme="majorBidi"/>
          <w:noProof/>
          <w:sz w:val="20"/>
          <w:szCs w:val="20"/>
          <w:lang w:val="ms-MY"/>
        </w:rPr>
        <w:t xml:space="preserve"> telah diekstrak secara berturutan dengan n-heksana, kloroform dan 80% metanol menggunakan teknik pemaseratan. Kesan anti-proliferatif daripada tiga ekstrak dinilai pada dua titisan sel kanser payudara yang berbeza iaitu MDA-MB-231 dan MCF7, menggunakan ujian MTT. Ujian aktiviti hapus sisa DPPH telah digunakan untuk menilai aktiviti antioksidan daripada tiga ekstrak. Keputusan menunjukkan bahawa ekstrak kloroform memberikan kesan perencatan bergantung kepekatan ke atas kedua-dua jenis sel kanser dengan nilai-nilai IC</w:t>
      </w:r>
      <w:r w:rsidRPr="00606F5A">
        <w:rPr>
          <w:rFonts w:asciiTheme="majorBidi" w:hAnsiTheme="majorBidi" w:cstheme="majorBidi"/>
          <w:noProof/>
          <w:sz w:val="20"/>
          <w:szCs w:val="20"/>
          <w:vertAlign w:val="subscript"/>
          <w:lang w:val="ms-MY"/>
        </w:rPr>
        <w:t>50</w:t>
      </w:r>
      <w:r w:rsidRPr="00606F5A">
        <w:rPr>
          <w:rFonts w:asciiTheme="majorBidi" w:hAnsiTheme="majorBidi" w:cstheme="majorBidi"/>
          <w:noProof/>
          <w:sz w:val="20"/>
          <w:szCs w:val="20"/>
          <w:lang w:val="ms-MY"/>
        </w:rPr>
        <w:t xml:space="preserve"> 32.7 ± 0.7 μg/ml dan 40.9 ± 2 μg/ml pada MDA-MD-321 dan MCF7 masing-masing. Ekstrak 80% metanol menunjukkan kesan sitotoksik ke atas MCF7 dengan nilai IC</w:t>
      </w:r>
      <w:r w:rsidRPr="00606F5A">
        <w:rPr>
          <w:rFonts w:asciiTheme="majorBidi" w:hAnsiTheme="majorBidi" w:cstheme="majorBidi"/>
          <w:noProof/>
          <w:sz w:val="20"/>
          <w:szCs w:val="20"/>
          <w:vertAlign w:val="subscript"/>
          <w:lang w:val="ms-MY"/>
        </w:rPr>
        <w:t>50</w:t>
      </w:r>
      <w:r w:rsidRPr="00606F5A">
        <w:rPr>
          <w:rFonts w:asciiTheme="majorBidi" w:hAnsiTheme="majorBidi" w:cstheme="majorBidi"/>
          <w:noProof/>
          <w:sz w:val="20"/>
          <w:szCs w:val="20"/>
          <w:lang w:val="ms-MY"/>
        </w:rPr>
        <w:t xml:space="preserve"> 96.6 ± 2.9 μg/ml, tetapi tidak </w:t>
      </w:r>
      <w:r w:rsidRPr="00606F5A">
        <w:rPr>
          <w:rFonts w:asciiTheme="majorBidi" w:hAnsiTheme="majorBidi" w:cstheme="majorBidi"/>
          <w:noProof/>
          <w:sz w:val="20"/>
          <w:szCs w:val="20"/>
          <w:lang w:val="ms-MY"/>
        </w:rPr>
        <w:lastRenderedPageBreak/>
        <w:t>memberikan kesan sitotoksik ke atas MDA-MB-231 (IC</w:t>
      </w:r>
      <w:r w:rsidRPr="00606F5A">
        <w:rPr>
          <w:rFonts w:asciiTheme="majorBidi" w:hAnsiTheme="majorBidi" w:cstheme="majorBidi"/>
          <w:noProof/>
          <w:sz w:val="20"/>
          <w:szCs w:val="20"/>
          <w:vertAlign w:val="subscript"/>
          <w:lang w:val="ms-MY"/>
        </w:rPr>
        <w:t xml:space="preserve">50  </w:t>
      </w:r>
      <w:r w:rsidRPr="00606F5A">
        <w:rPr>
          <w:rFonts w:asciiTheme="majorBidi" w:hAnsiTheme="majorBidi" w:cstheme="majorBidi"/>
          <w:noProof/>
          <w:sz w:val="20"/>
          <w:szCs w:val="20"/>
          <w:lang w:val="ms-MY"/>
        </w:rPr>
        <w:t>˃ 200 μg/ml).</w:t>
      </w:r>
      <w:r w:rsidRPr="00606F5A">
        <w:rPr>
          <w:noProof/>
          <w:sz w:val="20"/>
          <w:szCs w:val="20"/>
          <w:lang w:val="ms-MY"/>
        </w:rPr>
        <w:t xml:space="preserve"> </w:t>
      </w:r>
      <w:r w:rsidRPr="00606F5A">
        <w:rPr>
          <w:rFonts w:asciiTheme="majorBidi" w:hAnsiTheme="majorBidi" w:cstheme="majorBidi"/>
          <w:noProof/>
          <w:sz w:val="20"/>
          <w:szCs w:val="20"/>
          <w:lang w:val="ms-MY"/>
        </w:rPr>
        <w:t>Ekstrak n-heksana didapati kurang sitotoksik terhadap kedua-dua titisan sel kanser dengan nilai-nilai IC</w:t>
      </w:r>
      <w:r w:rsidRPr="00606F5A">
        <w:rPr>
          <w:rFonts w:asciiTheme="majorBidi" w:hAnsiTheme="majorBidi" w:cstheme="majorBidi"/>
          <w:noProof/>
          <w:sz w:val="20"/>
          <w:szCs w:val="20"/>
          <w:vertAlign w:val="subscript"/>
          <w:lang w:val="ms-MY"/>
        </w:rPr>
        <w:t>50</w:t>
      </w:r>
      <w:r w:rsidRPr="00606F5A">
        <w:rPr>
          <w:rFonts w:asciiTheme="majorBidi" w:hAnsiTheme="majorBidi" w:cstheme="majorBidi"/>
          <w:noProof/>
          <w:sz w:val="20"/>
          <w:szCs w:val="20"/>
          <w:lang w:val="ms-MY"/>
        </w:rPr>
        <w:t xml:space="preserve"> 178.3 ± 3.7 dan 196.9 ± 2.8 µg/ml masing-masing ke atas MDA-MB-231 dan MCF7. Aktiviti hapus sisa yang tertinggi ditunjukkan oleh  ekstrak 80% metanol (IC</w:t>
      </w:r>
      <w:r w:rsidRPr="00606F5A">
        <w:rPr>
          <w:rFonts w:asciiTheme="majorBidi" w:hAnsiTheme="majorBidi" w:cstheme="majorBidi"/>
          <w:noProof/>
          <w:sz w:val="20"/>
          <w:szCs w:val="20"/>
          <w:vertAlign w:val="subscript"/>
          <w:lang w:val="ms-MY"/>
        </w:rPr>
        <w:t>50</w:t>
      </w:r>
      <w:r w:rsidRPr="00606F5A">
        <w:rPr>
          <w:rFonts w:asciiTheme="majorBidi" w:hAnsiTheme="majorBidi" w:cstheme="majorBidi"/>
          <w:noProof/>
          <w:sz w:val="20"/>
          <w:szCs w:val="20"/>
          <w:lang w:val="ms-MY"/>
        </w:rPr>
        <w:t xml:space="preserve"> 46.5 ± 2.2</w:t>
      </w:r>
      <w:r w:rsidRPr="00606F5A">
        <w:rPr>
          <w:noProof/>
          <w:sz w:val="20"/>
          <w:szCs w:val="20"/>
          <w:lang w:val="ms-MY"/>
        </w:rPr>
        <w:t xml:space="preserve"> </w:t>
      </w:r>
      <w:r w:rsidRPr="00606F5A">
        <w:rPr>
          <w:rFonts w:asciiTheme="majorBidi" w:hAnsiTheme="majorBidi" w:cstheme="majorBidi"/>
          <w:noProof/>
          <w:sz w:val="20"/>
          <w:szCs w:val="20"/>
          <w:lang w:val="ms-MY"/>
        </w:rPr>
        <w:t>μg/ml ) diikuti dengan ekstrak kloroform (IC</w:t>
      </w:r>
      <w:r w:rsidRPr="00606F5A">
        <w:rPr>
          <w:rFonts w:asciiTheme="majorBidi" w:hAnsiTheme="majorBidi" w:cstheme="majorBidi"/>
          <w:noProof/>
          <w:sz w:val="20"/>
          <w:szCs w:val="20"/>
          <w:vertAlign w:val="subscript"/>
          <w:lang w:val="ms-MY"/>
        </w:rPr>
        <w:t>50</w:t>
      </w:r>
      <w:r w:rsidRPr="00606F5A">
        <w:rPr>
          <w:rFonts w:asciiTheme="majorBidi" w:hAnsiTheme="majorBidi" w:cstheme="majorBidi"/>
          <w:noProof/>
          <w:sz w:val="20"/>
          <w:szCs w:val="20"/>
          <w:lang w:val="ms-MY"/>
        </w:rPr>
        <w:t xml:space="preserve"> 78.3 ± 3.6 μg/ml). Berbeza dengan ekstrak n-heksana yang tidak menunjukkan kesan aktiviti hapus sisa (IC</w:t>
      </w:r>
      <w:r w:rsidRPr="00606F5A">
        <w:rPr>
          <w:rFonts w:asciiTheme="majorBidi" w:hAnsiTheme="majorBidi" w:cstheme="majorBidi"/>
          <w:noProof/>
          <w:sz w:val="20"/>
          <w:szCs w:val="20"/>
          <w:vertAlign w:val="subscript"/>
          <w:lang w:val="ms-MY"/>
        </w:rPr>
        <w:t xml:space="preserve">50 </w:t>
      </w:r>
      <w:r w:rsidRPr="00606F5A">
        <w:rPr>
          <w:rFonts w:asciiTheme="majorBidi" w:hAnsiTheme="majorBidi" w:cstheme="majorBidi"/>
          <w:noProof/>
          <w:sz w:val="20"/>
          <w:szCs w:val="20"/>
          <w:lang w:val="ms-MY"/>
        </w:rPr>
        <w:t xml:space="preserve">˃ 1000 μg/ml). </w:t>
      </w:r>
      <w:r w:rsidRPr="00606F5A">
        <w:rPr>
          <w:rFonts w:asciiTheme="majorBidi" w:hAnsiTheme="majorBidi" w:cstheme="majorBidi"/>
          <w:i/>
          <w:iCs/>
          <w:noProof/>
          <w:sz w:val="20"/>
          <w:szCs w:val="20"/>
          <w:lang w:val="ms-MY"/>
        </w:rPr>
        <w:t>Aerva javanica</w:t>
      </w:r>
      <w:r w:rsidRPr="00606F5A">
        <w:rPr>
          <w:rFonts w:asciiTheme="majorBidi" w:hAnsiTheme="majorBidi" w:cstheme="majorBidi"/>
          <w:noProof/>
          <w:sz w:val="20"/>
          <w:szCs w:val="20"/>
          <w:lang w:val="ms-MY"/>
        </w:rPr>
        <w:t xml:space="preserve"> mempunyai aktiviti anti-proliferatif sederhana terhadap titisan sel kanser payudara manusia dan lebih selektif terhadap sel-sel MDA-MB-231 berbanding MCF7. Kajian lanjut diperlukan untuk nengenalpasti komponen yang berpotensi sebagai anti-kanser daripada </w:t>
      </w:r>
      <w:r w:rsidRPr="00606F5A">
        <w:rPr>
          <w:rFonts w:asciiTheme="majorBidi" w:hAnsiTheme="majorBidi" w:cstheme="majorBidi"/>
          <w:i/>
          <w:iCs/>
          <w:noProof/>
          <w:sz w:val="20"/>
          <w:szCs w:val="20"/>
          <w:lang w:val="ms-MY"/>
        </w:rPr>
        <w:t>Aerva javanica</w:t>
      </w:r>
      <w:r w:rsidRPr="00606F5A">
        <w:rPr>
          <w:rFonts w:asciiTheme="majorBidi" w:hAnsiTheme="majorBidi" w:cstheme="majorBidi"/>
          <w:noProof/>
          <w:sz w:val="20"/>
          <w:szCs w:val="20"/>
          <w:lang w:val="ms-MY"/>
        </w:rPr>
        <w:t>.</w:t>
      </w:r>
    </w:p>
    <w:p w:rsidR="00606F5A" w:rsidRPr="00606F5A" w:rsidRDefault="00606F5A" w:rsidP="00606F5A">
      <w:pPr>
        <w:tabs>
          <w:tab w:val="left" w:pos="2703"/>
        </w:tabs>
        <w:spacing w:after="0" w:line="240" w:lineRule="auto"/>
        <w:jc w:val="both"/>
        <w:rPr>
          <w:rFonts w:asciiTheme="majorBidi" w:hAnsiTheme="majorBidi" w:cstheme="majorBidi"/>
          <w:noProof/>
          <w:sz w:val="20"/>
          <w:szCs w:val="20"/>
          <w:lang w:val="ms-MY"/>
        </w:rPr>
      </w:pPr>
    </w:p>
    <w:p w:rsidR="00CB51F4" w:rsidRDefault="00606F5A" w:rsidP="00606F5A">
      <w:pPr>
        <w:tabs>
          <w:tab w:val="left" w:pos="2703"/>
        </w:tabs>
        <w:spacing w:after="0" w:line="240" w:lineRule="auto"/>
        <w:jc w:val="both"/>
        <w:rPr>
          <w:rFonts w:asciiTheme="majorBidi" w:hAnsiTheme="majorBidi" w:cstheme="majorBidi"/>
          <w:noProof/>
          <w:sz w:val="20"/>
          <w:szCs w:val="20"/>
          <w:lang w:val="ms-MY"/>
        </w:rPr>
      </w:pPr>
      <w:r w:rsidRPr="00606F5A">
        <w:rPr>
          <w:rFonts w:asciiTheme="majorBidi" w:hAnsiTheme="majorBidi" w:cstheme="majorBidi"/>
          <w:b/>
          <w:bCs/>
          <w:noProof/>
          <w:sz w:val="20"/>
          <w:szCs w:val="20"/>
          <w:lang w:val="ms-MY"/>
        </w:rPr>
        <w:t>Kata kunci</w:t>
      </w:r>
      <w:r w:rsidRPr="00606F5A">
        <w:rPr>
          <w:rFonts w:asciiTheme="majorBidi" w:hAnsiTheme="majorBidi" w:cstheme="majorBidi"/>
          <w:noProof/>
          <w:sz w:val="20"/>
          <w:szCs w:val="20"/>
          <w:lang w:val="ms-MY"/>
        </w:rPr>
        <w:t xml:space="preserve">:  Ujian MTT, </w:t>
      </w:r>
      <w:r w:rsidRPr="00606F5A">
        <w:rPr>
          <w:rFonts w:asciiTheme="majorBidi" w:hAnsiTheme="majorBidi" w:cstheme="majorBidi"/>
          <w:i/>
          <w:iCs/>
          <w:noProof/>
          <w:sz w:val="20"/>
          <w:szCs w:val="20"/>
          <w:lang w:val="ms-MY"/>
        </w:rPr>
        <w:t>Aerva javanica</w:t>
      </w:r>
      <w:r w:rsidRPr="00606F5A">
        <w:rPr>
          <w:rFonts w:asciiTheme="majorBidi" w:hAnsiTheme="majorBidi" w:cstheme="majorBidi"/>
          <w:noProof/>
          <w:sz w:val="20"/>
          <w:szCs w:val="20"/>
          <w:lang w:val="ms-MY"/>
        </w:rPr>
        <w:t>, MCF7, MDA-MB-23</w:t>
      </w:r>
    </w:p>
    <w:p w:rsidR="00606F5A" w:rsidRDefault="00606F5A" w:rsidP="00606F5A">
      <w:pPr>
        <w:tabs>
          <w:tab w:val="left" w:pos="2703"/>
        </w:tabs>
        <w:spacing w:after="0" w:line="240" w:lineRule="auto"/>
        <w:jc w:val="both"/>
        <w:rPr>
          <w:rFonts w:asciiTheme="majorBidi" w:hAnsiTheme="majorBidi" w:cstheme="majorBidi"/>
          <w:noProof/>
          <w:sz w:val="20"/>
          <w:szCs w:val="20"/>
          <w:lang w:val="ms-MY"/>
        </w:rPr>
      </w:pPr>
    </w:p>
    <w:p w:rsidR="00606F5A" w:rsidRPr="00F447A7" w:rsidRDefault="00606F5A" w:rsidP="00606F5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606F5A" w:rsidRPr="0014625B" w:rsidRDefault="00606F5A" w:rsidP="00606F5A">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sz w:val="20"/>
          <w:szCs w:val="20"/>
          <w:lang w:val="en-GB"/>
        </w:rPr>
      </w:pPr>
      <w:r w:rsidRPr="0014625B">
        <w:rPr>
          <w:rFonts w:ascii="Times New Roman" w:hAnsi="Times New Roman"/>
          <w:sz w:val="20"/>
          <w:szCs w:val="20"/>
          <w:lang w:val="en-GB"/>
        </w:rPr>
        <w:t>Torre, L. A., Bray, F., Siegel, R. L., Ferlay, J., Lortet</w:t>
      </w:r>
      <w:r w:rsidRPr="0014625B">
        <w:rPr>
          <w:rFonts w:ascii="Cambria Math" w:hAnsi="Cambria Math" w:cs="Cambria Math"/>
          <w:sz w:val="20"/>
          <w:szCs w:val="20"/>
          <w:lang w:val="en-GB"/>
        </w:rPr>
        <w:t>‐</w:t>
      </w:r>
      <w:r w:rsidRPr="0014625B">
        <w:rPr>
          <w:rFonts w:ascii="Times New Roman" w:hAnsi="Times New Roman"/>
          <w:sz w:val="20"/>
          <w:szCs w:val="20"/>
          <w:lang w:val="en-GB"/>
        </w:rPr>
        <w:t xml:space="preserve">Tieulent, J. and Jemal, A. (2015). Global cancer statistics, 2012. CA: </w:t>
      </w:r>
      <w:r w:rsidRPr="0014625B">
        <w:rPr>
          <w:rFonts w:ascii="Times New Roman" w:hAnsi="Times New Roman"/>
          <w:i/>
          <w:iCs/>
          <w:sz w:val="20"/>
          <w:szCs w:val="20"/>
          <w:lang w:val="en-GB"/>
        </w:rPr>
        <w:t>A cancer journal for clinicians</w:t>
      </w:r>
      <w:r w:rsidRPr="0014625B">
        <w:rPr>
          <w:rFonts w:ascii="Times New Roman" w:hAnsi="Times New Roman"/>
          <w:sz w:val="20"/>
          <w:szCs w:val="20"/>
          <w:lang w:val="en-GB"/>
        </w:rPr>
        <w:t>, 65(2): 87 – 108.</w:t>
      </w:r>
    </w:p>
    <w:p w:rsidR="00606F5A" w:rsidRPr="0014625B" w:rsidRDefault="00606F5A" w:rsidP="00606F5A">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222222"/>
          <w:sz w:val="20"/>
          <w:szCs w:val="20"/>
          <w:shd w:val="clear" w:color="auto" w:fill="FFFFFF"/>
        </w:rPr>
      </w:pPr>
      <w:r w:rsidRPr="0014625B">
        <w:rPr>
          <w:rFonts w:ascii="Times New Roman" w:hAnsi="Times New Roman"/>
          <w:color w:val="222222"/>
          <w:sz w:val="20"/>
          <w:szCs w:val="20"/>
          <w:shd w:val="clear" w:color="auto" w:fill="FFFFFF"/>
        </w:rPr>
        <w:t xml:space="preserve">Khan, M. K., Ansari, I. A. and Khan, M. S. (2013). Dietary phytochemicals as potent chemotherapeutic agents against breast cancer: Inhibition of NF-κB pathway via molecular interactions in rel homology domain of its precursor protein p105. </w:t>
      </w:r>
      <w:r w:rsidRPr="0014625B">
        <w:rPr>
          <w:rFonts w:ascii="Times New Roman" w:hAnsi="Times New Roman"/>
          <w:i/>
          <w:iCs/>
          <w:color w:val="222222"/>
          <w:sz w:val="20"/>
          <w:szCs w:val="20"/>
          <w:shd w:val="clear" w:color="auto" w:fill="FFFFFF"/>
        </w:rPr>
        <w:t>Pharmacognosy Magazine</w:t>
      </w:r>
      <w:r w:rsidRPr="0014625B">
        <w:rPr>
          <w:rFonts w:ascii="Times New Roman" w:hAnsi="Times New Roman"/>
          <w:color w:val="222222"/>
          <w:sz w:val="20"/>
          <w:szCs w:val="20"/>
          <w:shd w:val="clear" w:color="auto" w:fill="FFFFFF"/>
        </w:rPr>
        <w:t>, 9 (33): 51 – 57.</w:t>
      </w:r>
    </w:p>
    <w:p w:rsidR="00606F5A" w:rsidRPr="0014625B" w:rsidRDefault="00606F5A" w:rsidP="00606F5A">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14625B">
        <w:rPr>
          <w:rFonts w:ascii="Times New Roman" w:hAnsi="Times New Roman"/>
          <w:sz w:val="20"/>
          <w:szCs w:val="20"/>
        </w:rPr>
        <w:t>Cragg, G. M. and Newman, D. J. (2005). Plants as a source of anti-cancer agents. </w:t>
      </w:r>
      <w:r w:rsidRPr="0014625B">
        <w:rPr>
          <w:rFonts w:ascii="Times New Roman" w:hAnsi="Times New Roman"/>
          <w:i/>
          <w:iCs/>
          <w:sz w:val="20"/>
          <w:szCs w:val="20"/>
        </w:rPr>
        <w:t>Journal of Ethnopharmacology</w:t>
      </w:r>
      <w:r w:rsidRPr="0014625B">
        <w:rPr>
          <w:rFonts w:ascii="Times New Roman" w:hAnsi="Times New Roman"/>
          <w:sz w:val="20"/>
          <w:szCs w:val="20"/>
        </w:rPr>
        <w:t>, 100(1): 72 – 79.</w:t>
      </w:r>
    </w:p>
    <w:p w:rsidR="00606F5A" w:rsidRPr="0014625B" w:rsidRDefault="00606F5A" w:rsidP="00606F5A">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222222"/>
          <w:sz w:val="20"/>
          <w:szCs w:val="20"/>
          <w:shd w:val="clear" w:color="auto" w:fill="FFFFFF"/>
        </w:rPr>
      </w:pPr>
      <w:r w:rsidRPr="0014625B">
        <w:rPr>
          <w:rFonts w:ascii="Times New Roman" w:hAnsi="Times New Roman"/>
          <w:color w:val="222222"/>
          <w:sz w:val="20"/>
          <w:szCs w:val="20"/>
          <w:shd w:val="clear" w:color="auto" w:fill="FFFFFF"/>
        </w:rPr>
        <w:t>Khan, M. A., Khan, M. A., Hussain, M. and Mujtaba, G. (2012). Medicinal plants used in folk recipes by the inhabitants of Himalayan region Poonch Valley Azad Kashmir (Pakistan).</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i/>
          <w:iCs/>
          <w:color w:val="222222"/>
          <w:sz w:val="20"/>
          <w:szCs w:val="20"/>
          <w:shd w:val="clear" w:color="auto" w:fill="FFFFFF"/>
        </w:rPr>
        <w:t>Journal of Basic and Applied Sciences</w:t>
      </w:r>
      <w:r w:rsidRPr="0014625B">
        <w:rPr>
          <w:rFonts w:ascii="Times New Roman" w:hAnsi="Times New Roman"/>
          <w:color w:val="222222"/>
          <w:sz w:val="20"/>
          <w:szCs w:val="20"/>
          <w:shd w:val="clear" w:color="auto" w:fill="FFFFFF"/>
        </w:rPr>
        <w:t>,</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color w:val="222222"/>
          <w:sz w:val="20"/>
          <w:szCs w:val="20"/>
          <w:shd w:val="clear" w:color="auto" w:fill="FFFFFF"/>
        </w:rPr>
        <w:t>8: 35 – 45.</w:t>
      </w:r>
    </w:p>
    <w:p w:rsidR="00606F5A" w:rsidRPr="0014625B" w:rsidRDefault="00606F5A" w:rsidP="00606F5A">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sz w:val="20"/>
          <w:szCs w:val="20"/>
          <w:lang w:val="en-GB"/>
        </w:rPr>
      </w:pPr>
      <w:r w:rsidRPr="0014625B">
        <w:rPr>
          <w:rFonts w:ascii="Times New Roman" w:hAnsi="Times New Roman"/>
          <w:sz w:val="20"/>
          <w:szCs w:val="20"/>
          <w:lang w:val="en-GB"/>
        </w:rPr>
        <w:t xml:space="preserve">Judd, W. S., Campbell, C. S., Kellogg, E. A., Stevens, P. F. and Donoghue, M. J. (1999). Plant systematics: A phylogenetic approach. </w:t>
      </w:r>
      <w:r w:rsidRPr="0014625B">
        <w:rPr>
          <w:rFonts w:ascii="Times New Roman" w:hAnsi="Times New Roman"/>
          <w:i/>
          <w:iCs/>
          <w:sz w:val="20"/>
          <w:szCs w:val="20"/>
          <w:lang w:val="en-GB"/>
        </w:rPr>
        <w:t>Ecologia Mediterranea</w:t>
      </w:r>
      <w:r w:rsidRPr="0014625B">
        <w:rPr>
          <w:rFonts w:ascii="Times New Roman" w:hAnsi="Times New Roman"/>
          <w:sz w:val="20"/>
          <w:szCs w:val="20"/>
          <w:lang w:val="en-GB"/>
        </w:rPr>
        <w:t>, 25(2): 215.</w:t>
      </w:r>
    </w:p>
    <w:p w:rsidR="00606F5A" w:rsidRPr="0014625B" w:rsidRDefault="00606F5A" w:rsidP="00606F5A">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sz w:val="20"/>
          <w:szCs w:val="20"/>
        </w:rPr>
      </w:pPr>
      <w:r w:rsidRPr="0014625B">
        <w:rPr>
          <w:rFonts w:ascii="Times New Roman" w:hAnsi="Times New Roman"/>
          <w:sz w:val="20"/>
          <w:szCs w:val="20"/>
          <w:lang w:val="en-GB"/>
        </w:rPr>
        <w:t>Elsaeed, A., Mohamed, O. S. A. and Ahmed, R., H.</w:t>
      </w:r>
      <w:r w:rsidRPr="0014625B">
        <w:rPr>
          <w:rFonts w:ascii="Times New Roman" w:hAnsi="Times New Roman"/>
          <w:b/>
          <w:bCs/>
          <w:sz w:val="20"/>
          <w:szCs w:val="20"/>
          <w:lang w:val="en-GB"/>
        </w:rPr>
        <w:t xml:space="preserve"> </w:t>
      </w:r>
      <w:r w:rsidRPr="0014625B">
        <w:rPr>
          <w:rFonts w:ascii="Times New Roman" w:hAnsi="Times New Roman"/>
          <w:sz w:val="20"/>
          <w:szCs w:val="20"/>
        </w:rPr>
        <w:t xml:space="preserve">(2015). Anti-Inflammatory effects of </w:t>
      </w:r>
      <w:r w:rsidRPr="0014625B">
        <w:rPr>
          <w:rFonts w:ascii="Times New Roman" w:hAnsi="Times New Roman"/>
          <w:i/>
          <w:iCs/>
          <w:sz w:val="20"/>
          <w:szCs w:val="20"/>
        </w:rPr>
        <w:t>Aerva Javanica</w:t>
      </w:r>
      <w:r w:rsidRPr="0014625B">
        <w:rPr>
          <w:rFonts w:ascii="Times New Roman" w:hAnsi="Times New Roman"/>
          <w:sz w:val="20"/>
          <w:szCs w:val="20"/>
        </w:rPr>
        <w:t xml:space="preserve"> (Burm.f.) Schult. against carrageenan induced paw oedema in albino rats</w:t>
      </w:r>
      <w:r w:rsidRPr="0014625B">
        <w:rPr>
          <w:rFonts w:ascii="Times New Roman" w:hAnsi="Times New Roman"/>
          <w:i/>
          <w:iCs/>
          <w:sz w:val="20"/>
          <w:szCs w:val="20"/>
        </w:rPr>
        <w:t>.</w:t>
      </w:r>
      <w:r w:rsidRPr="0014625B">
        <w:rPr>
          <w:rFonts w:ascii="Times New Roman" w:hAnsi="Times New Roman"/>
          <w:b/>
          <w:bCs/>
          <w:i/>
          <w:iCs/>
          <w:color w:val="A60021"/>
          <w:sz w:val="20"/>
          <w:szCs w:val="20"/>
          <w:lang w:val="en-GB"/>
        </w:rPr>
        <w:t xml:space="preserve"> </w:t>
      </w:r>
      <w:r w:rsidRPr="0014625B">
        <w:rPr>
          <w:rFonts w:ascii="Times New Roman" w:hAnsi="Times New Roman"/>
          <w:i/>
          <w:iCs/>
          <w:sz w:val="20"/>
          <w:szCs w:val="20"/>
        </w:rPr>
        <w:t>Journal of forest products &amp; Industries</w:t>
      </w:r>
      <w:r w:rsidRPr="0014625B">
        <w:rPr>
          <w:rFonts w:ascii="Times New Roman" w:hAnsi="Times New Roman"/>
          <w:sz w:val="20"/>
          <w:szCs w:val="20"/>
        </w:rPr>
        <w:t xml:space="preserve">, 4(1): 17 – 20. </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sz w:val="20"/>
          <w:szCs w:val="20"/>
        </w:rPr>
      </w:pPr>
      <w:r w:rsidRPr="0014625B">
        <w:rPr>
          <w:rFonts w:ascii="Times New Roman" w:hAnsi="Times New Roman"/>
          <w:sz w:val="20"/>
          <w:szCs w:val="20"/>
        </w:rPr>
        <w:t xml:space="preserve">Radwan, H. M, Nazif, N. M. and Hamdy, A. A. (1999). The lipid and flavonoidal constituents of </w:t>
      </w:r>
      <w:r w:rsidRPr="0014625B">
        <w:rPr>
          <w:rFonts w:ascii="Times New Roman" w:hAnsi="Times New Roman"/>
          <w:i/>
          <w:iCs/>
          <w:sz w:val="20"/>
          <w:szCs w:val="20"/>
        </w:rPr>
        <w:t>Aerva javanica</w:t>
      </w:r>
      <w:r w:rsidRPr="0014625B">
        <w:rPr>
          <w:rFonts w:ascii="Times New Roman" w:hAnsi="Times New Roman"/>
          <w:sz w:val="20"/>
          <w:szCs w:val="20"/>
        </w:rPr>
        <w:t xml:space="preserve"> (var.bovi) Webb in Hook. F and their antimicrobial activity. </w:t>
      </w:r>
      <w:r w:rsidRPr="0014625B">
        <w:rPr>
          <w:rFonts w:ascii="Times New Roman" w:hAnsi="Times New Roman"/>
          <w:i/>
          <w:iCs/>
          <w:sz w:val="20"/>
          <w:szCs w:val="20"/>
        </w:rPr>
        <w:t>Egyptian Journal of Pharmaceutical Sciences</w:t>
      </w:r>
      <w:r w:rsidRPr="0014625B">
        <w:rPr>
          <w:rFonts w:ascii="Times New Roman" w:hAnsi="Times New Roman"/>
          <w:sz w:val="20"/>
          <w:szCs w:val="20"/>
        </w:rPr>
        <w:t>, 40: 167 – 178.</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sz w:val="20"/>
          <w:szCs w:val="20"/>
        </w:rPr>
      </w:pPr>
      <w:r w:rsidRPr="0014625B">
        <w:rPr>
          <w:rFonts w:ascii="Times New Roman" w:hAnsi="Times New Roman"/>
          <w:sz w:val="20"/>
          <w:szCs w:val="20"/>
        </w:rPr>
        <w:t xml:space="preserve">Abbas, N. O., Ahmed El Imam, Y. M. and Abdelmageed, M. A. M. (2014). The Phytochemical analysis of the ethanolic extract of Sudanese </w:t>
      </w:r>
      <w:r w:rsidRPr="0014625B">
        <w:rPr>
          <w:rFonts w:ascii="Times New Roman" w:hAnsi="Times New Roman"/>
          <w:i/>
          <w:iCs/>
          <w:sz w:val="20"/>
          <w:szCs w:val="20"/>
        </w:rPr>
        <w:t>Aerva javanica</w:t>
      </w:r>
      <w:r w:rsidRPr="0014625B">
        <w:rPr>
          <w:rFonts w:ascii="Times New Roman" w:hAnsi="Times New Roman"/>
          <w:sz w:val="20"/>
          <w:szCs w:val="20"/>
        </w:rPr>
        <w:t xml:space="preserve"> (Burm.f.) juss. </w:t>
      </w:r>
      <w:r w:rsidRPr="0014625B">
        <w:rPr>
          <w:rFonts w:ascii="Times New Roman" w:hAnsi="Times New Roman"/>
          <w:i/>
          <w:iCs/>
          <w:sz w:val="20"/>
          <w:szCs w:val="20"/>
        </w:rPr>
        <w:t>World Journal of Pharmaceutical Research</w:t>
      </w:r>
      <w:r w:rsidRPr="0014625B">
        <w:rPr>
          <w:rFonts w:ascii="Times New Roman" w:hAnsi="Times New Roman"/>
          <w:sz w:val="20"/>
          <w:szCs w:val="20"/>
        </w:rPr>
        <w:t>, 4 (6): 2253 – 2263.</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color w:val="222222"/>
          <w:sz w:val="20"/>
          <w:szCs w:val="20"/>
          <w:shd w:val="clear" w:color="auto" w:fill="FFFFFF"/>
        </w:rPr>
      </w:pPr>
      <w:r w:rsidRPr="0014625B">
        <w:rPr>
          <w:rFonts w:ascii="Times New Roman" w:hAnsi="Times New Roman"/>
          <w:color w:val="222222"/>
          <w:sz w:val="20"/>
          <w:szCs w:val="20"/>
          <w:shd w:val="clear" w:color="auto" w:fill="FFFFFF"/>
        </w:rPr>
        <w:t>Chawla, P., Chawla, A. M. I. T., Vasudeva, N. E. E. R. U. and Sharma, S. K. (2012). A review of chemistry and biological activities of the genus Aerva–a desert plant.</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i/>
          <w:iCs/>
          <w:color w:val="222222"/>
          <w:sz w:val="20"/>
          <w:szCs w:val="20"/>
          <w:shd w:val="clear" w:color="auto" w:fill="FFFFFF"/>
        </w:rPr>
        <w:t>Acta Poloniae Pharmaceutica</w:t>
      </w:r>
      <w:r w:rsidRPr="0014625B">
        <w:rPr>
          <w:rFonts w:ascii="Times New Roman" w:hAnsi="Times New Roman"/>
          <w:color w:val="222222"/>
          <w:sz w:val="20"/>
          <w:szCs w:val="20"/>
          <w:shd w:val="clear" w:color="auto" w:fill="FFFFFF"/>
        </w:rPr>
        <w:t>,</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color w:val="222222"/>
          <w:sz w:val="20"/>
          <w:szCs w:val="20"/>
          <w:shd w:val="clear" w:color="auto" w:fill="FFFFFF"/>
        </w:rPr>
        <w:t>69: 171 – 177.</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color w:val="000000"/>
          <w:sz w:val="20"/>
          <w:szCs w:val="20"/>
          <w:shd w:val="clear" w:color="auto" w:fill="FFFFFF"/>
        </w:rPr>
      </w:pPr>
      <w:r w:rsidRPr="0014625B">
        <w:rPr>
          <w:rFonts w:ascii="Times New Roman" w:hAnsi="Times New Roman"/>
          <w:color w:val="000000"/>
          <w:sz w:val="20"/>
          <w:szCs w:val="20"/>
          <w:shd w:val="clear" w:color="auto" w:fill="FFFFFF"/>
        </w:rPr>
        <w:t xml:space="preserve">Sepehr, M. F., Jameie, S. B. and Hajijafari, B. (2011). The </w:t>
      </w:r>
      <w:r w:rsidRPr="0014625B">
        <w:rPr>
          <w:rFonts w:ascii="Times New Roman" w:hAnsi="Times New Roman"/>
          <w:i/>
          <w:iCs/>
          <w:color w:val="000000"/>
          <w:sz w:val="20"/>
          <w:szCs w:val="20"/>
          <w:shd w:val="clear" w:color="auto" w:fill="FFFFFF"/>
        </w:rPr>
        <w:t>Cuscuta kotschyana</w:t>
      </w:r>
      <w:r w:rsidRPr="0014625B">
        <w:rPr>
          <w:rFonts w:ascii="Times New Roman" w:hAnsi="Times New Roman"/>
          <w:color w:val="000000"/>
          <w:sz w:val="20"/>
          <w:szCs w:val="20"/>
          <w:shd w:val="clear" w:color="auto" w:fill="FFFFFF"/>
        </w:rPr>
        <w:t xml:space="preserve"> effects on breast cancer cells line MCF7. </w:t>
      </w:r>
      <w:r w:rsidRPr="0014625B">
        <w:rPr>
          <w:rFonts w:ascii="Times New Roman" w:hAnsi="Times New Roman"/>
          <w:i/>
          <w:iCs/>
          <w:color w:val="000000"/>
          <w:sz w:val="20"/>
          <w:szCs w:val="20"/>
          <w:shd w:val="clear" w:color="auto" w:fill="FFFFFF"/>
        </w:rPr>
        <w:t>Journal of Medicinal Plants Researc</w:t>
      </w:r>
      <w:r w:rsidRPr="0014625B">
        <w:rPr>
          <w:rFonts w:ascii="Times New Roman" w:hAnsi="Times New Roman"/>
          <w:color w:val="000000"/>
          <w:sz w:val="20"/>
          <w:szCs w:val="20"/>
          <w:shd w:val="clear" w:color="auto" w:fill="FFFFFF"/>
        </w:rPr>
        <w:t>h, 5 (27): 6344 – 6351.</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color w:val="222222"/>
          <w:sz w:val="20"/>
          <w:szCs w:val="20"/>
          <w:shd w:val="clear" w:color="auto" w:fill="FFFFFF"/>
        </w:rPr>
      </w:pPr>
      <w:r w:rsidRPr="0014625B">
        <w:rPr>
          <w:rFonts w:ascii="Times New Roman" w:hAnsi="Times New Roman"/>
          <w:color w:val="222222"/>
          <w:sz w:val="20"/>
          <w:szCs w:val="20"/>
          <w:shd w:val="clear" w:color="auto" w:fill="FFFFFF"/>
        </w:rPr>
        <w:t>Chen, A. Y. and Chen, Y. C. (2013). A review of the dietary flavonoid, kaempferol on human health and cancer chemoprevention.</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i/>
          <w:iCs/>
          <w:color w:val="222222"/>
          <w:sz w:val="20"/>
          <w:szCs w:val="20"/>
          <w:shd w:val="clear" w:color="auto" w:fill="FFFFFF"/>
        </w:rPr>
        <w:t>Food Chemistry</w:t>
      </w:r>
      <w:r w:rsidRPr="0014625B">
        <w:rPr>
          <w:rFonts w:ascii="Times New Roman" w:hAnsi="Times New Roman"/>
          <w:color w:val="222222"/>
          <w:sz w:val="20"/>
          <w:szCs w:val="20"/>
          <w:shd w:val="clear" w:color="auto" w:fill="FFFFFF"/>
        </w:rPr>
        <w:t>, 138(4): 2099 – 2107.</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color w:val="222222"/>
          <w:sz w:val="20"/>
          <w:szCs w:val="20"/>
          <w:shd w:val="clear" w:color="auto" w:fill="FFFFFF"/>
        </w:rPr>
      </w:pPr>
      <w:r w:rsidRPr="0014625B">
        <w:rPr>
          <w:rFonts w:ascii="Times New Roman" w:hAnsi="Times New Roman"/>
          <w:color w:val="222222"/>
          <w:sz w:val="20"/>
          <w:szCs w:val="20"/>
          <w:shd w:val="clear" w:color="auto" w:fill="FFFFFF"/>
        </w:rPr>
        <w:t>Liu, R. H. (2013). Health-promoting components of fruits and vegetables in the diet.</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i/>
          <w:iCs/>
          <w:color w:val="222222"/>
          <w:sz w:val="20"/>
          <w:szCs w:val="20"/>
          <w:shd w:val="clear" w:color="auto" w:fill="FFFFFF"/>
        </w:rPr>
        <w:t>Advances in Nutrition: An International Review Journal</w:t>
      </w:r>
      <w:r w:rsidRPr="0014625B">
        <w:rPr>
          <w:rFonts w:ascii="Times New Roman" w:hAnsi="Times New Roman"/>
          <w:color w:val="222222"/>
          <w:sz w:val="20"/>
          <w:szCs w:val="20"/>
          <w:shd w:val="clear" w:color="auto" w:fill="FFFFFF"/>
        </w:rPr>
        <w:t>,</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color w:val="222222"/>
          <w:sz w:val="20"/>
          <w:szCs w:val="20"/>
          <w:shd w:val="clear" w:color="auto" w:fill="FFFFFF"/>
        </w:rPr>
        <w:t>4(3): 384 – 392.</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color w:val="222222"/>
          <w:sz w:val="20"/>
          <w:szCs w:val="20"/>
          <w:shd w:val="clear" w:color="auto" w:fill="FFFFFF"/>
        </w:rPr>
      </w:pPr>
      <w:r w:rsidRPr="0014625B">
        <w:rPr>
          <w:rFonts w:ascii="Times New Roman" w:hAnsi="Times New Roman"/>
          <w:color w:val="222222"/>
          <w:sz w:val="20"/>
          <w:szCs w:val="20"/>
          <w:shd w:val="clear" w:color="auto" w:fill="FFFFFF"/>
        </w:rPr>
        <w:t>Kim, S. H. and Choi, K. C. (2013). Anti-cancer effect and underlying mechanism(s) of kaempferol, a phytoestrogen, on the regulation of apoptosis in diverse cancer cell models.</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i/>
          <w:iCs/>
          <w:color w:val="222222"/>
          <w:sz w:val="20"/>
          <w:szCs w:val="20"/>
          <w:shd w:val="clear" w:color="auto" w:fill="FFFFFF"/>
        </w:rPr>
        <w:t>Toxicological Research</w:t>
      </w:r>
      <w:r w:rsidRPr="0014625B">
        <w:rPr>
          <w:rFonts w:ascii="Times New Roman" w:hAnsi="Times New Roman"/>
          <w:color w:val="222222"/>
          <w:sz w:val="20"/>
          <w:szCs w:val="20"/>
          <w:shd w:val="clear" w:color="auto" w:fill="FFFFFF"/>
        </w:rPr>
        <w:t>,</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color w:val="222222"/>
          <w:sz w:val="20"/>
          <w:szCs w:val="20"/>
          <w:shd w:val="clear" w:color="auto" w:fill="FFFFFF"/>
        </w:rPr>
        <w:t>29(4): 229 – 234.</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sz w:val="20"/>
          <w:szCs w:val="20"/>
        </w:rPr>
      </w:pPr>
      <w:r w:rsidRPr="0014625B">
        <w:rPr>
          <w:rFonts w:ascii="Times New Roman" w:hAnsi="Times New Roman"/>
          <w:sz w:val="20"/>
          <w:szCs w:val="20"/>
          <w:lang w:val="es-ES"/>
        </w:rPr>
        <w:t xml:space="preserve">Dimas, K., Demetzos, C., Mitaku, S., Marselos, M., Tzavaras, T. and Kokkinopoulos, D. (2000). </w:t>
      </w:r>
      <w:r w:rsidRPr="0014625B">
        <w:rPr>
          <w:rFonts w:ascii="Times New Roman" w:hAnsi="Times New Roman"/>
          <w:sz w:val="20"/>
          <w:szCs w:val="20"/>
        </w:rPr>
        <w:t xml:space="preserve">Cytotoxic activity of kaempferol glycosides against human leukaemic cell lines in vitro. </w:t>
      </w:r>
      <w:r w:rsidRPr="0014625B">
        <w:rPr>
          <w:rFonts w:ascii="Times New Roman" w:hAnsi="Times New Roman"/>
          <w:i/>
          <w:iCs/>
          <w:sz w:val="20"/>
          <w:szCs w:val="20"/>
        </w:rPr>
        <w:t>Pharmacological Research</w:t>
      </w:r>
      <w:r w:rsidRPr="0014625B">
        <w:rPr>
          <w:rFonts w:ascii="Times New Roman" w:hAnsi="Times New Roman"/>
          <w:sz w:val="20"/>
          <w:szCs w:val="20"/>
        </w:rPr>
        <w:t>, 41(1): 83 – 86.</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color w:val="222222"/>
          <w:sz w:val="20"/>
          <w:szCs w:val="20"/>
          <w:shd w:val="clear" w:color="auto" w:fill="FFFFFF"/>
        </w:rPr>
      </w:pPr>
      <w:r w:rsidRPr="0014625B">
        <w:rPr>
          <w:rFonts w:ascii="Times New Roman" w:hAnsi="Times New Roman"/>
          <w:color w:val="222222"/>
          <w:sz w:val="20"/>
          <w:szCs w:val="20"/>
          <w:shd w:val="clear" w:color="auto" w:fill="FFFFFF"/>
        </w:rPr>
        <w:t>Kang, G. Y., Lee, E. R., Kim, J. H., Jung, J. W., Lim, J., Kim, S. K. and Kim, K. P. (2009). Downregulation of PLK-1 expression in kaempferol-induced apoptosis of MCF-7 cells.</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i/>
          <w:iCs/>
          <w:color w:val="222222"/>
          <w:sz w:val="20"/>
          <w:szCs w:val="20"/>
          <w:shd w:val="clear" w:color="auto" w:fill="FFFFFF"/>
        </w:rPr>
        <w:t>European Journal of Pharmacology</w:t>
      </w:r>
      <w:r w:rsidRPr="0014625B">
        <w:rPr>
          <w:rFonts w:ascii="Times New Roman" w:hAnsi="Times New Roman"/>
          <w:color w:val="222222"/>
          <w:sz w:val="20"/>
          <w:szCs w:val="20"/>
          <w:shd w:val="clear" w:color="auto" w:fill="FFFFFF"/>
        </w:rPr>
        <w:t>, 611(1): 17 – 21.</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color w:val="222222"/>
          <w:sz w:val="20"/>
          <w:szCs w:val="20"/>
          <w:shd w:val="clear" w:color="auto" w:fill="FFFFFF"/>
        </w:rPr>
      </w:pPr>
      <w:r w:rsidRPr="0014625B">
        <w:rPr>
          <w:rFonts w:ascii="Times New Roman" w:hAnsi="Times New Roman"/>
          <w:color w:val="222222"/>
          <w:sz w:val="20"/>
          <w:szCs w:val="20"/>
          <w:shd w:val="clear" w:color="auto" w:fill="FFFFFF"/>
        </w:rPr>
        <w:t>Kim, B. W., Lee, E. R., Min, H. M., Jeong, H. S., Ahn, J. Y., Kim, J. H. and Cho, S. G. (2008). Sustained ERK activation is involved in the kaempferol-induced apoptosis of breast cancer cells and is more evident under 3-D culture condition.</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i/>
          <w:iCs/>
          <w:color w:val="222222"/>
          <w:sz w:val="20"/>
          <w:szCs w:val="20"/>
          <w:shd w:val="clear" w:color="auto" w:fill="FFFFFF"/>
        </w:rPr>
        <w:t>Cancer Biology and Therapy</w:t>
      </w:r>
      <w:r w:rsidRPr="0014625B">
        <w:rPr>
          <w:rFonts w:ascii="Times New Roman" w:hAnsi="Times New Roman"/>
          <w:color w:val="222222"/>
          <w:sz w:val="20"/>
          <w:szCs w:val="20"/>
          <w:shd w:val="clear" w:color="auto" w:fill="FFFFFF"/>
        </w:rPr>
        <w:t>,</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color w:val="222222"/>
          <w:sz w:val="20"/>
          <w:szCs w:val="20"/>
          <w:shd w:val="clear" w:color="auto" w:fill="FFFFFF"/>
        </w:rPr>
        <w:t>7(7): 1080 – 1089.</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color w:val="222222"/>
          <w:sz w:val="20"/>
          <w:szCs w:val="20"/>
          <w:shd w:val="clear" w:color="auto" w:fill="FFFFFF"/>
        </w:rPr>
      </w:pPr>
      <w:r w:rsidRPr="0014625B">
        <w:rPr>
          <w:rFonts w:ascii="Times New Roman" w:hAnsi="Times New Roman"/>
          <w:color w:val="222222"/>
          <w:sz w:val="20"/>
          <w:szCs w:val="20"/>
          <w:shd w:val="clear" w:color="auto" w:fill="FFFFFF"/>
        </w:rPr>
        <w:t>Oh, S. M., Kim, Y. P. and Chung, K. H. (2006). Biphasic effects of kaempferol on the estrogenicity in human breast cancer cells.</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i/>
          <w:iCs/>
          <w:color w:val="222222"/>
          <w:sz w:val="20"/>
          <w:szCs w:val="20"/>
          <w:shd w:val="clear" w:color="auto" w:fill="FFFFFF"/>
        </w:rPr>
        <w:t>Archives of Pharmacal Research</w:t>
      </w:r>
      <w:r w:rsidRPr="0014625B">
        <w:rPr>
          <w:rFonts w:ascii="Times New Roman" w:hAnsi="Times New Roman"/>
          <w:color w:val="222222"/>
          <w:sz w:val="20"/>
          <w:szCs w:val="20"/>
          <w:shd w:val="clear" w:color="auto" w:fill="FFFFFF"/>
        </w:rPr>
        <w:t>,</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color w:val="222222"/>
          <w:sz w:val="20"/>
          <w:szCs w:val="20"/>
          <w:shd w:val="clear" w:color="auto" w:fill="FFFFFF"/>
        </w:rPr>
        <w:t>29(5): 354 – 362.</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color w:val="222222"/>
          <w:sz w:val="20"/>
          <w:szCs w:val="20"/>
          <w:shd w:val="clear" w:color="auto" w:fill="FFFFFF"/>
        </w:rPr>
      </w:pPr>
      <w:r w:rsidRPr="0014625B">
        <w:rPr>
          <w:rFonts w:ascii="Times New Roman" w:hAnsi="Times New Roman"/>
          <w:color w:val="222222"/>
          <w:sz w:val="20"/>
          <w:szCs w:val="20"/>
          <w:shd w:val="clear" w:color="auto" w:fill="FFFFFF"/>
        </w:rPr>
        <w:t xml:space="preserve">Tomczyk, M., Drozdowska, D., Bielawska, A., Bielawski, K. and Gudej, J. (2008). Human DNA topoisomerase inhibitors from </w:t>
      </w:r>
      <w:r w:rsidRPr="0014625B">
        <w:rPr>
          <w:rFonts w:ascii="Times New Roman" w:hAnsi="Times New Roman"/>
          <w:i/>
          <w:iCs/>
          <w:color w:val="222222"/>
          <w:sz w:val="20"/>
          <w:szCs w:val="20"/>
          <w:shd w:val="clear" w:color="auto" w:fill="FFFFFF"/>
        </w:rPr>
        <w:t>Potentilla argentea</w:t>
      </w:r>
      <w:r w:rsidRPr="0014625B">
        <w:rPr>
          <w:rFonts w:ascii="Times New Roman" w:hAnsi="Times New Roman"/>
          <w:color w:val="222222"/>
          <w:sz w:val="20"/>
          <w:szCs w:val="20"/>
          <w:shd w:val="clear" w:color="auto" w:fill="FFFFFF"/>
        </w:rPr>
        <w:t xml:space="preserve"> and their cytotoxic effect against MCF-7.</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i/>
          <w:iCs/>
          <w:color w:val="222222"/>
          <w:sz w:val="20"/>
          <w:szCs w:val="20"/>
          <w:shd w:val="clear" w:color="auto" w:fill="FFFFFF"/>
        </w:rPr>
        <w:t>Die Pharmazie-An International Journal of Pharmaceutical Sciences</w:t>
      </w:r>
      <w:r w:rsidRPr="0014625B">
        <w:rPr>
          <w:rFonts w:ascii="Times New Roman" w:hAnsi="Times New Roman"/>
          <w:color w:val="222222"/>
          <w:sz w:val="20"/>
          <w:szCs w:val="20"/>
          <w:shd w:val="clear" w:color="auto" w:fill="FFFFFF"/>
        </w:rPr>
        <w:t>,</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color w:val="222222"/>
          <w:sz w:val="20"/>
          <w:szCs w:val="20"/>
          <w:shd w:val="clear" w:color="auto" w:fill="FFFFFF"/>
        </w:rPr>
        <w:t>63(5): 389 – 393.</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color w:val="222222"/>
          <w:sz w:val="20"/>
          <w:szCs w:val="20"/>
          <w:shd w:val="clear" w:color="auto" w:fill="FFFFFF"/>
        </w:rPr>
      </w:pPr>
      <w:r w:rsidRPr="0014625B">
        <w:rPr>
          <w:rFonts w:ascii="Times New Roman" w:hAnsi="Times New Roman"/>
          <w:color w:val="222222"/>
          <w:sz w:val="20"/>
          <w:szCs w:val="20"/>
          <w:shd w:val="clear" w:color="auto" w:fill="FFFFFF"/>
        </w:rPr>
        <w:t xml:space="preserve">Mussadiq, S., Riaz, N., Saleem, M., Ashraf, M., Ismail, T. and Jabbar, A. (2013). New acylated flavonoid glycosides from flowers of </w:t>
      </w:r>
      <w:r w:rsidRPr="0014625B">
        <w:rPr>
          <w:rFonts w:ascii="Times New Roman" w:hAnsi="Times New Roman"/>
          <w:i/>
          <w:iCs/>
          <w:color w:val="222222"/>
          <w:sz w:val="20"/>
          <w:szCs w:val="20"/>
          <w:shd w:val="clear" w:color="auto" w:fill="FFFFFF"/>
        </w:rPr>
        <w:t>Aerva javanica</w:t>
      </w:r>
      <w:r w:rsidRPr="0014625B">
        <w:rPr>
          <w:rFonts w:ascii="Times New Roman" w:hAnsi="Times New Roman"/>
          <w:color w:val="222222"/>
          <w:sz w:val="20"/>
          <w:szCs w:val="20"/>
          <w:shd w:val="clear" w:color="auto" w:fill="FFFFFF"/>
        </w:rPr>
        <w:t xml:space="preserve">. </w:t>
      </w:r>
      <w:r w:rsidRPr="0014625B">
        <w:rPr>
          <w:rFonts w:ascii="Times New Roman" w:hAnsi="Times New Roman"/>
          <w:i/>
          <w:iCs/>
          <w:color w:val="222222"/>
          <w:sz w:val="20"/>
          <w:szCs w:val="20"/>
          <w:shd w:val="clear" w:color="auto" w:fill="FFFFFF"/>
        </w:rPr>
        <w:t>Journal of Asian Natural Products Research</w:t>
      </w:r>
      <w:r w:rsidRPr="0014625B">
        <w:rPr>
          <w:rFonts w:ascii="Times New Roman" w:hAnsi="Times New Roman"/>
          <w:color w:val="222222"/>
          <w:sz w:val="20"/>
          <w:szCs w:val="20"/>
          <w:shd w:val="clear" w:color="auto" w:fill="FFFFFF"/>
        </w:rPr>
        <w:t>,</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color w:val="222222"/>
          <w:sz w:val="20"/>
          <w:szCs w:val="20"/>
          <w:shd w:val="clear" w:color="auto" w:fill="FFFFFF"/>
        </w:rPr>
        <w:t>15 (7): 708 – 716.</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color w:val="222222"/>
          <w:sz w:val="20"/>
          <w:szCs w:val="20"/>
          <w:shd w:val="clear" w:color="auto" w:fill="FFFFFF"/>
        </w:rPr>
      </w:pPr>
      <w:r w:rsidRPr="0014625B">
        <w:rPr>
          <w:rFonts w:ascii="Times New Roman" w:hAnsi="Times New Roman"/>
          <w:color w:val="222222"/>
          <w:sz w:val="20"/>
          <w:szCs w:val="20"/>
          <w:shd w:val="clear" w:color="auto" w:fill="FFFFFF"/>
        </w:rPr>
        <w:t>Klenkar, J. and Molnar, M. (2015). Natural and synthetic coumarins as potential anticancer agents.</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i/>
          <w:iCs/>
          <w:color w:val="222222"/>
          <w:sz w:val="20"/>
          <w:szCs w:val="20"/>
          <w:shd w:val="clear" w:color="auto" w:fill="FFFFFF"/>
        </w:rPr>
        <w:t>Journal of Chemical and Pharmaceutical Research</w:t>
      </w:r>
      <w:r w:rsidRPr="0014625B">
        <w:rPr>
          <w:rFonts w:ascii="Times New Roman" w:hAnsi="Times New Roman"/>
          <w:color w:val="222222"/>
          <w:sz w:val="20"/>
          <w:szCs w:val="20"/>
          <w:shd w:val="clear" w:color="auto" w:fill="FFFFFF"/>
        </w:rPr>
        <w:t>,</w:t>
      </w:r>
      <w:r w:rsidRPr="0014625B">
        <w:rPr>
          <w:rStyle w:val="apple-converted-space"/>
          <w:rFonts w:ascii="Times New Roman" w:hAnsi="Times New Roman"/>
          <w:color w:val="222222"/>
          <w:sz w:val="20"/>
          <w:szCs w:val="20"/>
          <w:shd w:val="clear" w:color="auto" w:fill="FFFFFF"/>
        </w:rPr>
        <w:t> </w:t>
      </w:r>
      <w:r w:rsidRPr="0014625B">
        <w:rPr>
          <w:rFonts w:ascii="Times New Roman" w:hAnsi="Times New Roman"/>
          <w:color w:val="222222"/>
          <w:sz w:val="20"/>
          <w:szCs w:val="20"/>
          <w:shd w:val="clear" w:color="auto" w:fill="FFFFFF"/>
        </w:rPr>
        <w:t>7(7): 1223 – 1238.</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Style w:val="element-citation"/>
          <w:rFonts w:ascii="Times New Roman" w:hAnsi="Times New Roman"/>
          <w:color w:val="000000"/>
          <w:sz w:val="20"/>
          <w:szCs w:val="20"/>
          <w:shd w:val="clear" w:color="auto" w:fill="FFFFFF"/>
        </w:rPr>
      </w:pPr>
      <w:r w:rsidRPr="0014625B">
        <w:rPr>
          <w:rFonts w:ascii="Times New Roman" w:hAnsi="Times New Roman"/>
          <w:color w:val="222222"/>
          <w:sz w:val="20"/>
          <w:szCs w:val="20"/>
          <w:shd w:val="clear" w:color="auto" w:fill="FFFFFF"/>
        </w:rPr>
        <w:t>J</w:t>
      </w:r>
      <w:r w:rsidRPr="0014625B">
        <w:rPr>
          <w:rStyle w:val="element-citation"/>
          <w:rFonts w:ascii="Times New Roman" w:hAnsi="Times New Roman"/>
          <w:color w:val="000000"/>
          <w:sz w:val="20"/>
          <w:szCs w:val="20"/>
          <w:shd w:val="clear" w:color="auto" w:fill="FFFFFF"/>
        </w:rPr>
        <w:t>afarian-Dehkordi, A., Emami, S. A., Saeidi, M. and Sadeghi, H. (2004). Cytotoxicologic studies of the extracts of Iranian</w:t>
      </w:r>
      <w:r w:rsidRPr="0014625B">
        <w:rPr>
          <w:rStyle w:val="apple-converted-space"/>
          <w:rFonts w:ascii="Times New Roman" w:hAnsi="Times New Roman"/>
          <w:color w:val="000000"/>
          <w:sz w:val="20"/>
          <w:szCs w:val="20"/>
          <w:shd w:val="clear" w:color="auto" w:fill="FFFFFF"/>
        </w:rPr>
        <w:t> </w:t>
      </w:r>
      <w:r w:rsidRPr="0014625B">
        <w:rPr>
          <w:rStyle w:val="Emphasis"/>
          <w:rFonts w:ascii="Times New Roman" w:hAnsi="Times New Roman"/>
          <w:b w:val="0"/>
          <w:color w:val="000000"/>
          <w:spacing w:val="0"/>
          <w:sz w:val="20"/>
          <w:szCs w:val="20"/>
          <w:shd w:val="clear" w:color="auto" w:fill="FFFFFF"/>
        </w:rPr>
        <w:t>Juniperus sabina</w:t>
      </w:r>
      <w:r w:rsidRPr="0014625B">
        <w:rPr>
          <w:rStyle w:val="apple-converted-space"/>
          <w:rFonts w:ascii="Times New Roman" w:hAnsi="Times New Roman"/>
          <w:b/>
          <w:color w:val="000000"/>
          <w:sz w:val="20"/>
          <w:szCs w:val="20"/>
          <w:shd w:val="clear" w:color="auto" w:fill="FFFFFF"/>
        </w:rPr>
        <w:t> </w:t>
      </w:r>
      <w:r w:rsidRPr="0014625B">
        <w:rPr>
          <w:rStyle w:val="element-citation"/>
          <w:rFonts w:ascii="Times New Roman" w:hAnsi="Times New Roman"/>
          <w:color w:val="000000"/>
          <w:sz w:val="20"/>
          <w:szCs w:val="20"/>
          <w:shd w:val="clear" w:color="auto" w:fill="FFFFFF"/>
        </w:rPr>
        <w:t>and</w:t>
      </w:r>
      <w:r w:rsidRPr="0014625B">
        <w:rPr>
          <w:rStyle w:val="apple-converted-space"/>
          <w:rFonts w:ascii="Times New Roman" w:hAnsi="Times New Roman"/>
          <w:b/>
          <w:color w:val="000000"/>
          <w:sz w:val="20"/>
          <w:szCs w:val="20"/>
          <w:shd w:val="clear" w:color="auto" w:fill="FFFFFF"/>
        </w:rPr>
        <w:t> </w:t>
      </w:r>
      <w:r w:rsidRPr="0014625B">
        <w:rPr>
          <w:rStyle w:val="Emphasis"/>
          <w:rFonts w:ascii="Times New Roman" w:hAnsi="Times New Roman"/>
          <w:b w:val="0"/>
          <w:color w:val="000000"/>
          <w:spacing w:val="0"/>
          <w:sz w:val="20"/>
          <w:szCs w:val="20"/>
          <w:shd w:val="clear" w:color="auto" w:fill="FFFFFF"/>
        </w:rPr>
        <w:t>Platycladus orientalis</w:t>
      </w:r>
      <w:r w:rsidRPr="0014625B">
        <w:rPr>
          <w:rStyle w:val="Emphasis"/>
          <w:rFonts w:ascii="Times New Roman" w:hAnsi="Times New Roman"/>
          <w:color w:val="000000"/>
          <w:spacing w:val="0"/>
          <w:sz w:val="20"/>
          <w:szCs w:val="20"/>
          <w:shd w:val="clear" w:color="auto" w:fill="FFFFFF"/>
        </w:rPr>
        <w:t xml:space="preserve"> </w:t>
      </w:r>
      <w:r w:rsidRPr="0014625B">
        <w:rPr>
          <w:rStyle w:val="element-citation"/>
          <w:rFonts w:ascii="Times New Roman" w:hAnsi="Times New Roman"/>
          <w:color w:val="000000"/>
          <w:sz w:val="20"/>
          <w:szCs w:val="20"/>
          <w:shd w:val="clear" w:color="auto" w:fill="FFFFFF"/>
        </w:rPr>
        <w:t>on Cancer Cells.</w:t>
      </w:r>
      <w:r w:rsidRPr="0014625B">
        <w:rPr>
          <w:rStyle w:val="apple-converted-space"/>
          <w:rFonts w:ascii="Times New Roman" w:hAnsi="Times New Roman"/>
          <w:color w:val="000000"/>
          <w:sz w:val="20"/>
          <w:szCs w:val="20"/>
          <w:shd w:val="clear" w:color="auto" w:fill="FFFFFF"/>
        </w:rPr>
        <w:t> </w:t>
      </w:r>
      <w:r w:rsidRPr="0014625B">
        <w:rPr>
          <w:rStyle w:val="ref-journal"/>
          <w:rFonts w:ascii="Times New Roman" w:hAnsi="Times New Roman"/>
          <w:i/>
          <w:iCs/>
          <w:color w:val="000000"/>
          <w:sz w:val="20"/>
          <w:szCs w:val="20"/>
          <w:shd w:val="clear" w:color="auto" w:fill="FFFFFF"/>
        </w:rPr>
        <w:t>Journal of Research in Medicinal Sciences</w:t>
      </w:r>
      <w:r w:rsidRPr="0014625B">
        <w:rPr>
          <w:rStyle w:val="ref-journal"/>
          <w:rFonts w:ascii="Times New Roman" w:hAnsi="Times New Roman"/>
          <w:color w:val="000000"/>
          <w:sz w:val="20"/>
          <w:szCs w:val="20"/>
          <w:shd w:val="clear" w:color="auto" w:fill="FFFFFF"/>
        </w:rPr>
        <w:t xml:space="preserve">, </w:t>
      </w:r>
      <w:r w:rsidRPr="0014625B">
        <w:rPr>
          <w:rStyle w:val="ref-vol"/>
          <w:rFonts w:ascii="Times New Roman" w:hAnsi="Times New Roman"/>
          <w:color w:val="000000"/>
          <w:sz w:val="20"/>
          <w:szCs w:val="20"/>
          <w:shd w:val="clear" w:color="auto" w:fill="FFFFFF"/>
        </w:rPr>
        <w:t>5</w:t>
      </w:r>
      <w:r w:rsidRPr="0014625B">
        <w:rPr>
          <w:rStyle w:val="element-citation"/>
          <w:rFonts w:ascii="Times New Roman" w:hAnsi="Times New Roman"/>
          <w:color w:val="000000"/>
          <w:sz w:val="20"/>
          <w:szCs w:val="20"/>
          <w:shd w:val="clear" w:color="auto" w:fill="FFFFFF"/>
        </w:rPr>
        <w:t>: 205 – 209.</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Style w:val="element-citation"/>
          <w:rFonts w:ascii="Times New Roman" w:hAnsi="Times New Roman"/>
          <w:sz w:val="20"/>
          <w:szCs w:val="20"/>
          <w:shd w:val="clear" w:color="auto" w:fill="FFFFFF"/>
        </w:rPr>
      </w:pPr>
      <w:r w:rsidRPr="0014625B">
        <w:rPr>
          <w:rStyle w:val="element-citation"/>
          <w:rFonts w:ascii="Times New Roman" w:hAnsi="Times New Roman"/>
          <w:sz w:val="20"/>
          <w:szCs w:val="20"/>
          <w:shd w:val="clear" w:color="auto" w:fill="FFFFFF"/>
        </w:rPr>
        <w:t>Monajemi, R., Oryan, S., Haeri-Roohani, A., Ghannadi, A. and Jafarian, A. (2005). Cytotoxic effects of essential oils of some Iranian Citrus peels.</w:t>
      </w:r>
      <w:r w:rsidRPr="0014625B">
        <w:rPr>
          <w:rStyle w:val="apple-converted-space"/>
          <w:rFonts w:ascii="Times New Roman" w:hAnsi="Times New Roman"/>
          <w:sz w:val="20"/>
          <w:szCs w:val="20"/>
          <w:shd w:val="clear" w:color="auto" w:fill="FFFFFF"/>
        </w:rPr>
        <w:t> </w:t>
      </w:r>
      <w:r w:rsidRPr="0014625B">
        <w:rPr>
          <w:rStyle w:val="ref-journal"/>
          <w:rFonts w:ascii="Times New Roman" w:hAnsi="Times New Roman"/>
          <w:i/>
          <w:iCs/>
          <w:sz w:val="20"/>
          <w:szCs w:val="20"/>
          <w:shd w:val="clear" w:color="auto" w:fill="FFFFFF"/>
        </w:rPr>
        <w:t>Iran Journal of Pharmaceutical Research</w:t>
      </w:r>
      <w:r w:rsidRPr="0014625B">
        <w:rPr>
          <w:rStyle w:val="ref-journal"/>
          <w:rFonts w:ascii="Times New Roman" w:hAnsi="Times New Roman"/>
          <w:sz w:val="20"/>
          <w:szCs w:val="20"/>
          <w:shd w:val="clear" w:color="auto" w:fill="FFFFFF"/>
        </w:rPr>
        <w:t xml:space="preserve">, </w:t>
      </w:r>
      <w:r w:rsidRPr="0014625B">
        <w:rPr>
          <w:rStyle w:val="ref-vol"/>
          <w:rFonts w:ascii="Times New Roman" w:hAnsi="Times New Roman"/>
          <w:sz w:val="20"/>
          <w:szCs w:val="20"/>
          <w:shd w:val="clear" w:color="auto" w:fill="FFFFFF"/>
        </w:rPr>
        <w:t>3</w:t>
      </w:r>
      <w:r w:rsidRPr="0014625B">
        <w:rPr>
          <w:rStyle w:val="element-citation"/>
          <w:rFonts w:ascii="Times New Roman" w:hAnsi="Times New Roman"/>
          <w:sz w:val="20"/>
          <w:szCs w:val="20"/>
          <w:shd w:val="clear" w:color="auto" w:fill="FFFFFF"/>
        </w:rPr>
        <w:t>:183 – 187.</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sz w:val="20"/>
          <w:szCs w:val="20"/>
          <w:lang w:val="en-GB"/>
        </w:rPr>
      </w:pPr>
      <w:r w:rsidRPr="0014625B">
        <w:rPr>
          <w:rFonts w:ascii="Times New Roman" w:hAnsi="Times New Roman"/>
          <w:sz w:val="20"/>
          <w:szCs w:val="20"/>
          <w:lang w:val="en-GB"/>
        </w:rPr>
        <w:t xml:space="preserve">Jia, T., Zhang, L., Duan, Y., Zhang, M., Wang, G., Zhang, J. and Zhao, Z. (2014). The differential susceptibilities of MCF-7 and MDA-MB-231 cells to the cytotoxic effects of curcumin are associated with the PI3K/Akt-SKP2-Cip/Kips pathway. </w:t>
      </w:r>
      <w:r w:rsidRPr="0014625B">
        <w:rPr>
          <w:rFonts w:ascii="Times New Roman" w:hAnsi="Times New Roman"/>
          <w:i/>
          <w:iCs/>
          <w:sz w:val="20"/>
          <w:szCs w:val="20"/>
          <w:lang w:val="en-GB"/>
        </w:rPr>
        <w:t>Cancer cell international</w:t>
      </w:r>
      <w:r w:rsidRPr="0014625B">
        <w:rPr>
          <w:rFonts w:ascii="Times New Roman" w:hAnsi="Times New Roman"/>
          <w:sz w:val="20"/>
          <w:szCs w:val="20"/>
          <w:lang w:val="en-GB"/>
        </w:rPr>
        <w:t>, 14 (1): 126 – 140.</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sz w:val="20"/>
          <w:szCs w:val="20"/>
          <w:lang w:val="en-GB"/>
        </w:rPr>
      </w:pPr>
      <w:r w:rsidRPr="0014625B">
        <w:rPr>
          <w:rFonts w:ascii="Times New Roman" w:hAnsi="Times New Roman"/>
          <w:sz w:val="20"/>
          <w:szCs w:val="20"/>
          <w:lang w:val="en-GB"/>
        </w:rPr>
        <w:t>Brenton, J. D., Carey, L. A., Ahmed, A. A. and Caldas, C. (2005). Molecular classification and molecular forecasting of breast cancer: ready for clinical application? </w:t>
      </w:r>
      <w:r w:rsidRPr="0014625B">
        <w:rPr>
          <w:rFonts w:ascii="Times New Roman" w:hAnsi="Times New Roman"/>
          <w:i/>
          <w:iCs/>
          <w:sz w:val="20"/>
          <w:szCs w:val="20"/>
          <w:lang w:val="en-GB"/>
        </w:rPr>
        <w:t>Journal of Clinical Oncology</w:t>
      </w:r>
      <w:r w:rsidRPr="0014625B">
        <w:rPr>
          <w:rFonts w:ascii="Times New Roman" w:hAnsi="Times New Roman"/>
          <w:sz w:val="20"/>
          <w:szCs w:val="20"/>
          <w:lang w:val="en-GB"/>
        </w:rPr>
        <w:t>, 23 (29): 7350 – 7360.</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sz w:val="20"/>
          <w:szCs w:val="20"/>
          <w:lang w:val="en-GB"/>
        </w:rPr>
      </w:pPr>
      <w:r w:rsidRPr="0014625B">
        <w:rPr>
          <w:rFonts w:ascii="Times New Roman" w:hAnsi="Times New Roman"/>
          <w:sz w:val="20"/>
          <w:szCs w:val="20"/>
        </w:rPr>
        <w:t>Department of Health and Human Services. National Institutes of Health, National Cancer Institute, USA. (2012). Hormone therapy for breast cancer. https://cancer.gov/types/breast/breast-hormone-therapy-fact-sheet. [Access online on 20 January 2017].</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sz w:val="20"/>
          <w:szCs w:val="20"/>
        </w:rPr>
      </w:pPr>
      <w:r w:rsidRPr="0014625B">
        <w:rPr>
          <w:rFonts w:ascii="Times New Roman" w:hAnsi="Times New Roman"/>
          <w:sz w:val="20"/>
          <w:szCs w:val="20"/>
        </w:rPr>
        <w:t>Klinakis, A., Szabolcs, M., Chen, G., Xuan, S., Hibshoosh, H. and Efstratiadis, A. (2009). Igf1r as a therapeutic target in a mouse model of basal-like breast cancer. </w:t>
      </w:r>
      <w:r w:rsidRPr="0014625B">
        <w:rPr>
          <w:rFonts w:ascii="Times New Roman" w:hAnsi="Times New Roman"/>
          <w:i/>
          <w:iCs/>
          <w:sz w:val="20"/>
          <w:szCs w:val="20"/>
        </w:rPr>
        <w:t>Proceedings of the National Academy of Sciences</w:t>
      </w:r>
      <w:r w:rsidRPr="0014625B">
        <w:rPr>
          <w:rFonts w:ascii="Times New Roman" w:hAnsi="Times New Roman"/>
          <w:sz w:val="20"/>
          <w:szCs w:val="20"/>
        </w:rPr>
        <w:t>, 106(7): 2359 – 2364.</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color w:val="333333"/>
          <w:sz w:val="20"/>
          <w:szCs w:val="20"/>
          <w:shd w:val="clear" w:color="auto" w:fill="FFFFFF"/>
        </w:rPr>
      </w:pPr>
      <w:r w:rsidRPr="0014625B">
        <w:rPr>
          <w:rFonts w:ascii="Times New Roman" w:hAnsi="Times New Roman"/>
          <w:color w:val="333333"/>
          <w:sz w:val="20"/>
          <w:szCs w:val="20"/>
          <w:shd w:val="clear" w:color="auto" w:fill="FFFFFF"/>
        </w:rPr>
        <w:t xml:space="preserve">Munir, H. and Sarfraz, R. A. (2014). Medicinal attributes of </w:t>
      </w:r>
      <w:r w:rsidRPr="0014625B">
        <w:rPr>
          <w:rFonts w:ascii="Times New Roman" w:hAnsi="Times New Roman"/>
          <w:i/>
          <w:iCs/>
          <w:color w:val="333333"/>
          <w:sz w:val="20"/>
          <w:szCs w:val="20"/>
          <w:shd w:val="clear" w:color="auto" w:fill="FFFFFF"/>
        </w:rPr>
        <w:t>Aerva javanica</w:t>
      </w:r>
      <w:r w:rsidRPr="0014625B">
        <w:rPr>
          <w:rFonts w:ascii="Times New Roman" w:hAnsi="Times New Roman"/>
          <w:color w:val="333333"/>
          <w:sz w:val="20"/>
          <w:szCs w:val="20"/>
          <w:shd w:val="clear" w:color="auto" w:fill="FFFFFF"/>
        </w:rPr>
        <w:t xml:space="preserve"> native to pothohar plateau. </w:t>
      </w:r>
      <w:r w:rsidRPr="0014625B">
        <w:rPr>
          <w:rFonts w:ascii="Times New Roman" w:hAnsi="Times New Roman"/>
          <w:i/>
          <w:iCs/>
          <w:color w:val="333333"/>
          <w:sz w:val="20"/>
          <w:szCs w:val="20"/>
          <w:shd w:val="clear" w:color="auto" w:fill="FFFFFF"/>
        </w:rPr>
        <w:t>Pakistan journal of life and social sciences</w:t>
      </w:r>
      <w:r w:rsidRPr="0014625B">
        <w:rPr>
          <w:rFonts w:ascii="Times New Roman" w:hAnsi="Times New Roman"/>
          <w:color w:val="333333"/>
          <w:sz w:val="20"/>
          <w:szCs w:val="20"/>
          <w:shd w:val="clear" w:color="auto" w:fill="FFFFFF"/>
        </w:rPr>
        <w:t>, 12(2): 80 – 86.</w:t>
      </w:r>
    </w:p>
    <w:p w:rsidR="00606F5A" w:rsidRPr="0014625B" w:rsidRDefault="00606F5A" w:rsidP="00606F5A">
      <w:pPr>
        <w:pStyle w:val="ListParagraph"/>
        <w:numPr>
          <w:ilvl w:val="0"/>
          <w:numId w:val="1"/>
        </w:numPr>
        <w:tabs>
          <w:tab w:val="left" w:pos="2703"/>
        </w:tabs>
        <w:spacing w:after="0" w:line="240" w:lineRule="auto"/>
        <w:ind w:left="360"/>
        <w:contextualSpacing w:val="0"/>
        <w:jc w:val="both"/>
        <w:rPr>
          <w:rFonts w:ascii="Times New Roman" w:hAnsi="Times New Roman"/>
          <w:color w:val="333333"/>
          <w:sz w:val="20"/>
          <w:szCs w:val="20"/>
          <w:shd w:val="clear" w:color="auto" w:fill="FFFFFF"/>
        </w:rPr>
      </w:pPr>
      <w:r w:rsidRPr="0014625B">
        <w:rPr>
          <w:rFonts w:ascii="Times New Roman" w:hAnsi="Times New Roman"/>
          <w:color w:val="333333"/>
          <w:sz w:val="20"/>
          <w:szCs w:val="20"/>
          <w:shd w:val="clear" w:color="auto" w:fill="FFFFFF"/>
          <w:lang w:val="es-ES"/>
        </w:rPr>
        <w:t xml:space="preserve">Kähkönen, M. P., Hopia, A. I., Vuorela, H. J., Rauha, J. P., Pihlaja, K., Kujala, T. S. and Heinonen, M. (1999). </w:t>
      </w:r>
      <w:r w:rsidRPr="0014625B">
        <w:rPr>
          <w:rFonts w:ascii="Times New Roman" w:hAnsi="Times New Roman"/>
          <w:color w:val="333333"/>
          <w:sz w:val="20"/>
          <w:szCs w:val="20"/>
          <w:shd w:val="clear" w:color="auto" w:fill="FFFFFF"/>
        </w:rPr>
        <w:t xml:space="preserve">Antioxidant activity of plant extracts containing phenolic compounds. </w:t>
      </w:r>
      <w:r w:rsidRPr="0014625B">
        <w:rPr>
          <w:rFonts w:ascii="Times New Roman" w:hAnsi="Times New Roman"/>
          <w:i/>
          <w:iCs/>
          <w:color w:val="333333"/>
          <w:sz w:val="20"/>
          <w:szCs w:val="20"/>
          <w:shd w:val="clear" w:color="auto" w:fill="FFFFFF"/>
        </w:rPr>
        <w:t>Journal of Agricultural and Food Chemistry</w:t>
      </w:r>
      <w:r w:rsidRPr="0014625B">
        <w:rPr>
          <w:rFonts w:ascii="Times New Roman" w:hAnsi="Times New Roman"/>
          <w:color w:val="333333"/>
          <w:sz w:val="20"/>
          <w:szCs w:val="20"/>
          <w:shd w:val="clear" w:color="auto" w:fill="FFFFFF"/>
        </w:rPr>
        <w:t>, 47(10): 3954 – 3962.</w:t>
      </w:r>
    </w:p>
    <w:p w:rsidR="00606F5A" w:rsidRPr="00606F5A" w:rsidRDefault="00606F5A" w:rsidP="00606F5A">
      <w:pPr>
        <w:tabs>
          <w:tab w:val="left" w:pos="2703"/>
        </w:tabs>
        <w:spacing w:after="0" w:line="240" w:lineRule="auto"/>
        <w:jc w:val="both"/>
        <w:rPr>
          <w:rFonts w:asciiTheme="majorBidi" w:hAnsiTheme="majorBidi" w:cstheme="majorBidi"/>
          <w:noProof/>
          <w:sz w:val="20"/>
          <w:szCs w:val="20"/>
          <w:lang w:val="ms-MY"/>
        </w:rPr>
      </w:pPr>
    </w:p>
    <w:sectPr w:rsidR="00606F5A" w:rsidRPr="00606F5A" w:rsidSect="00606F5A">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7462BA"/>
    <w:multiLevelType w:val="hybridMultilevel"/>
    <w:tmpl w:val="96E2C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F5A"/>
    <w:rsid w:val="005E0D25"/>
    <w:rsid w:val="00606F5A"/>
    <w:rsid w:val="00CB51F4"/>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F5A"/>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606F5A"/>
    <w:rPr>
      <w:b/>
      <w:bCs/>
      <w:i/>
      <w:iCs/>
      <w:spacing w:val="10"/>
    </w:rPr>
  </w:style>
  <w:style w:type="paragraph" w:styleId="ListParagraph">
    <w:name w:val="List Paragraph"/>
    <w:basedOn w:val="Normal"/>
    <w:uiPriority w:val="34"/>
    <w:qFormat/>
    <w:rsid w:val="00606F5A"/>
    <w:pPr>
      <w:ind w:left="720"/>
      <w:contextualSpacing/>
    </w:pPr>
  </w:style>
  <w:style w:type="character" w:customStyle="1" w:styleId="apple-converted-space">
    <w:name w:val="apple-converted-space"/>
    <w:basedOn w:val="DefaultParagraphFont"/>
    <w:rsid w:val="00606F5A"/>
  </w:style>
  <w:style w:type="character" w:customStyle="1" w:styleId="ref-journal">
    <w:name w:val="ref-journal"/>
    <w:basedOn w:val="DefaultParagraphFont"/>
    <w:rsid w:val="00606F5A"/>
  </w:style>
  <w:style w:type="character" w:customStyle="1" w:styleId="ref-vol">
    <w:name w:val="ref-vol"/>
    <w:basedOn w:val="DefaultParagraphFont"/>
    <w:rsid w:val="00606F5A"/>
  </w:style>
  <w:style w:type="character" w:customStyle="1" w:styleId="element-citation">
    <w:name w:val="element-citation"/>
    <w:basedOn w:val="DefaultParagraphFont"/>
    <w:rsid w:val="00606F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F5A"/>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606F5A"/>
    <w:rPr>
      <w:b/>
      <w:bCs/>
      <w:i/>
      <w:iCs/>
      <w:spacing w:val="10"/>
    </w:rPr>
  </w:style>
  <w:style w:type="paragraph" w:styleId="ListParagraph">
    <w:name w:val="List Paragraph"/>
    <w:basedOn w:val="Normal"/>
    <w:uiPriority w:val="34"/>
    <w:qFormat/>
    <w:rsid w:val="00606F5A"/>
    <w:pPr>
      <w:ind w:left="720"/>
      <w:contextualSpacing/>
    </w:pPr>
  </w:style>
  <w:style w:type="character" w:customStyle="1" w:styleId="apple-converted-space">
    <w:name w:val="apple-converted-space"/>
    <w:basedOn w:val="DefaultParagraphFont"/>
    <w:rsid w:val="00606F5A"/>
  </w:style>
  <w:style w:type="character" w:customStyle="1" w:styleId="ref-journal">
    <w:name w:val="ref-journal"/>
    <w:basedOn w:val="DefaultParagraphFont"/>
    <w:rsid w:val="00606F5A"/>
  </w:style>
  <w:style w:type="character" w:customStyle="1" w:styleId="ref-vol">
    <w:name w:val="ref-vol"/>
    <w:basedOn w:val="DefaultParagraphFont"/>
    <w:rsid w:val="00606F5A"/>
  </w:style>
  <w:style w:type="character" w:customStyle="1" w:styleId="element-citation">
    <w:name w:val="element-citation"/>
    <w:basedOn w:val="DefaultParagraphFont"/>
    <w:rsid w:val="00606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1498</Words>
  <Characters>8484</Characters>
  <Application>Microsoft Office Word</Application>
  <DocSecurity>0</DocSecurity>
  <Lines>151</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2017-09-18T01:51:00Z</dcterms:created>
  <dcterms:modified xsi:type="dcterms:W3CDTF">2017-10-22T08:16:00Z</dcterms:modified>
</cp:coreProperties>
</file>