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090" w:rsidRDefault="00990090" w:rsidP="00990090">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21 No 5 (2017): 1074 - 1079</w:t>
      </w:r>
    </w:p>
    <w:p w:rsidR="00990090" w:rsidRDefault="00990090" w:rsidP="00990090">
      <w:pPr>
        <w:spacing w:after="0" w:line="240" w:lineRule="auto"/>
        <w:outlineLvl w:val="0"/>
        <w:rPr>
          <w:rFonts w:ascii="Times New Roman" w:hAnsi="Times New Roman"/>
          <w:sz w:val="24"/>
          <w:szCs w:val="24"/>
        </w:rPr>
      </w:pPr>
    </w:p>
    <w:p w:rsidR="00990090" w:rsidRDefault="00990090" w:rsidP="00990090">
      <w:pPr>
        <w:spacing w:after="0" w:line="240" w:lineRule="auto"/>
        <w:outlineLvl w:val="0"/>
        <w:rPr>
          <w:rFonts w:ascii="Times New Roman" w:hAnsi="Times New Roman"/>
          <w:sz w:val="24"/>
          <w:szCs w:val="24"/>
        </w:rPr>
      </w:pPr>
    </w:p>
    <w:p w:rsidR="00990090" w:rsidRPr="00990090" w:rsidRDefault="00990090" w:rsidP="00990090">
      <w:pPr>
        <w:spacing w:after="0" w:line="240" w:lineRule="auto"/>
        <w:outlineLvl w:val="0"/>
        <w:rPr>
          <w:rFonts w:ascii="Times New Roman" w:hAnsi="Times New Roman"/>
          <w:sz w:val="24"/>
          <w:szCs w:val="24"/>
        </w:rPr>
      </w:pPr>
    </w:p>
    <w:p w:rsidR="00990090" w:rsidRPr="008D1BC2" w:rsidRDefault="00990090" w:rsidP="00990090">
      <w:pPr>
        <w:spacing w:after="0" w:line="240" w:lineRule="auto"/>
        <w:jc w:val="center"/>
        <w:outlineLvl w:val="0"/>
        <w:rPr>
          <w:rFonts w:ascii="Times New Roman" w:hAnsi="Times New Roman"/>
          <w:sz w:val="28"/>
        </w:rPr>
      </w:pPr>
      <w:r w:rsidRPr="008D1BC2">
        <w:rPr>
          <w:rFonts w:ascii="Times New Roman" w:hAnsi="Times New Roman"/>
          <w:sz w:val="28"/>
        </w:rPr>
        <w:t>DEGRADATION OF I</w:t>
      </w:r>
      <w:r>
        <w:rPr>
          <w:rFonts w:ascii="Times New Roman" w:hAnsi="Times New Roman"/>
          <w:sz w:val="28"/>
        </w:rPr>
        <w:t xml:space="preserve">MAZAPYR AND IMAZAPIC IN AQUEOUS </w:t>
      </w:r>
      <w:r w:rsidRPr="008D1BC2">
        <w:rPr>
          <w:rFonts w:ascii="Times New Roman" w:hAnsi="Times New Roman"/>
          <w:sz w:val="28"/>
        </w:rPr>
        <w:t xml:space="preserve">SOLUTIONS AND SOIL UNDER DIRECT SUNLIGHT </w:t>
      </w:r>
    </w:p>
    <w:p w:rsidR="00990090" w:rsidRPr="008D1BC2" w:rsidRDefault="00990090" w:rsidP="00990090">
      <w:pPr>
        <w:spacing w:after="0" w:line="240" w:lineRule="auto"/>
        <w:jc w:val="center"/>
        <w:outlineLvl w:val="0"/>
        <w:rPr>
          <w:rFonts w:ascii="Times New Roman" w:hAnsi="Times New Roman"/>
          <w:b/>
          <w:sz w:val="24"/>
        </w:rPr>
      </w:pPr>
    </w:p>
    <w:p w:rsidR="00990090" w:rsidRPr="00E54100" w:rsidRDefault="00990090" w:rsidP="00990090">
      <w:pPr>
        <w:spacing w:after="0" w:line="240" w:lineRule="auto"/>
        <w:jc w:val="center"/>
        <w:outlineLvl w:val="0"/>
        <w:rPr>
          <w:rFonts w:ascii="Times New Roman" w:hAnsi="Times New Roman"/>
          <w:sz w:val="24"/>
          <w:lang w:val="es-ES"/>
        </w:rPr>
      </w:pPr>
      <w:r w:rsidRPr="00E54100">
        <w:rPr>
          <w:rFonts w:ascii="Times New Roman" w:hAnsi="Times New Roman"/>
          <w:sz w:val="24"/>
          <w:lang w:val="es-ES"/>
        </w:rPr>
        <w:t>(Degradasi Imazapyr dan Imazapic dalam Larutan Akueus dan Tanah di bawah Cahaya Matahari)</w:t>
      </w:r>
    </w:p>
    <w:p w:rsidR="00990090" w:rsidRPr="001C1F47" w:rsidRDefault="00990090" w:rsidP="00990090">
      <w:pPr>
        <w:spacing w:after="0" w:line="240" w:lineRule="auto"/>
        <w:jc w:val="center"/>
        <w:outlineLvl w:val="0"/>
        <w:rPr>
          <w:rFonts w:ascii="Times New Roman" w:hAnsi="Times New Roman"/>
          <w:b/>
          <w:sz w:val="20"/>
          <w:szCs w:val="20"/>
          <w:lang w:val="es-ES"/>
        </w:rPr>
      </w:pPr>
    </w:p>
    <w:p w:rsidR="00990090" w:rsidRDefault="00990090" w:rsidP="00990090">
      <w:pPr>
        <w:spacing w:after="0" w:line="240" w:lineRule="auto"/>
        <w:jc w:val="center"/>
        <w:outlineLvl w:val="0"/>
        <w:rPr>
          <w:rFonts w:ascii="Times New Roman" w:hAnsi="Times New Roman"/>
          <w:sz w:val="20"/>
          <w:szCs w:val="20"/>
        </w:rPr>
      </w:pPr>
      <w:r w:rsidRPr="001C1F47">
        <w:rPr>
          <w:rFonts w:ascii="Times New Roman" w:hAnsi="Times New Roman"/>
          <w:sz w:val="20"/>
          <w:szCs w:val="20"/>
          <w:lang w:val="es-ES"/>
        </w:rPr>
        <w:t>Siti Norashikin Mohamad Shaifuddin</w:t>
      </w:r>
      <w:r w:rsidRPr="001C1F47">
        <w:rPr>
          <w:rFonts w:ascii="Times New Roman" w:hAnsi="Times New Roman"/>
          <w:sz w:val="20"/>
          <w:szCs w:val="20"/>
          <w:vertAlign w:val="superscript"/>
          <w:lang w:val="es-ES"/>
        </w:rPr>
        <w:t>1</w:t>
      </w:r>
      <w:r w:rsidRPr="001C1F47">
        <w:rPr>
          <w:rFonts w:ascii="Times New Roman" w:hAnsi="Times New Roman"/>
          <w:sz w:val="20"/>
          <w:szCs w:val="20"/>
          <w:lang w:val="es-ES"/>
        </w:rPr>
        <w:t>, Hazilia Hussain</w:t>
      </w:r>
      <w:r w:rsidRPr="001C1F47">
        <w:rPr>
          <w:rFonts w:ascii="Times New Roman" w:hAnsi="Times New Roman"/>
          <w:sz w:val="20"/>
          <w:szCs w:val="20"/>
          <w:vertAlign w:val="superscript"/>
          <w:lang w:val="es-ES"/>
        </w:rPr>
        <w:t>1</w:t>
      </w:r>
      <w:r w:rsidRPr="001C1F47">
        <w:rPr>
          <w:rFonts w:ascii="Times New Roman" w:hAnsi="Times New Roman"/>
          <w:sz w:val="20"/>
          <w:szCs w:val="20"/>
          <w:lang w:val="es-ES"/>
        </w:rPr>
        <w:t>*, Hamzah Fansuri Hassan</w:t>
      </w:r>
      <w:r w:rsidRPr="001C1F47">
        <w:rPr>
          <w:rFonts w:ascii="Times New Roman" w:hAnsi="Times New Roman"/>
          <w:sz w:val="20"/>
          <w:szCs w:val="20"/>
          <w:vertAlign w:val="superscript"/>
          <w:lang w:val="es-ES"/>
        </w:rPr>
        <w:t>2</w:t>
      </w:r>
      <w:r w:rsidRPr="001C1F47">
        <w:rPr>
          <w:rFonts w:ascii="Times New Roman" w:hAnsi="Times New Roman"/>
          <w:sz w:val="20"/>
          <w:szCs w:val="20"/>
          <w:lang w:val="es-ES"/>
        </w:rPr>
        <w:t xml:space="preserve">, </w:t>
      </w:r>
      <w:r w:rsidRPr="001C1F47">
        <w:rPr>
          <w:rFonts w:ascii="Times New Roman" w:hAnsi="Times New Roman"/>
          <w:sz w:val="20"/>
          <w:szCs w:val="20"/>
        </w:rPr>
        <w:t>Nazri Che Dom</w:t>
      </w:r>
      <w:r w:rsidRPr="001C1F47">
        <w:rPr>
          <w:rFonts w:ascii="Times New Roman" w:hAnsi="Times New Roman"/>
          <w:sz w:val="20"/>
          <w:szCs w:val="20"/>
          <w:vertAlign w:val="superscript"/>
        </w:rPr>
        <w:t>1</w:t>
      </w:r>
      <w:r w:rsidRPr="001C1F47">
        <w:rPr>
          <w:rFonts w:ascii="Times New Roman" w:hAnsi="Times New Roman"/>
          <w:sz w:val="20"/>
          <w:szCs w:val="20"/>
        </w:rPr>
        <w:t xml:space="preserve">, </w:t>
      </w:r>
    </w:p>
    <w:p w:rsidR="00990090" w:rsidRPr="001C1F47" w:rsidRDefault="00990090" w:rsidP="00990090">
      <w:pPr>
        <w:spacing w:after="0" w:line="240" w:lineRule="auto"/>
        <w:jc w:val="center"/>
        <w:outlineLvl w:val="0"/>
        <w:rPr>
          <w:rFonts w:ascii="Times New Roman" w:hAnsi="Times New Roman"/>
          <w:sz w:val="20"/>
          <w:szCs w:val="20"/>
          <w:lang w:val="es-ES"/>
        </w:rPr>
      </w:pPr>
      <w:r w:rsidRPr="001C1F47">
        <w:rPr>
          <w:rFonts w:ascii="Times New Roman" w:hAnsi="Times New Roman"/>
          <w:sz w:val="20"/>
          <w:szCs w:val="20"/>
        </w:rPr>
        <w:t>Razi Ikhwan Md Rashid</w:t>
      </w:r>
      <w:r w:rsidRPr="001C1F47">
        <w:rPr>
          <w:rFonts w:ascii="Times New Roman" w:hAnsi="Times New Roman"/>
          <w:sz w:val="20"/>
          <w:szCs w:val="20"/>
          <w:vertAlign w:val="superscript"/>
        </w:rPr>
        <w:t>1</w:t>
      </w:r>
      <w:bookmarkStart w:id="0" w:name="_GoBack"/>
      <w:bookmarkEnd w:id="0"/>
    </w:p>
    <w:p w:rsidR="00990090" w:rsidRPr="00990090" w:rsidRDefault="00990090" w:rsidP="00990090">
      <w:pPr>
        <w:spacing w:after="0" w:line="240" w:lineRule="auto"/>
        <w:jc w:val="center"/>
        <w:rPr>
          <w:rFonts w:ascii="Times New Roman" w:hAnsi="Times New Roman"/>
          <w:noProof/>
          <w:sz w:val="20"/>
          <w:szCs w:val="20"/>
          <w:lang w:bidi="ar-SA"/>
        </w:rPr>
      </w:pPr>
    </w:p>
    <w:p w:rsidR="00990090" w:rsidRPr="00990090" w:rsidRDefault="00990090" w:rsidP="00990090">
      <w:pPr>
        <w:spacing w:after="0" w:line="240" w:lineRule="auto"/>
        <w:jc w:val="center"/>
        <w:outlineLvl w:val="0"/>
        <w:rPr>
          <w:rFonts w:ascii="Times New Roman" w:hAnsi="Times New Roman"/>
          <w:i/>
          <w:sz w:val="20"/>
          <w:szCs w:val="20"/>
        </w:rPr>
      </w:pPr>
      <w:r w:rsidRPr="00990090">
        <w:rPr>
          <w:rFonts w:ascii="Times New Roman" w:hAnsi="Times New Roman"/>
          <w:i/>
          <w:sz w:val="20"/>
          <w:szCs w:val="20"/>
          <w:vertAlign w:val="superscript"/>
        </w:rPr>
        <w:t>1</w:t>
      </w:r>
      <w:r w:rsidRPr="00990090">
        <w:rPr>
          <w:rFonts w:ascii="Times New Roman" w:hAnsi="Times New Roman"/>
          <w:i/>
          <w:sz w:val="20"/>
          <w:szCs w:val="20"/>
        </w:rPr>
        <w:t>Department of Environmental Health and Sa</w:t>
      </w:r>
      <w:r w:rsidR="008A6A7A">
        <w:rPr>
          <w:rFonts w:ascii="Times New Roman" w:hAnsi="Times New Roman"/>
          <w:i/>
          <w:sz w:val="20"/>
          <w:szCs w:val="20"/>
        </w:rPr>
        <w:t>fety</w:t>
      </w:r>
    </w:p>
    <w:p w:rsidR="00990090" w:rsidRPr="00990090" w:rsidRDefault="00990090" w:rsidP="00990090">
      <w:pPr>
        <w:spacing w:after="0" w:line="240" w:lineRule="auto"/>
        <w:jc w:val="center"/>
        <w:outlineLvl w:val="0"/>
        <w:rPr>
          <w:rFonts w:ascii="Times New Roman" w:hAnsi="Times New Roman"/>
          <w:i/>
          <w:sz w:val="20"/>
          <w:szCs w:val="20"/>
        </w:rPr>
      </w:pPr>
      <w:r w:rsidRPr="00990090">
        <w:rPr>
          <w:rFonts w:ascii="Times New Roman" w:hAnsi="Times New Roman"/>
          <w:i/>
          <w:sz w:val="20"/>
          <w:szCs w:val="20"/>
          <w:vertAlign w:val="superscript"/>
        </w:rPr>
        <w:t>2</w:t>
      </w:r>
      <w:r w:rsidRPr="00990090">
        <w:rPr>
          <w:rFonts w:ascii="Times New Roman" w:hAnsi="Times New Roman"/>
          <w:i/>
          <w:sz w:val="20"/>
          <w:szCs w:val="20"/>
        </w:rPr>
        <w:t>Department of Basic Sciences, Faculty of Health Sciences</w:t>
      </w:r>
    </w:p>
    <w:p w:rsidR="00990090" w:rsidRPr="00990090" w:rsidRDefault="00990090" w:rsidP="00990090">
      <w:pPr>
        <w:spacing w:after="0" w:line="240" w:lineRule="auto"/>
        <w:jc w:val="center"/>
        <w:outlineLvl w:val="0"/>
        <w:rPr>
          <w:rFonts w:ascii="Times New Roman" w:hAnsi="Times New Roman"/>
          <w:i/>
          <w:sz w:val="20"/>
          <w:szCs w:val="20"/>
        </w:rPr>
      </w:pPr>
      <w:r w:rsidRPr="00990090">
        <w:rPr>
          <w:rFonts w:ascii="Times New Roman" w:hAnsi="Times New Roman"/>
          <w:i/>
          <w:sz w:val="20"/>
          <w:szCs w:val="20"/>
        </w:rPr>
        <w:t>Universiti Teknologi MARA, 42300 UiTM Puncak Alam, Selangor, Malaysia</w:t>
      </w:r>
    </w:p>
    <w:p w:rsidR="00990090" w:rsidRPr="00990090" w:rsidRDefault="00990090" w:rsidP="00990090">
      <w:pPr>
        <w:spacing w:after="0" w:line="240" w:lineRule="auto"/>
        <w:jc w:val="center"/>
        <w:rPr>
          <w:rFonts w:ascii="Times New Roman" w:hAnsi="Times New Roman"/>
          <w:noProof/>
          <w:sz w:val="20"/>
          <w:szCs w:val="20"/>
          <w:lang w:bidi="ar-SA"/>
        </w:rPr>
      </w:pPr>
    </w:p>
    <w:p w:rsidR="00990090" w:rsidRPr="00990090" w:rsidRDefault="00990090" w:rsidP="00990090">
      <w:pPr>
        <w:spacing w:after="0" w:line="240" w:lineRule="auto"/>
        <w:jc w:val="center"/>
        <w:rPr>
          <w:rFonts w:ascii="Times New Roman" w:hAnsi="Times New Roman"/>
          <w:i/>
          <w:noProof/>
          <w:sz w:val="20"/>
          <w:szCs w:val="20"/>
          <w:lang w:bidi="ar-SA"/>
        </w:rPr>
      </w:pPr>
      <w:r w:rsidRPr="00990090">
        <w:rPr>
          <w:rFonts w:ascii="Times New Roman" w:hAnsi="Times New Roman"/>
          <w:i/>
          <w:noProof/>
          <w:sz w:val="20"/>
          <w:szCs w:val="20"/>
          <w:lang w:bidi="ar-SA"/>
        </w:rPr>
        <w:t xml:space="preserve">*Corresponding author:  </w:t>
      </w:r>
      <w:r w:rsidRPr="00990090">
        <w:rPr>
          <w:rFonts w:ascii="Times New Roman" w:hAnsi="Times New Roman"/>
          <w:i/>
          <w:sz w:val="20"/>
          <w:szCs w:val="20"/>
        </w:rPr>
        <w:t>hazilia@puncakalam.uitm.edu.my</w:t>
      </w:r>
    </w:p>
    <w:p w:rsidR="00990090" w:rsidRPr="00990090" w:rsidRDefault="00990090" w:rsidP="00990090">
      <w:pPr>
        <w:spacing w:after="0" w:line="240" w:lineRule="auto"/>
        <w:jc w:val="center"/>
        <w:rPr>
          <w:rFonts w:ascii="Times New Roman" w:hAnsi="Times New Roman"/>
          <w:noProof/>
          <w:sz w:val="20"/>
          <w:szCs w:val="20"/>
          <w:lang w:bidi="ar-SA"/>
        </w:rPr>
      </w:pPr>
    </w:p>
    <w:p w:rsidR="00990090" w:rsidRPr="00990090" w:rsidRDefault="00990090" w:rsidP="00990090">
      <w:pPr>
        <w:spacing w:after="0" w:line="240" w:lineRule="auto"/>
        <w:jc w:val="center"/>
        <w:rPr>
          <w:rFonts w:ascii="Times New Roman" w:hAnsi="Times New Roman"/>
          <w:noProof/>
          <w:sz w:val="20"/>
          <w:szCs w:val="20"/>
          <w:lang w:bidi="ar-SA"/>
        </w:rPr>
      </w:pPr>
    </w:p>
    <w:p w:rsidR="00990090" w:rsidRPr="00990090" w:rsidRDefault="00990090" w:rsidP="00990090">
      <w:pPr>
        <w:spacing w:after="0" w:line="240" w:lineRule="auto"/>
        <w:jc w:val="center"/>
        <w:rPr>
          <w:rFonts w:ascii="Times New Roman" w:hAnsi="Times New Roman"/>
          <w:noProof/>
          <w:sz w:val="20"/>
          <w:szCs w:val="20"/>
          <w:lang w:bidi="ar-SA"/>
        </w:rPr>
      </w:pPr>
      <w:r w:rsidRPr="00990090">
        <w:rPr>
          <w:rFonts w:ascii="Times New Roman" w:hAnsi="Times New Roman"/>
          <w:noProof/>
          <w:sz w:val="20"/>
          <w:szCs w:val="20"/>
          <w:lang w:bidi="ar-SA"/>
        </w:rPr>
        <w:t>Received: 25 January 2017; Accepted: 3 July 2017</w:t>
      </w:r>
    </w:p>
    <w:p w:rsidR="00990090" w:rsidRPr="00990090" w:rsidRDefault="00990090" w:rsidP="00990090">
      <w:pPr>
        <w:spacing w:after="0" w:line="240" w:lineRule="auto"/>
        <w:jc w:val="center"/>
        <w:rPr>
          <w:rFonts w:ascii="Times New Roman" w:hAnsi="Times New Roman"/>
          <w:noProof/>
          <w:sz w:val="20"/>
          <w:szCs w:val="20"/>
          <w:lang w:bidi="ar-SA"/>
        </w:rPr>
      </w:pPr>
    </w:p>
    <w:p w:rsidR="00990090" w:rsidRPr="00990090" w:rsidRDefault="00990090" w:rsidP="00990090">
      <w:pPr>
        <w:spacing w:after="0" w:line="240" w:lineRule="auto"/>
        <w:jc w:val="center"/>
        <w:rPr>
          <w:rFonts w:ascii="Times New Roman" w:hAnsi="Times New Roman"/>
          <w:noProof/>
          <w:sz w:val="20"/>
          <w:szCs w:val="20"/>
          <w:lang w:bidi="ar-SA"/>
        </w:rPr>
      </w:pPr>
    </w:p>
    <w:p w:rsidR="00990090" w:rsidRPr="00990090" w:rsidRDefault="00990090" w:rsidP="00990090">
      <w:pPr>
        <w:spacing w:after="0" w:line="240" w:lineRule="auto"/>
        <w:jc w:val="center"/>
        <w:rPr>
          <w:rFonts w:ascii="Times New Roman" w:hAnsi="Times New Roman"/>
          <w:b/>
          <w:noProof/>
          <w:sz w:val="20"/>
          <w:szCs w:val="20"/>
          <w:lang w:bidi="ar-SA"/>
        </w:rPr>
      </w:pPr>
      <w:r w:rsidRPr="00990090">
        <w:rPr>
          <w:rFonts w:ascii="Times New Roman" w:hAnsi="Times New Roman"/>
          <w:b/>
          <w:noProof/>
          <w:sz w:val="20"/>
          <w:szCs w:val="20"/>
          <w:lang w:bidi="ar-SA"/>
        </w:rPr>
        <w:t>Abstract</w:t>
      </w:r>
    </w:p>
    <w:p w:rsidR="00990090" w:rsidRPr="00990090" w:rsidRDefault="00990090" w:rsidP="00990090">
      <w:pPr>
        <w:spacing w:after="0" w:line="240" w:lineRule="auto"/>
        <w:jc w:val="both"/>
        <w:rPr>
          <w:rFonts w:ascii="Times New Roman" w:hAnsi="Times New Roman"/>
          <w:sz w:val="20"/>
          <w:szCs w:val="20"/>
        </w:rPr>
      </w:pPr>
      <w:r w:rsidRPr="00990090">
        <w:rPr>
          <w:rFonts w:ascii="Times New Roman" w:hAnsi="Times New Roman"/>
          <w:sz w:val="20"/>
          <w:szCs w:val="20"/>
        </w:rPr>
        <w:t xml:space="preserve">Photolytic degradation of imazapyr and imazapic in aqueous solutions (pH 3, 7 and 9) and soil under direct sunlight were studied. A total of 0.1 mL of aqueous solutions containing herbicides were collected at 0, 1, 2 and 3 days and were directly analyzed using high performance liquid chromatography equipped with ultraviolet detector (HPLC-UV) without further clean-up process. Soils that were treated with herbicides were sampled at seven different days (0, 1, 5, 10, 16, 23 and 30). The photolytic results showed that imazapyr and imazapic degraded faster in solutions compared to soils (&gt; 90%). Photolysis of imidazolinone herbicides became more effective as the pH value increased. The half-lives for imazapyr and imazapic degradation on soil surface under sunlight were calculated at 126 days and 85.56 days, respectively. Low degradation of imazapyr and imazapic in soil becomes a concern since it may contribute to the persistency of imidazolinone herbicides in this media. The use of these herbicides should be planned well to reduce the risk of herbicides leaching into groundwater and posing risk to non-target crops and organism.   </w:t>
      </w:r>
    </w:p>
    <w:p w:rsidR="00990090" w:rsidRPr="00990090" w:rsidRDefault="00990090" w:rsidP="00990090">
      <w:pPr>
        <w:spacing w:after="0" w:line="240" w:lineRule="auto"/>
        <w:jc w:val="both"/>
        <w:outlineLvl w:val="0"/>
        <w:rPr>
          <w:rFonts w:ascii="Times New Roman" w:hAnsi="Times New Roman"/>
          <w:sz w:val="20"/>
          <w:szCs w:val="20"/>
        </w:rPr>
      </w:pPr>
    </w:p>
    <w:p w:rsidR="00990090" w:rsidRPr="00990090" w:rsidRDefault="00990090" w:rsidP="00990090">
      <w:pPr>
        <w:spacing w:after="0" w:line="240" w:lineRule="auto"/>
        <w:jc w:val="both"/>
        <w:outlineLvl w:val="0"/>
        <w:rPr>
          <w:rFonts w:ascii="Times New Roman" w:hAnsi="Times New Roman"/>
          <w:sz w:val="20"/>
          <w:szCs w:val="20"/>
        </w:rPr>
      </w:pPr>
      <w:r w:rsidRPr="00990090">
        <w:rPr>
          <w:rFonts w:ascii="Times New Roman" w:hAnsi="Times New Roman"/>
          <w:b/>
          <w:sz w:val="20"/>
          <w:szCs w:val="20"/>
        </w:rPr>
        <w:t>Keywords</w:t>
      </w:r>
      <w:r w:rsidRPr="00990090">
        <w:rPr>
          <w:rFonts w:ascii="Times New Roman" w:hAnsi="Times New Roman"/>
          <w:sz w:val="20"/>
          <w:szCs w:val="20"/>
        </w:rPr>
        <w:t>:  photolysis, imazapyr, imazapic, aqueous solutions, soil</w:t>
      </w:r>
    </w:p>
    <w:p w:rsidR="00990090" w:rsidRPr="00990090" w:rsidRDefault="00990090" w:rsidP="00990090">
      <w:pPr>
        <w:spacing w:after="0" w:line="240" w:lineRule="auto"/>
        <w:jc w:val="center"/>
        <w:outlineLvl w:val="0"/>
        <w:rPr>
          <w:rFonts w:ascii="Times New Roman" w:hAnsi="Times New Roman"/>
          <w:b/>
          <w:sz w:val="20"/>
          <w:szCs w:val="20"/>
        </w:rPr>
      </w:pPr>
    </w:p>
    <w:p w:rsidR="00990090" w:rsidRPr="00990090" w:rsidRDefault="00990090" w:rsidP="00990090">
      <w:pPr>
        <w:spacing w:after="0" w:line="240" w:lineRule="auto"/>
        <w:jc w:val="center"/>
        <w:outlineLvl w:val="0"/>
        <w:rPr>
          <w:rFonts w:ascii="Times New Roman" w:hAnsi="Times New Roman"/>
          <w:b/>
          <w:noProof/>
          <w:sz w:val="20"/>
          <w:szCs w:val="20"/>
          <w:lang w:val="ms-MY"/>
        </w:rPr>
      </w:pPr>
      <w:r w:rsidRPr="00990090">
        <w:rPr>
          <w:rFonts w:ascii="Times New Roman" w:hAnsi="Times New Roman"/>
          <w:b/>
          <w:noProof/>
          <w:sz w:val="20"/>
          <w:szCs w:val="20"/>
          <w:lang w:val="ms-MY"/>
        </w:rPr>
        <w:t>Abstrak</w:t>
      </w:r>
    </w:p>
    <w:p w:rsidR="00990090" w:rsidRPr="00990090" w:rsidRDefault="00990090" w:rsidP="00990090">
      <w:pPr>
        <w:spacing w:after="0" w:line="240" w:lineRule="auto"/>
        <w:jc w:val="both"/>
        <w:rPr>
          <w:rFonts w:ascii="Times New Roman" w:hAnsi="Times New Roman"/>
          <w:noProof/>
          <w:sz w:val="20"/>
          <w:szCs w:val="20"/>
          <w:lang w:val="ms-MY"/>
        </w:rPr>
      </w:pPr>
      <w:r w:rsidRPr="00990090">
        <w:rPr>
          <w:rFonts w:ascii="Times New Roman" w:hAnsi="Times New Roman"/>
          <w:noProof/>
          <w:sz w:val="20"/>
          <w:szCs w:val="20"/>
          <w:lang w:val="ms-MY"/>
        </w:rPr>
        <w:t>Kajian degradasi fotolitik bagi imazapyr dan imazapic dalam larutan akueus (pH 3, 7 dan 9) dan tanah di bawah cahaya matahari telah dijalankan. Sebanyak 0.1 mL cecair larutan yang mengandungi racun rumpai telah diambil pada hari 0, 1, 2 dan 3 dan terus dianalisis menggunakan kromatografi cecair berprestasi tinggi dengan pengesan ultra-ungu (HPLC-UV) tanpa melalui sebarang proses pembersihan. Tanah yang telah dicampurkan dengan racun rumpai telah disampelkan pada tujuh hari yang berbeza (0, 1, 5, 10, 16, 23 dan 30). Keputusan fotolitik menunjukkan imazapyr dan imazapic lebih cepat terurai di dalam cecair berbanding dengan tanah (&gt;90%). Fotolisis racun rumpai imidazolinon adalah lebih berkesan apabila pH meningkat. Jangka masa separuh hayat untuk imazapyr dan imazapic terurai di permukaan tanah di bawah cahaya matahari masing-masing adalah 126 dan 85.56 hari. Degradasi rendah bagi imazapyr dan imazapic dalam tanah telah menjadi suatu kebimbangan kerana ia boleh menyumbang kepada pengekalan racun rumpai imidazolinon di dalam media ini. Penggunaan racun rumpai ini perlu dirancang dengan sebaiknya bagi mengurangkan risiko untuk racun larut terlesap ke dalam air bawah tanah dan menimbulkan risiko kepada tanaman dan organisma yang bukan sasarannya.</w:t>
      </w:r>
    </w:p>
    <w:p w:rsidR="00990090" w:rsidRPr="00990090" w:rsidRDefault="00990090" w:rsidP="00990090">
      <w:pPr>
        <w:spacing w:after="0" w:line="240" w:lineRule="auto"/>
        <w:jc w:val="both"/>
        <w:outlineLvl w:val="0"/>
        <w:rPr>
          <w:rFonts w:ascii="Times New Roman" w:hAnsi="Times New Roman"/>
          <w:noProof/>
          <w:sz w:val="20"/>
          <w:szCs w:val="20"/>
          <w:lang w:val="ms-MY"/>
        </w:rPr>
      </w:pPr>
    </w:p>
    <w:p w:rsidR="00812DB2" w:rsidRDefault="00990090" w:rsidP="00990090">
      <w:pPr>
        <w:spacing w:after="0" w:line="240" w:lineRule="auto"/>
        <w:jc w:val="both"/>
        <w:outlineLvl w:val="0"/>
        <w:rPr>
          <w:rFonts w:ascii="Times New Roman" w:hAnsi="Times New Roman"/>
          <w:noProof/>
          <w:sz w:val="20"/>
          <w:szCs w:val="20"/>
          <w:lang w:val="ms-MY"/>
        </w:rPr>
      </w:pPr>
      <w:r w:rsidRPr="00990090">
        <w:rPr>
          <w:rFonts w:ascii="Times New Roman" w:hAnsi="Times New Roman"/>
          <w:b/>
          <w:noProof/>
          <w:sz w:val="20"/>
          <w:szCs w:val="20"/>
          <w:lang w:val="ms-MY"/>
        </w:rPr>
        <w:t xml:space="preserve">Kata kunci:  </w:t>
      </w:r>
      <w:r w:rsidRPr="00990090">
        <w:rPr>
          <w:rFonts w:ascii="Times New Roman" w:hAnsi="Times New Roman"/>
          <w:noProof/>
          <w:sz w:val="20"/>
          <w:szCs w:val="20"/>
          <w:lang w:val="ms-MY"/>
        </w:rPr>
        <w:t>fotolisis, imazapyr, imazapic, larutan akueus, tanah</w:t>
      </w:r>
    </w:p>
    <w:p w:rsidR="00990090" w:rsidRDefault="00990090" w:rsidP="00990090">
      <w:pPr>
        <w:spacing w:after="0" w:line="240" w:lineRule="auto"/>
        <w:jc w:val="both"/>
        <w:outlineLvl w:val="0"/>
        <w:rPr>
          <w:rFonts w:ascii="Times New Roman" w:hAnsi="Times New Roman"/>
          <w:noProof/>
          <w:sz w:val="20"/>
          <w:szCs w:val="20"/>
          <w:lang w:val="ms-MY"/>
        </w:rPr>
      </w:pPr>
    </w:p>
    <w:p w:rsidR="00990090" w:rsidRPr="00F447A7" w:rsidRDefault="00990090" w:rsidP="0099009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Ismail, B. S., Sameni, M. and Halimah, M. (2011). Evaluation of herbicide pollution in the Kerian ricefields of Perak. Malaysia. </w:t>
      </w:r>
      <w:r w:rsidRPr="000E69FA">
        <w:rPr>
          <w:rFonts w:ascii="Times New Roman" w:hAnsi="Times New Roman"/>
          <w:i/>
          <w:sz w:val="20"/>
          <w:szCs w:val="20"/>
        </w:rPr>
        <w:t>World Applied Sciences Journal</w:t>
      </w:r>
      <w:r w:rsidRPr="000E69FA">
        <w:rPr>
          <w:rFonts w:ascii="Times New Roman" w:hAnsi="Times New Roman"/>
          <w:sz w:val="20"/>
          <w:szCs w:val="20"/>
        </w:rPr>
        <w:t>, 15(1): 5 – 13.</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Fuad, M. J., Junaidi, A. B., Habibah, A., Hamzah, J., Toriman, M. E., Lyndon, N., Er, A. C., Selvadurai, S. and Azima, A. M. </w:t>
      </w:r>
      <w:r w:rsidRPr="000E69FA">
        <w:rPr>
          <w:rFonts w:ascii="Times New Roman" w:hAnsi="Times New Roman"/>
          <w:noProof/>
          <w:sz w:val="20"/>
          <w:szCs w:val="20"/>
        </w:rPr>
        <w:t xml:space="preserve">(2012). The impact of pesticides on paddy farmers and ecosystem. </w:t>
      </w:r>
      <w:r w:rsidRPr="000E69FA">
        <w:rPr>
          <w:rFonts w:ascii="Times New Roman" w:hAnsi="Times New Roman"/>
          <w:i/>
          <w:iCs/>
          <w:noProof/>
          <w:sz w:val="20"/>
          <w:szCs w:val="20"/>
        </w:rPr>
        <w:t>Advances in Natural and Applied Sciences</w:t>
      </w:r>
      <w:r w:rsidRPr="000E69FA">
        <w:rPr>
          <w:rFonts w:ascii="Times New Roman" w:hAnsi="Times New Roman"/>
          <w:noProof/>
          <w:sz w:val="20"/>
          <w:szCs w:val="20"/>
        </w:rPr>
        <w:t xml:space="preserve">, </w:t>
      </w:r>
      <w:r w:rsidRPr="000E69FA">
        <w:rPr>
          <w:rFonts w:ascii="Times New Roman" w:hAnsi="Times New Roman"/>
          <w:iCs/>
          <w:noProof/>
          <w:sz w:val="20"/>
          <w:szCs w:val="20"/>
        </w:rPr>
        <w:t>6</w:t>
      </w:r>
      <w:r w:rsidRPr="000E69FA">
        <w:rPr>
          <w:rFonts w:ascii="Times New Roman" w:hAnsi="Times New Roman"/>
          <w:noProof/>
          <w:sz w:val="20"/>
          <w:szCs w:val="20"/>
        </w:rPr>
        <w:t>(1): 65 – 70.</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Tiryaki, O. and Temur, C. (2010). The fate of pesticide in the environment. </w:t>
      </w:r>
      <w:r w:rsidRPr="000E69FA">
        <w:rPr>
          <w:rFonts w:ascii="Times New Roman" w:hAnsi="Times New Roman"/>
          <w:i/>
          <w:sz w:val="20"/>
          <w:szCs w:val="20"/>
        </w:rPr>
        <w:t>Journal of Biological &amp; Environmental Sciences</w:t>
      </w:r>
      <w:r w:rsidRPr="000E69FA">
        <w:rPr>
          <w:rFonts w:ascii="Times New Roman" w:hAnsi="Times New Roman"/>
          <w:sz w:val="20"/>
          <w:szCs w:val="20"/>
        </w:rPr>
        <w:t>, 4(10): 29 – 38.</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Azmi, M., Azlan, S., Yim, K. M., George, T. V. and Chew, S. E. (2012). Control of weedy paddy in direct-seeded paddy using the clearfield production system in Malaysia. </w:t>
      </w:r>
      <w:r w:rsidRPr="000E69FA">
        <w:rPr>
          <w:rFonts w:ascii="Times New Roman" w:hAnsi="Times New Roman"/>
          <w:i/>
          <w:sz w:val="20"/>
          <w:szCs w:val="20"/>
        </w:rPr>
        <w:t xml:space="preserve">Pakistan Journal of Weed Sciences Research, </w:t>
      </w:r>
      <w:r w:rsidRPr="000E69FA">
        <w:rPr>
          <w:rFonts w:ascii="Times New Roman" w:hAnsi="Times New Roman"/>
          <w:sz w:val="20"/>
          <w:szCs w:val="20"/>
        </w:rPr>
        <w:t>18: 49 – 53.</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Idris, R. (2012). Dua gen baru dihasilkan MARDI akhiri belenggu padi angin. http://www.bharian.com.my/</w:t>
      </w:r>
      <w:r>
        <w:rPr>
          <w:rFonts w:ascii="Times New Roman" w:hAnsi="Times New Roman"/>
          <w:sz w:val="20"/>
          <w:szCs w:val="20"/>
        </w:rPr>
        <w:t xml:space="preserve"> </w:t>
      </w:r>
      <w:r w:rsidRPr="000E69FA">
        <w:rPr>
          <w:rFonts w:ascii="Times New Roman" w:hAnsi="Times New Roman"/>
          <w:sz w:val="20"/>
          <w:szCs w:val="20"/>
        </w:rPr>
        <w:t>articles/DuagenbarudihasilkanMARDIakhiribeleng</w:t>
      </w:r>
      <w:r>
        <w:rPr>
          <w:rFonts w:ascii="Times New Roman" w:hAnsi="Times New Roman"/>
          <w:sz w:val="20"/>
          <w:szCs w:val="20"/>
        </w:rPr>
        <w:t xml:space="preserve">gupadiangin/Article/print_html. [Access online </w:t>
      </w:r>
      <w:r w:rsidRPr="000E69FA">
        <w:rPr>
          <w:rFonts w:ascii="Times New Roman" w:hAnsi="Times New Roman"/>
          <w:sz w:val="20"/>
          <w:szCs w:val="20"/>
        </w:rPr>
        <w:t>19 December 2012].</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Hidayatul, N., Anusar, S., Mazlan, N., Ahmad, E., Engku, K., Juraimi, A. S. and Yusop, M. R. (2014). Comparative study of vegetation and reproductive growth. </w:t>
      </w:r>
      <w:r w:rsidRPr="000E69FA">
        <w:rPr>
          <w:rFonts w:ascii="Times New Roman" w:hAnsi="Times New Roman"/>
          <w:i/>
          <w:sz w:val="20"/>
          <w:szCs w:val="20"/>
        </w:rPr>
        <w:t>Journal of International Society for Southeast Asian Agricultural Sciences</w:t>
      </w:r>
      <w:r w:rsidRPr="000E69FA">
        <w:rPr>
          <w:rFonts w:ascii="Times New Roman" w:hAnsi="Times New Roman"/>
          <w:sz w:val="20"/>
          <w:szCs w:val="20"/>
        </w:rPr>
        <w:t>, 20(1): 41 – 51.</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Hess, F. G., Harris, J. E., Pendino, K. and Ponnock, K. (2001). Imidazolinone. In: handbook of pesticide toxicology. Academic Press, San Diego: pp. 1641 – 1651.</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Colquhoun, J. (2001). How herbicides work: Uptake, translocation, and mode of action. http://osuext.intermountaintech.org/download/how herbicides work.pdf. [Access online 18 December 2012]. </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Ramezani, M., Oliver, D. P., Kookana, R. S., Gill, G. and Preston, C. (2008). Abiotic degradation (photodegradation and hydrolysis) of imidazolinone herbicides. </w:t>
      </w:r>
      <w:r w:rsidRPr="000E69FA">
        <w:rPr>
          <w:rFonts w:ascii="Times New Roman" w:hAnsi="Times New Roman"/>
          <w:i/>
          <w:sz w:val="20"/>
          <w:szCs w:val="20"/>
        </w:rPr>
        <w:t>Journal of Environmental Science and Health, Part B: Pesticides, Food Contaminants, and Agricultural Wastes</w:t>
      </w:r>
      <w:r w:rsidRPr="000E69FA">
        <w:rPr>
          <w:rFonts w:ascii="Times New Roman" w:hAnsi="Times New Roman"/>
          <w:sz w:val="20"/>
          <w:szCs w:val="20"/>
        </w:rPr>
        <w:t>, 43(2): 105 – 112.</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Tan, S., Evans, R. R., Dahmer, M. L., Singh, B. K. and Shaner, D. L. (2005). Imidazolinone-tolerant crops: History, current status and future. </w:t>
      </w:r>
      <w:r w:rsidRPr="000E69FA">
        <w:rPr>
          <w:rFonts w:ascii="Times New Roman" w:hAnsi="Times New Roman"/>
          <w:i/>
          <w:sz w:val="20"/>
          <w:szCs w:val="20"/>
        </w:rPr>
        <w:t>Pest Management Science</w:t>
      </w:r>
      <w:r w:rsidRPr="000E69FA">
        <w:rPr>
          <w:rFonts w:ascii="Times New Roman" w:hAnsi="Times New Roman"/>
          <w:sz w:val="20"/>
          <w:szCs w:val="20"/>
        </w:rPr>
        <w:t>, 61: 246 – 257.</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Rotterdam Convention (2001). </w:t>
      </w:r>
      <w:r w:rsidRPr="000E69FA">
        <w:rPr>
          <w:rFonts w:ascii="Times New Roman" w:hAnsi="Times New Roman"/>
          <w:iCs/>
          <w:sz w:val="20"/>
          <w:szCs w:val="20"/>
        </w:rPr>
        <w:t>Interim secretariat</w:t>
      </w:r>
      <w:r w:rsidRPr="000E69FA">
        <w:rPr>
          <w:rFonts w:ascii="Times New Roman" w:hAnsi="Times New Roman"/>
          <w:i/>
          <w:iCs/>
          <w:sz w:val="20"/>
          <w:szCs w:val="20"/>
        </w:rPr>
        <w:t xml:space="preserve"> </w:t>
      </w:r>
      <w:r w:rsidRPr="000E69FA">
        <w:rPr>
          <w:rFonts w:ascii="Times New Roman" w:hAnsi="Times New Roman"/>
          <w:sz w:val="20"/>
          <w:szCs w:val="20"/>
        </w:rPr>
        <w:t xml:space="preserve">for rotterdam convention on the prior informed consent procedure for certain hazardous chemicals and pesticides in international trade - </w:t>
      </w:r>
      <w:r w:rsidRPr="000E69FA">
        <w:rPr>
          <w:rFonts w:ascii="Times New Roman" w:hAnsi="Times New Roman"/>
          <w:iCs/>
          <w:sz w:val="20"/>
          <w:szCs w:val="20"/>
        </w:rPr>
        <w:t>PIC CIRCULAR XIV</w:t>
      </w:r>
      <w:r w:rsidRPr="000E69FA">
        <w:rPr>
          <w:rFonts w:ascii="Times New Roman" w:hAnsi="Times New Roman"/>
          <w:sz w:val="20"/>
          <w:szCs w:val="20"/>
        </w:rPr>
        <w:t>. http://www.pic.int/Portals/5/en/Circular/CIRC14EN.pdf. [Access online 13 February 2013].</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Carrier, M., Perol, N., Herrmann, J.-M., Bordes, C., Horikoshi, S., Paisse, J. O., Baudot, R. and Guillard, C. (2006). Kinetics and reactional pathway of imazapyr photocatalytic degradation influence of ph and metallic ions. </w:t>
      </w:r>
      <w:r w:rsidRPr="000E69FA">
        <w:rPr>
          <w:rFonts w:ascii="Times New Roman" w:hAnsi="Times New Roman"/>
          <w:i/>
          <w:iCs/>
          <w:sz w:val="20"/>
          <w:szCs w:val="20"/>
        </w:rPr>
        <w:t xml:space="preserve">Applied Catalysis B: Environmental, </w:t>
      </w:r>
      <w:r w:rsidRPr="000E69FA">
        <w:rPr>
          <w:rFonts w:ascii="Times New Roman" w:hAnsi="Times New Roman"/>
          <w:sz w:val="20"/>
          <w:szCs w:val="20"/>
        </w:rPr>
        <w:t xml:space="preserve">65: 11 – 20. </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Bundt, A. C., Avila, L. A., Pivetta, A., Agostinetto, D., Dick, D. P. and Burauel, P. (2015). Imidazolinone degradation in soil in response to application history. </w:t>
      </w:r>
      <w:r w:rsidRPr="000E69FA">
        <w:rPr>
          <w:rFonts w:ascii="Times New Roman" w:hAnsi="Times New Roman"/>
          <w:i/>
          <w:sz w:val="20"/>
          <w:szCs w:val="20"/>
        </w:rPr>
        <w:t xml:space="preserve">Planta Daninha, </w:t>
      </w:r>
      <w:r w:rsidRPr="000E69FA">
        <w:rPr>
          <w:rFonts w:ascii="Times New Roman" w:hAnsi="Times New Roman"/>
          <w:sz w:val="20"/>
          <w:szCs w:val="20"/>
        </w:rPr>
        <w:t>33(2): 341 – 349.</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lang w:val="es-ES"/>
        </w:rPr>
        <w:t xml:space="preserve">Souza, M. F., Neto, M. D. C., Marinho, M. I., Saraiva, D. T., Faria, A. T., Silva, A. A. and Silva, D. V. (2016). </w:t>
      </w:r>
      <w:r w:rsidRPr="000E69FA">
        <w:rPr>
          <w:rFonts w:ascii="Times New Roman" w:hAnsi="Times New Roman"/>
          <w:sz w:val="20"/>
          <w:szCs w:val="20"/>
        </w:rPr>
        <w:t xml:space="preserve">Persistence of imidazolinones in soils under a clearfield system of rice cultivation. </w:t>
      </w:r>
      <w:r w:rsidRPr="000E69FA">
        <w:rPr>
          <w:rFonts w:ascii="Times New Roman" w:hAnsi="Times New Roman"/>
          <w:i/>
          <w:sz w:val="20"/>
          <w:szCs w:val="20"/>
        </w:rPr>
        <w:t xml:space="preserve">Planta Daninha, </w:t>
      </w:r>
      <w:r w:rsidRPr="000E69FA">
        <w:rPr>
          <w:rFonts w:ascii="Times New Roman" w:hAnsi="Times New Roman"/>
          <w:sz w:val="20"/>
          <w:szCs w:val="20"/>
        </w:rPr>
        <w:t>34(3): 589 – 596.</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Börjesson, E., Torstensson, L. and Stenström, J. (2004). The fate of imazapyr in a Swedish railway embankment. </w:t>
      </w:r>
      <w:r w:rsidRPr="000E69FA">
        <w:rPr>
          <w:rFonts w:ascii="Times New Roman" w:hAnsi="Times New Roman"/>
          <w:i/>
          <w:iCs/>
          <w:sz w:val="20"/>
          <w:szCs w:val="20"/>
        </w:rPr>
        <w:t xml:space="preserve">Pest Management Science, </w:t>
      </w:r>
      <w:r w:rsidRPr="000E69FA">
        <w:rPr>
          <w:rFonts w:ascii="Times New Roman" w:hAnsi="Times New Roman"/>
          <w:sz w:val="20"/>
          <w:szCs w:val="20"/>
        </w:rPr>
        <w:t xml:space="preserve">60 (6): 544 – 549. </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lang w:val="es-ES"/>
        </w:rPr>
        <w:t xml:space="preserve">Moraes, B. S., Clasen, B., Loro, V. L., Pretto, A., Toni, C., Antonio de Avila, L., Marchesan, E., Luiz de Oliveira Machado, S., Zanella, R. and Reimche, G. B. (2011). </w:t>
      </w:r>
      <w:r w:rsidRPr="000E69FA">
        <w:rPr>
          <w:rFonts w:ascii="Times New Roman" w:hAnsi="Times New Roman"/>
          <w:sz w:val="20"/>
          <w:szCs w:val="20"/>
        </w:rPr>
        <w:t xml:space="preserve">Toxicological response of </w:t>
      </w:r>
      <w:r w:rsidRPr="000E69FA">
        <w:rPr>
          <w:rFonts w:ascii="Times New Roman" w:hAnsi="Times New Roman"/>
          <w:i/>
          <w:iCs/>
          <w:sz w:val="20"/>
          <w:szCs w:val="20"/>
        </w:rPr>
        <w:t xml:space="preserve">Cyprinus Carpio </w:t>
      </w:r>
      <w:r w:rsidRPr="000E69FA">
        <w:rPr>
          <w:rFonts w:ascii="Times New Roman" w:hAnsi="Times New Roman"/>
          <w:sz w:val="20"/>
          <w:szCs w:val="20"/>
        </w:rPr>
        <w:t xml:space="preserve">after exposure to a commercial herbicide containing imazethapyr and imazapic. </w:t>
      </w:r>
      <w:r w:rsidRPr="000E69FA">
        <w:rPr>
          <w:rFonts w:ascii="Times New Roman" w:hAnsi="Times New Roman"/>
          <w:i/>
          <w:iCs/>
          <w:sz w:val="20"/>
          <w:szCs w:val="20"/>
        </w:rPr>
        <w:t xml:space="preserve">Ecotoxicology and Environmental Safety, </w:t>
      </w:r>
      <w:r w:rsidRPr="000E69FA">
        <w:rPr>
          <w:rFonts w:ascii="Times New Roman" w:hAnsi="Times New Roman"/>
          <w:sz w:val="20"/>
          <w:szCs w:val="20"/>
        </w:rPr>
        <w:t xml:space="preserve">74: 328 – 335. </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Golombieski, J. I., Sutili, F. J., Salbego, J., Seben, D., Gressler, L. T., da Cunha, J. A., Gressler, L. T., Zanella, R., Vaucher, R. A., Marchesan, E. and Baldisserotto, B. (2016). Imazapyr+imazapic herbicide determines acute toxicity in silver catfish </w:t>
      </w:r>
      <w:r w:rsidRPr="000E69FA">
        <w:rPr>
          <w:rFonts w:ascii="Times New Roman" w:hAnsi="Times New Roman"/>
          <w:i/>
          <w:sz w:val="20"/>
          <w:szCs w:val="20"/>
        </w:rPr>
        <w:t>Rhamdia quelen</w:t>
      </w:r>
      <w:r w:rsidRPr="000E69FA">
        <w:rPr>
          <w:rFonts w:ascii="Times New Roman" w:hAnsi="Times New Roman"/>
          <w:sz w:val="20"/>
          <w:szCs w:val="20"/>
        </w:rPr>
        <w:t xml:space="preserve">. </w:t>
      </w:r>
      <w:r w:rsidRPr="000E69FA">
        <w:rPr>
          <w:rFonts w:ascii="Times New Roman" w:hAnsi="Times New Roman"/>
          <w:i/>
          <w:sz w:val="20"/>
          <w:szCs w:val="20"/>
        </w:rPr>
        <w:t>Ecotoxicology and Environmental Safety</w:t>
      </w:r>
      <w:r w:rsidRPr="000E69FA">
        <w:rPr>
          <w:rFonts w:ascii="Times New Roman" w:hAnsi="Times New Roman"/>
          <w:sz w:val="20"/>
          <w:szCs w:val="20"/>
        </w:rPr>
        <w:t>, 128 (2016): 91 – 99.</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United States Environmental Protection Agency (2008). Fate, transport and transformation test guidelines. EPA 712-C-08-012; Prevention, pesticides and toxic substances (7101). OPPTS 835.2120 hydrolysis. </w:t>
      </w:r>
      <w:r w:rsidRPr="000E69FA">
        <w:rPr>
          <w:rFonts w:ascii="Times New Roman" w:hAnsi="Times New Roman"/>
          <w:noProof/>
          <w:sz w:val="20"/>
          <w:szCs w:val="20"/>
        </w:rPr>
        <w:t>https://www.regulations.gov/document?D=EPA-HQ-OPPT-2009-0152-0009. [Access online 1 January 2014].</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United States Environmental Protection Agency (1998). Fate, transport and transformation test guidelines. EPA 712-C-98-060; Prevention, pesticides and toxic substances (7101). OPPTS 835.2210 Direct photolysis rate in water by sunlight. https://www.regulations.gov/document?D=EPA-HQ-OPPT-2009-0152-0011. </w:t>
      </w:r>
      <w:r w:rsidRPr="000E69FA">
        <w:rPr>
          <w:rFonts w:ascii="Times New Roman" w:hAnsi="Times New Roman"/>
          <w:noProof/>
          <w:sz w:val="20"/>
          <w:szCs w:val="20"/>
        </w:rPr>
        <w:t>[Access online 1 January 2014].</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Shaifuddin, S. N. M., Hussain, H. and Hassan, H. F. (2016). Optimization of extraction and detection method for imazapyr and imazapic residues in water, soil and fish tissue samples using high performance liquid chromatography. </w:t>
      </w:r>
      <w:r w:rsidRPr="000E69FA">
        <w:rPr>
          <w:rFonts w:ascii="Times New Roman" w:hAnsi="Times New Roman"/>
          <w:i/>
          <w:sz w:val="20"/>
          <w:szCs w:val="20"/>
        </w:rPr>
        <w:t>Jurnal Teknologi,</w:t>
      </w:r>
      <w:r w:rsidRPr="000E69FA">
        <w:rPr>
          <w:rFonts w:ascii="Times New Roman" w:hAnsi="Times New Roman"/>
          <w:sz w:val="20"/>
          <w:szCs w:val="20"/>
        </w:rPr>
        <w:t xml:space="preserve"> 78(6-7): 43 – 48.</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United States Environmental Protection Agency (USEPA). (2008). Fate, transport and transformation test guidelines. EPA 712-C-08-015; Prevention, pesticides and toxic substances (7101). OPPTS 835.2410 photodegradation on soil. https://www.regulations.gov/document?D=EPA-HQ-OPPT-2009-0152-0015. </w:t>
      </w:r>
      <w:r w:rsidRPr="000E69FA">
        <w:rPr>
          <w:rFonts w:ascii="Times New Roman" w:hAnsi="Times New Roman"/>
          <w:noProof/>
          <w:sz w:val="20"/>
          <w:szCs w:val="20"/>
        </w:rPr>
        <w:t>[Access online 1 January 2014].</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Abdullah, A. H., Peng, W. T. and Hussein, M. Z. (2016). Degradation of methylene blue dye by CuO-BiVO</w:t>
      </w:r>
      <w:r w:rsidRPr="000E69FA">
        <w:rPr>
          <w:rFonts w:ascii="Times New Roman" w:hAnsi="Times New Roman"/>
          <w:sz w:val="20"/>
          <w:szCs w:val="20"/>
          <w:vertAlign w:val="subscript"/>
        </w:rPr>
        <w:t>4</w:t>
      </w:r>
      <w:r w:rsidRPr="000E69FA">
        <w:rPr>
          <w:rFonts w:ascii="Times New Roman" w:hAnsi="Times New Roman"/>
          <w:sz w:val="20"/>
          <w:szCs w:val="20"/>
        </w:rPr>
        <w:t xml:space="preserve"> photocatalysts under visible light irradation. </w:t>
      </w:r>
      <w:r w:rsidRPr="000E69FA">
        <w:rPr>
          <w:rFonts w:ascii="Times New Roman" w:hAnsi="Times New Roman"/>
          <w:i/>
          <w:sz w:val="20"/>
          <w:szCs w:val="20"/>
        </w:rPr>
        <w:t>Malaysian Journal of Analytical Sciences</w:t>
      </w:r>
      <w:r w:rsidRPr="000E69FA">
        <w:rPr>
          <w:rFonts w:ascii="Times New Roman" w:hAnsi="Times New Roman"/>
          <w:sz w:val="20"/>
          <w:szCs w:val="20"/>
        </w:rPr>
        <w:t>, 20(6): 1338 – 1345.</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Harir, M., Gaspar, A., Frommberger, M., Lucio, M., El Azzouzi, M., Martens, D., Kettrup, A. and Schmitt-Kopplin, P. (2007). Photolysis pathway of imazapic in aqueous solution: Ultrahigh resolution mass spectrometry analysis on intermediates. </w:t>
      </w:r>
      <w:r w:rsidRPr="000E69FA">
        <w:rPr>
          <w:rFonts w:ascii="Times New Roman" w:hAnsi="Times New Roman"/>
          <w:i/>
          <w:sz w:val="20"/>
          <w:szCs w:val="20"/>
        </w:rPr>
        <w:t xml:space="preserve">Journal of Agricultural and Food Chemistry, </w:t>
      </w:r>
      <w:r w:rsidRPr="000E69FA">
        <w:rPr>
          <w:rFonts w:ascii="Times New Roman" w:hAnsi="Times New Roman"/>
          <w:sz w:val="20"/>
          <w:szCs w:val="20"/>
        </w:rPr>
        <w:t>55(24): 9936 – 9943.</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Pandiselvi, V., Sathiyanarayanan, S., Ayyappan, S. and Ramesh, A. (2012). Investigations on the photolysis of imazethapyr in aqueous solutions under direct sunlight by HPLC UV and LC-MS/MS-ESI – application of green alga as a potential biomarker. </w:t>
      </w:r>
      <w:r w:rsidRPr="000E69FA">
        <w:rPr>
          <w:rFonts w:ascii="Times New Roman" w:hAnsi="Times New Roman"/>
          <w:i/>
          <w:sz w:val="20"/>
          <w:szCs w:val="20"/>
        </w:rPr>
        <w:t>International Journal of Chemistry Research</w:t>
      </w:r>
      <w:r w:rsidRPr="000E69FA">
        <w:rPr>
          <w:rFonts w:ascii="Times New Roman" w:hAnsi="Times New Roman"/>
          <w:sz w:val="20"/>
          <w:szCs w:val="20"/>
        </w:rPr>
        <w:t>, 3(1): 45 – 51.</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Mallipudi, N. M., Stout, S. J., da Cunha, A. R. and Lee, A. (1991). Photolysis of imazapyr (AC 243997) herbicide in aqueous media. </w:t>
      </w:r>
      <w:r w:rsidRPr="000E69FA">
        <w:rPr>
          <w:rFonts w:ascii="Times New Roman" w:hAnsi="Times New Roman"/>
          <w:i/>
          <w:sz w:val="20"/>
          <w:szCs w:val="20"/>
        </w:rPr>
        <w:t>Journal of Agricultural and Food Chemistry</w:t>
      </w:r>
      <w:r w:rsidRPr="000E69FA">
        <w:rPr>
          <w:rFonts w:ascii="Times New Roman" w:hAnsi="Times New Roman"/>
          <w:sz w:val="20"/>
          <w:szCs w:val="20"/>
        </w:rPr>
        <w:t>, 39(2): 412 – 417.</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Espy, R., Pelton, E., Opseth, A., Kasprisin, J. and Nienow, A. M. (2011). Photodegradation of the herbicide imazethapyr in aqueous solution: Effects of wavelength, pH, and natural organic matter (NOM) and analysis of photoproducts. </w:t>
      </w:r>
      <w:r w:rsidRPr="000E69FA">
        <w:rPr>
          <w:rFonts w:ascii="Times New Roman" w:hAnsi="Times New Roman"/>
          <w:i/>
          <w:sz w:val="20"/>
          <w:szCs w:val="20"/>
        </w:rPr>
        <w:t>Journal of Agricultural and Food Chemistry</w:t>
      </w:r>
      <w:r w:rsidRPr="000E69FA">
        <w:rPr>
          <w:rFonts w:ascii="Times New Roman" w:hAnsi="Times New Roman"/>
          <w:sz w:val="20"/>
          <w:szCs w:val="20"/>
        </w:rPr>
        <w:t>, 59: 7277 – 7285.</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Curran, W. S., Loux, M. M., Liebl, R. A. and Simmons, F. W. (1992). Photolysis of imidazolinone herbicides in aqueous solution and on soil. </w:t>
      </w:r>
      <w:r w:rsidRPr="000E69FA">
        <w:rPr>
          <w:rFonts w:ascii="Times New Roman" w:hAnsi="Times New Roman"/>
          <w:i/>
          <w:sz w:val="20"/>
          <w:szCs w:val="20"/>
        </w:rPr>
        <w:t>Weed Science,</w:t>
      </w:r>
      <w:r w:rsidRPr="000E69FA">
        <w:rPr>
          <w:rFonts w:ascii="Times New Roman" w:hAnsi="Times New Roman"/>
          <w:sz w:val="20"/>
          <w:szCs w:val="20"/>
        </w:rPr>
        <w:t xml:space="preserve"> 40: 143 – 148.</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Shaifuddin, S. N. M., Hussain, H., Hassan, H. F., Dom, N. C. and Rashid, R. I. M. (2016). Adsorption and desorption of imazapyr and imazapic in soils. http://learningdistance.org/rcstss2016/public/site/</w:t>
      </w:r>
      <w:r>
        <w:rPr>
          <w:rFonts w:ascii="Times New Roman" w:hAnsi="Times New Roman"/>
          <w:sz w:val="20"/>
          <w:szCs w:val="20"/>
        </w:rPr>
        <w:t xml:space="preserve"> </w:t>
      </w:r>
      <w:r w:rsidRPr="000E69FA">
        <w:rPr>
          <w:rFonts w:ascii="Times New Roman" w:hAnsi="Times New Roman"/>
          <w:sz w:val="20"/>
          <w:szCs w:val="20"/>
        </w:rPr>
        <w:t>rcstss2016_abstracts_ST_final_secured.pdf. [Access online 2 January 2017].</w:t>
      </w:r>
    </w:p>
    <w:p w:rsidR="00990090" w:rsidRPr="000E69FA" w:rsidRDefault="00990090" w:rsidP="00990090">
      <w:pPr>
        <w:pStyle w:val="ListParagraph"/>
        <w:numPr>
          <w:ilvl w:val="0"/>
          <w:numId w:val="1"/>
        </w:numPr>
        <w:spacing w:after="0" w:line="240" w:lineRule="auto"/>
        <w:ind w:left="360"/>
        <w:contextualSpacing w:val="0"/>
        <w:jc w:val="both"/>
        <w:rPr>
          <w:rFonts w:ascii="Times New Roman" w:hAnsi="Times New Roman"/>
          <w:sz w:val="20"/>
          <w:szCs w:val="20"/>
        </w:rPr>
      </w:pPr>
      <w:r w:rsidRPr="000E69FA">
        <w:rPr>
          <w:rFonts w:ascii="Times New Roman" w:hAnsi="Times New Roman"/>
          <w:sz w:val="20"/>
          <w:szCs w:val="20"/>
        </w:rPr>
        <w:t xml:space="preserve">Mazlan, A. Z., Hussain, H. and Zawawi, M. A. M. (2016). Assessment of imazapic presence in surface water and groundwater in paddy field area. </w:t>
      </w:r>
      <w:r w:rsidRPr="000E69FA">
        <w:rPr>
          <w:rFonts w:ascii="Times New Roman" w:hAnsi="Times New Roman"/>
          <w:i/>
          <w:sz w:val="20"/>
          <w:szCs w:val="20"/>
        </w:rPr>
        <w:t>Jurnal Teknologi,</w:t>
      </w:r>
      <w:r w:rsidRPr="000E69FA">
        <w:rPr>
          <w:rFonts w:ascii="Times New Roman" w:hAnsi="Times New Roman"/>
          <w:sz w:val="20"/>
          <w:szCs w:val="20"/>
        </w:rPr>
        <w:t xml:space="preserve"> 78(5-5): 33 – 37.</w:t>
      </w:r>
    </w:p>
    <w:p w:rsidR="00990090" w:rsidRPr="00990090" w:rsidRDefault="00990090" w:rsidP="00990090">
      <w:pPr>
        <w:spacing w:after="0" w:line="240" w:lineRule="auto"/>
        <w:jc w:val="both"/>
        <w:outlineLvl w:val="0"/>
        <w:rPr>
          <w:rFonts w:ascii="Times New Roman" w:hAnsi="Times New Roman"/>
          <w:b/>
          <w:noProof/>
          <w:sz w:val="20"/>
          <w:szCs w:val="20"/>
          <w:lang w:val="ms-MY"/>
        </w:rPr>
      </w:pPr>
    </w:p>
    <w:sectPr w:rsidR="00990090" w:rsidRPr="00990090" w:rsidSect="00990090">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E61CF5"/>
    <w:multiLevelType w:val="hybridMultilevel"/>
    <w:tmpl w:val="22E076C8"/>
    <w:lvl w:ilvl="0" w:tplc="7734AB4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090"/>
    <w:rsid w:val="00812DB2"/>
    <w:rsid w:val="008A6A7A"/>
    <w:rsid w:val="00990090"/>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09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0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09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0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1554</Words>
  <Characters>8754</Characters>
  <Application>Microsoft Office Word</Application>
  <DocSecurity>0</DocSecurity>
  <Lines>168</Lines>
  <Paragraphs>90</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Malaysian Journal of Analytical Sciences Vol 21 No 5 (2017): 1074 - 1079</vt:lpstr>
      <vt:lpstr/>
      <vt:lpstr/>
      <vt:lpstr/>
      <vt:lpstr>DEGRADATION OF IMAZAPYR AND IMAZAPIC IN AQUEOUS SOLUTIONS AND SOIL UNDER DIRECT </vt:lpstr>
      <vt:lpstr/>
      <vt:lpstr>(Degradasi Imazapyr dan Imazapic dalam Larutan Akueus dan Tanah di bawah Cahaya </vt:lpstr>
      <vt:lpstr/>
      <vt:lpstr>Siti Norashikin Mohamad Shaifuddin1, Hazilia Hussain1*, Hamzah Fansuri Hassan2, </vt:lpstr>
      <vt:lpstr>Razi Ikhwan Md Rashid1</vt:lpstr>
      <vt:lpstr>1Department of Environmental Health and Safety, Faculty of Health Sciences</vt:lpstr>
      <vt:lpstr>2Department of Basic Sciences, Faculty of Health Sciences</vt:lpstr>
      <vt:lpstr>Universiti Teknologi MARA, 42300 UiTM Puncak Alam, Selangor, Malaysia</vt:lpstr>
      <vt:lpstr/>
      <vt:lpstr>Keywords:  photolysis, imazapyr, imazapic, aqueous solutions, soil</vt:lpstr>
      <vt:lpstr/>
      <vt:lpstr>Abstrak</vt:lpstr>
      <vt:lpstr/>
      <vt:lpstr>Kata kunci:  fotolisis, imazapyr, imazapic, larutan akueus, tanah</vt:lpstr>
      <vt:lpstr/>
      <vt:lpstr/>
    </vt:vector>
  </TitlesOfParts>
  <Company/>
  <LinksUpToDate>false</LinksUpToDate>
  <CharactersWithSpaces>10218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2017-09-18T14:57:00Z</dcterms:created>
  <dcterms:modified xsi:type="dcterms:W3CDTF">2017-10-22T08:36:00Z</dcterms:modified>
</cp:coreProperties>
</file>