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E87608" w:rsidRPr="00861C06" w:rsidRDefault="00E87608" w:rsidP="00E87608">
      <w:pPr>
        <w:spacing w:after="0" w:line="240" w:lineRule="auto"/>
        <w:jc w:val="center"/>
        <w:outlineLvl w:val="0"/>
        <w:rPr>
          <w:rFonts w:ascii="Times New Roman" w:hAnsi="Times New Roman"/>
          <w:sz w:val="28"/>
          <w:lang w:val="en-GB"/>
        </w:rPr>
      </w:pPr>
      <w:r w:rsidRPr="00861C06">
        <w:rPr>
          <w:rFonts w:ascii="Times New Roman" w:hAnsi="Times New Roman"/>
          <w:sz w:val="28"/>
        </w:rPr>
        <w:t>PHOTOSTABILITY OF</w:t>
      </w:r>
      <w:r>
        <w:rPr>
          <w:rFonts w:ascii="Times New Roman" w:hAnsi="Times New Roman"/>
          <w:sz w:val="28"/>
        </w:rPr>
        <w:t xml:space="preserve"> PLASTICIZED POLYVINYL CHLORIDE </w:t>
      </w:r>
      <w:r w:rsidRPr="00861C06">
        <w:rPr>
          <w:rFonts w:ascii="Times New Roman" w:hAnsi="Times New Roman"/>
          <w:sz w:val="28"/>
        </w:rPr>
        <w:t>MEMBRANES:</w:t>
      </w:r>
      <w:r>
        <w:rPr>
          <w:rFonts w:ascii="Times New Roman" w:hAnsi="Times New Roman"/>
          <w:sz w:val="28"/>
        </w:rPr>
        <w:t xml:space="preserve"> </w:t>
      </w:r>
      <w:r w:rsidRPr="00861C06">
        <w:rPr>
          <w:rFonts w:ascii="Times New Roman" w:hAnsi="Times New Roman"/>
          <w:sz w:val="28"/>
        </w:rPr>
        <w:t>A THEORETICAL STUDY</w:t>
      </w:r>
    </w:p>
    <w:p w:rsidR="00E87608" w:rsidRPr="00E87608" w:rsidRDefault="00E87608" w:rsidP="00E87608">
      <w:pPr>
        <w:spacing w:after="0" w:line="240" w:lineRule="auto"/>
        <w:jc w:val="center"/>
        <w:outlineLvl w:val="0"/>
        <w:rPr>
          <w:rFonts w:ascii="Times New Roman" w:hAnsi="Times New Roman"/>
          <w:b/>
          <w:color w:val="548DD4" w:themeColor="text2" w:themeTint="99"/>
          <w:sz w:val="24"/>
          <w:szCs w:val="24"/>
        </w:rPr>
      </w:pPr>
    </w:p>
    <w:p w:rsidR="00E87608" w:rsidRPr="00C3368E" w:rsidRDefault="00E87608" w:rsidP="00E87608">
      <w:pPr>
        <w:spacing w:after="0" w:line="240" w:lineRule="auto"/>
        <w:jc w:val="center"/>
        <w:outlineLvl w:val="0"/>
        <w:rPr>
          <w:rFonts w:ascii="Times New Roman" w:hAnsi="Times New Roman"/>
          <w:bCs/>
          <w:noProof/>
          <w:sz w:val="24"/>
          <w:szCs w:val="24"/>
          <w:lang w:val="es-ES"/>
        </w:rPr>
      </w:pPr>
      <w:r w:rsidRPr="00C3368E">
        <w:rPr>
          <w:rFonts w:ascii="Times New Roman" w:hAnsi="Times New Roman"/>
          <w:bCs/>
          <w:noProof/>
          <w:sz w:val="24"/>
          <w:szCs w:val="24"/>
          <w:lang w:val="es-ES"/>
        </w:rPr>
        <w:t xml:space="preserve">(Kestabilan </w:t>
      </w:r>
      <w:r>
        <w:rPr>
          <w:rFonts w:ascii="Times New Roman" w:hAnsi="Times New Roman"/>
          <w:bCs/>
          <w:noProof/>
          <w:sz w:val="24"/>
          <w:szCs w:val="24"/>
          <w:lang w:val="es-ES"/>
        </w:rPr>
        <w:t>F</w:t>
      </w:r>
      <w:r w:rsidRPr="00C3368E">
        <w:rPr>
          <w:rFonts w:ascii="Times New Roman" w:hAnsi="Times New Roman"/>
          <w:bCs/>
          <w:noProof/>
          <w:sz w:val="24"/>
          <w:szCs w:val="24"/>
          <w:lang w:val="es-ES"/>
        </w:rPr>
        <w:t xml:space="preserve">oto bagi Membran </w:t>
      </w:r>
      <w:r>
        <w:rPr>
          <w:rFonts w:ascii="Times New Roman" w:hAnsi="Times New Roman"/>
          <w:bCs/>
          <w:noProof/>
          <w:sz w:val="24"/>
          <w:szCs w:val="24"/>
          <w:lang w:val="es-ES"/>
        </w:rPr>
        <w:t xml:space="preserve">Plastik </w:t>
      </w:r>
      <w:r w:rsidRPr="00C3368E">
        <w:rPr>
          <w:rFonts w:ascii="Times New Roman" w:hAnsi="Times New Roman"/>
          <w:bCs/>
          <w:noProof/>
          <w:sz w:val="24"/>
          <w:szCs w:val="24"/>
          <w:lang w:val="es-ES"/>
        </w:rPr>
        <w:t>Polivinil Klorida: Satu Kajian Teori)</w:t>
      </w:r>
    </w:p>
    <w:p w:rsidR="00E87608" w:rsidRPr="00E87608" w:rsidRDefault="00E87608" w:rsidP="00E87608">
      <w:pPr>
        <w:spacing w:after="0" w:line="240" w:lineRule="auto"/>
        <w:jc w:val="center"/>
        <w:outlineLvl w:val="0"/>
        <w:rPr>
          <w:rFonts w:ascii="Times New Roman" w:hAnsi="Times New Roman"/>
          <w:b/>
          <w:color w:val="548DD4" w:themeColor="text2" w:themeTint="99"/>
          <w:sz w:val="20"/>
          <w:szCs w:val="20"/>
          <w:lang w:val="es-ES"/>
        </w:rPr>
      </w:pPr>
    </w:p>
    <w:p w:rsidR="00E87608" w:rsidRPr="00E87608" w:rsidRDefault="00E87608" w:rsidP="00E87608">
      <w:pPr>
        <w:spacing w:after="0" w:line="240" w:lineRule="auto"/>
        <w:jc w:val="center"/>
        <w:rPr>
          <w:rFonts w:ascii="Times New Roman" w:hAnsi="Times New Roman"/>
          <w:sz w:val="20"/>
          <w:szCs w:val="20"/>
          <w:vertAlign w:val="superscript"/>
        </w:rPr>
      </w:pPr>
      <w:r w:rsidRPr="00E87608">
        <w:rPr>
          <w:rFonts w:ascii="Times New Roman" w:hAnsi="Times New Roman"/>
          <w:sz w:val="20"/>
          <w:szCs w:val="20"/>
        </w:rPr>
        <w:t>Oksana Fizer</w:t>
      </w:r>
      <w:r w:rsidRPr="00E87608">
        <w:rPr>
          <w:rFonts w:ascii="Times New Roman" w:hAnsi="Times New Roman"/>
          <w:sz w:val="20"/>
          <w:szCs w:val="20"/>
          <w:vertAlign w:val="superscript"/>
        </w:rPr>
        <w:t>1</w:t>
      </w:r>
      <w:r w:rsidRPr="00E87608">
        <w:rPr>
          <w:rFonts w:ascii="Times New Roman" w:hAnsi="Times New Roman"/>
          <w:sz w:val="20"/>
          <w:szCs w:val="20"/>
        </w:rPr>
        <w:t>, Maksym Fizer</w:t>
      </w:r>
      <w:r w:rsidRPr="00E87608">
        <w:rPr>
          <w:rFonts w:ascii="Times New Roman" w:hAnsi="Times New Roman"/>
          <w:sz w:val="20"/>
          <w:szCs w:val="20"/>
          <w:vertAlign w:val="superscript"/>
        </w:rPr>
        <w:t>2</w:t>
      </w:r>
      <w:r w:rsidRPr="00E87608">
        <w:rPr>
          <w:rFonts w:ascii="Times New Roman" w:hAnsi="Times New Roman"/>
          <w:sz w:val="20"/>
          <w:szCs w:val="20"/>
        </w:rPr>
        <w:t>*, Yaroslav Studenyak</w:t>
      </w:r>
      <w:r w:rsidRPr="00E87608">
        <w:rPr>
          <w:rFonts w:ascii="Times New Roman" w:hAnsi="Times New Roman"/>
          <w:sz w:val="20"/>
          <w:szCs w:val="20"/>
          <w:vertAlign w:val="superscript"/>
        </w:rPr>
        <w:t>1</w:t>
      </w:r>
    </w:p>
    <w:p w:rsidR="00AC0033" w:rsidRPr="00F447A7" w:rsidRDefault="00AC0033" w:rsidP="00AC0033">
      <w:pPr>
        <w:spacing w:after="0" w:line="240" w:lineRule="auto"/>
        <w:jc w:val="center"/>
        <w:rPr>
          <w:rFonts w:ascii="Times New Roman" w:hAnsi="Times New Roman"/>
          <w:noProof/>
          <w:sz w:val="18"/>
          <w:szCs w:val="18"/>
          <w:lang w:bidi="ar-SA"/>
        </w:rPr>
      </w:pPr>
    </w:p>
    <w:p w:rsidR="00E87608" w:rsidRDefault="00E87608" w:rsidP="00E87608">
      <w:pPr>
        <w:spacing w:after="0" w:line="240" w:lineRule="auto"/>
        <w:jc w:val="center"/>
        <w:rPr>
          <w:rFonts w:ascii="Times New Roman" w:hAnsi="Times New Roman"/>
          <w:i/>
          <w:sz w:val="18"/>
          <w:szCs w:val="18"/>
        </w:rPr>
      </w:pPr>
      <w:r w:rsidRPr="00A740B0">
        <w:rPr>
          <w:rFonts w:ascii="Times New Roman" w:hAnsi="Times New Roman"/>
          <w:i/>
          <w:sz w:val="18"/>
          <w:szCs w:val="18"/>
          <w:vertAlign w:val="superscript"/>
        </w:rPr>
        <w:t>1</w:t>
      </w:r>
      <w:r w:rsidRPr="00A740B0">
        <w:rPr>
          <w:rFonts w:ascii="Times New Roman" w:hAnsi="Times New Roman"/>
          <w:i/>
          <w:sz w:val="18"/>
          <w:szCs w:val="18"/>
        </w:rPr>
        <w:t>Dep</w:t>
      </w:r>
      <w:r>
        <w:rPr>
          <w:rFonts w:ascii="Times New Roman" w:hAnsi="Times New Roman"/>
          <w:i/>
          <w:sz w:val="18"/>
          <w:szCs w:val="18"/>
        </w:rPr>
        <w:t>artment of Analytical Chemistry</w:t>
      </w:r>
      <w:r w:rsidRPr="00A740B0">
        <w:rPr>
          <w:rFonts w:ascii="Times New Roman" w:hAnsi="Times New Roman"/>
          <w:i/>
          <w:sz w:val="18"/>
          <w:szCs w:val="18"/>
        </w:rPr>
        <w:t xml:space="preserve"> </w:t>
      </w:r>
    </w:p>
    <w:p w:rsidR="0047426C" w:rsidRDefault="00E87608" w:rsidP="00E87608">
      <w:pPr>
        <w:spacing w:after="0" w:line="240" w:lineRule="auto"/>
        <w:jc w:val="center"/>
        <w:rPr>
          <w:rFonts w:ascii="Times New Roman" w:hAnsi="Times New Roman"/>
          <w:i/>
          <w:sz w:val="18"/>
          <w:szCs w:val="18"/>
        </w:rPr>
      </w:pPr>
      <w:r w:rsidRPr="00A740B0">
        <w:rPr>
          <w:rFonts w:ascii="Times New Roman" w:hAnsi="Times New Roman"/>
          <w:i/>
          <w:sz w:val="18"/>
          <w:szCs w:val="18"/>
          <w:vertAlign w:val="superscript"/>
        </w:rPr>
        <w:t>2</w:t>
      </w:r>
      <w:r w:rsidRPr="00A740B0">
        <w:rPr>
          <w:rFonts w:ascii="Times New Roman" w:hAnsi="Times New Roman"/>
          <w:i/>
          <w:sz w:val="18"/>
          <w:szCs w:val="18"/>
        </w:rPr>
        <w:t>Department of Orga</w:t>
      </w:r>
      <w:r w:rsidR="0047426C">
        <w:rPr>
          <w:rFonts w:ascii="Times New Roman" w:hAnsi="Times New Roman"/>
          <w:i/>
          <w:sz w:val="18"/>
          <w:szCs w:val="18"/>
        </w:rPr>
        <w:t>nic Chemistry</w:t>
      </w:r>
    </w:p>
    <w:p w:rsidR="00E87608" w:rsidRDefault="00E87608" w:rsidP="00E87608">
      <w:pPr>
        <w:spacing w:after="0" w:line="240" w:lineRule="auto"/>
        <w:jc w:val="center"/>
        <w:rPr>
          <w:rFonts w:ascii="Times New Roman" w:hAnsi="Times New Roman"/>
          <w:i/>
          <w:sz w:val="18"/>
          <w:szCs w:val="18"/>
        </w:rPr>
      </w:pPr>
      <w:r>
        <w:rPr>
          <w:rFonts w:ascii="Times New Roman" w:hAnsi="Times New Roman"/>
          <w:i/>
          <w:sz w:val="18"/>
          <w:szCs w:val="18"/>
        </w:rPr>
        <w:t xml:space="preserve"> Faculty</w:t>
      </w:r>
      <w:r w:rsidR="0047426C">
        <w:rPr>
          <w:rFonts w:ascii="Times New Roman" w:hAnsi="Times New Roman"/>
          <w:i/>
          <w:sz w:val="18"/>
          <w:szCs w:val="18"/>
        </w:rPr>
        <w:t xml:space="preserve"> of Chemistry,</w:t>
      </w:r>
      <w:r w:rsidRPr="00A740B0">
        <w:rPr>
          <w:rFonts w:ascii="Times New Roman" w:hAnsi="Times New Roman"/>
          <w:i/>
          <w:sz w:val="18"/>
          <w:szCs w:val="18"/>
        </w:rPr>
        <w:t xml:space="preserve"> </w:t>
      </w:r>
    </w:p>
    <w:p w:rsidR="00E87608" w:rsidRPr="00A740B0" w:rsidRDefault="00E87608" w:rsidP="00E87608">
      <w:pPr>
        <w:spacing w:after="0" w:line="240" w:lineRule="auto"/>
        <w:jc w:val="center"/>
        <w:rPr>
          <w:rFonts w:ascii="Times New Roman" w:hAnsi="Times New Roman"/>
          <w:i/>
          <w:sz w:val="18"/>
          <w:szCs w:val="18"/>
        </w:rPr>
      </w:pPr>
      <w:r w:rsidRPr="00A740B0">
        <w:rPr>
          <w:rFonts w:ascii="Times New Roman" w:hAnsi="Times New Roman"/>
          <w:i/>
          <w:sz w:val="18"/>
          <w:szCs w:val="18"/>
        </w:rPr>
        <w:t>Uzhhorod National University, 88000</w:t>
      </w:r>
      <w:r>
        <w:rPr>
          <w:rFonts w:ascii="Times New Roman" w:hAnsi="Times New Roman"/>
          <w:i/>
          <w:sz w:val="18"/>
          <w:szCs w:val="18"/>
        </w:rPr>
        <w:t xml:space="preserve"> </w:t>
      </w:r>
      <w:r w:rsidRPr="00A740B0">
        <w:rPr>
          <w:rFonts w:ascii="Times New Roman" w:hAnsi="Times New Roman"/>
          <w:i/>
          <w:sz w:val="18"/>
          <w:szCs w:val="18"/>
        </w:rPr>
        <w:t>Uzhhorod, Ukraine</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E87608">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E87608">
        <w:rPr>
          <w:rFonts w:ascii="Times New Roman" w:hAnsi="Times New Roman"/>
          <w:i/>
          <w:noProof/>
          <w:sz w:val="18"/>
          <w:szCs w:val="18"/>
          <w:lang w:bidi="ar-SA"/>
        </w:rPr>
        <w:t xml:space="preserve"> </w:t>
      </w:r>
      <w:r w:rsidR="00E87608" w:rsidRPr="00A740B0">
        <w:rPr>
          <w:rFonts w:ascii="Times New Roman" w:hAnsi="Times New Roman"/>
          <w:i/>
          <w:sz w:val="18"/>
        </w:rPr>
        <w:t>max.fizer@uzhnu.edu.ua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8547E">
        <w:rPr>
          <w:rFonts w:ascii="Times New Roman" w:hAnsi="Times New Roman"/>
          <w:noProof/>
          <w:sz w:val="18"/>
          <w:szCs w:val="18"/>
          <w:lang w:bidi="ar-SA"/>
        </w:rPr>
        <w:t>7 March 2017</w:t>
      </w:r>
      <w:r>
        <w:rPr>
          <w:rFonts w:ascii="Times New Roman" w:hAnsi="Times New Roman"/>
          <w:noProof/>
          <w:sz w:val="18"/>
          <w:szCs w:val="18"/>
          <w:lang w:bidi="ar-SA"/>
        </w:rPr>
        <w:t xml:space="preserve">; Accepted: </w:t>
      </w:r>
      <w:r w:rsidR="0068547E">
        <w:rPr>
          <w:rFonts w:ascii="Times New Roman" w:hAnsi="Times New Roman"/>
          <w:noProof/>
          <w:sz w:val="18"/>
          <w:szCs w:val="18"/>
          <w:lang w:bidi="ar-SA"/>
        </w:rPr>
        <w:t>26 September 2017</w:t>
      </w: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17358B" w:rsidRPr="00625728" w:rsidRDefault="0017358B" w:rsidP="00AC0033">
      <w:pPr>
        <w:spacing w:after="0" w:line="240" w:lineRule="auto"/>
        <w:jc w:val="center"/>
        <w:rPr>
          <w:rFonts w:ascii="Times New Roman" w:hAnsi="Times New Roman"/>
          <w:b/>
          <w:noProof/>
          <w:sz w:val="18"/>
          <w:szCs w:val="18"/>
          <w:lang w:bidi="ar-SA"/>
        </w:rPr>
      </w:pPr>
      <w:r w:rsidRPr="00625728">
        <w:rPr>
          <w:rFonts w:ascii="Times New Roman" w:hAnsi="Times New Roman"/>
          <w:b/>
          <w:noProof/>
          <w:sz w:val="18"/>
          <w:szCs w:val="18"/>
          <w:lang w:bidi="ar-SA"/>
        </w:rPr>
        <w:t>Abstract</w:t>
      </w:r>
    </w:p>
    <w:p w:rsidR="00E87608" w:rsidRDefault="00625728" w:rsidP="00625728">
      <w:pPr>
        <w:spacing w:after="0" w:line="240" w:lineRule="auto"/>
        <w:jc w:val="both"/>
        <w:outlineLvl w:val="0"/>
        <w:rPr>
          <w:rFonts w:ascii="Times New Roman" w:hAnsi="Times New Roman"/>
          <w:sz w:val="18"/>
          <w:szCs w:val="18"/>
        </w:rPr>
      </w:pPr>
      <w:r w:rsidRPr="008D24A7">
        <w:rPr>
          <w:rFonts w:ascii="Times New Roman" w:hAnsi="Times New Roman"/>
          <w:sz w:val="18"/>
          <w:szCs w:val="18"/>
        </w:rPr>
        <w:t xml:space="preserve">The calculation of spectral shifts in the UV-visible region, and the photostability of polyvinyl chloride membranes plasticized with 1-bromonaphthalene, dibutyl phthalate, dioctyl phthalate, </w:t>
      </w:r>
      <w:r w:rsidRPr="00C03CFC">
        <w:rPr>
          <w:rFonts w:ascii="Times New Roman" w:hAnsi="Times New Roman"/>
          <w:i/>
          <w:iCs/>
          <w:sz w:val="18"/>
          <w:szCs w:val="18"/>
        </w:rPr>
        <w:t>o</w:t>
      </w:r>
      <w:r w:rsidRPr="008D24A7">
        <w:rPr>
          <w:rFonts w:ascii="Times New Roman" w:hAnsi="Times New Roman"/>
          <w:sz w:val="18"/>
          <w:szCs w:val="18"/>
        </w:rPr>
        <w:t>-nitrophenyl octyl ether and tricresyl phosphate, have been systematically investigated using the ZINDO/S method combined with stochastic molecular dynamics with the MMFF94 force field.</w:t>
      </w:r>
      <w:r>
        <w:rPr>
          <w:rFonts w:ascii="Times New Roman" w:hAnsi="Times New Roman"/>
          <w:sz w:val="18"/>
          <w:szCs w:val="18"/>
        </w:rPr>
        <w:t xml:space="preserve"> A </w:t>
      </w:r>
      <w:r w:rsidR="00E87608" w:rsidRPr="008D24A7">
        <w:rPr>
          <w:rFonts w:ascii="Times New Roman" w:hAnsi="Times New Roman"/>
          <w:sz w:val="18"/>
          <w:szCs w:val="18"/>
        </w:rPr>
        <w:t>Langevin temperature bath was used for the thermostat and the simulation temperature was 298</w:t>
      </w:r>
      <w:r>
        <w:t xml:space="preserve"> </w:t>
      </w:r>
      <w:r w:rsidR="00E87608" w:rsidRPr="008D24A7">
        <w:rPr>
          <w:rFonts w:ascii="Times New Roman" w:hAnsi="Times New Roman"/>
          <w:sz w:val="18"/>
          <w:szCs w:val="18"/>
        </w:rPr>
        <w:t>K during the entire time of the simulation, which was set to 0.6</w:t>
      </w:r>
      <w:r w:rsidR="00E87608">
        <w:rPr>
          <w:rFonts w:ascii="Times New Roman" w:hAnsi="Times New Roman"/>
          <w:sz w:val="18"/>
          <w:szCs w:val="18"/>
        </w:rPr>
        <w:t> </w:t>
      </w:r>
      <w:r w:rsidR="00E87608" w:rsidRPr="008D24A7">
        <w:rPr>
          <w:rFonts w:ascii="Times New Roman" w:hAnsi="Times New Roman"/>
          <w:sz w:val="18"/>
          <w:szCs w:val="18"/>
        </w:rPr>
        <w:t>ns.</w:t>
      </w:r>
      <w:r w:rsidR="00E87608">
        <w:rPr>
          <w:rFonts w:ascii="Times New Roman" w:hAnsi="Times New Roman"/>
          <w:sz w:val="18"/>
          <w:szCs w:val="18"/>
        </w:rPr>
        <w:t xml:space="preserve"> T</w:t>
      </w:r>
      <w:r w:rsidR="00E87608" w:rsidRPr="008D24A7">
        <w:rPr>
          <w:rFonts w:ascii="Times New Roman" w:hAnsi="Times New Roman"/>
          <w:sz w:val="18"/>
          <w:szCs w:val="18"/>
        </w:rPr>
        <w:t xml:space="preserve">hese methods were employed to predict the molecular structure of the membranes. The absorption wavelengths and the HOMO and LUMO energies of membrane components are reported. In addition, the photostability of the membranes is discussed in the light of the absorption wavelength. Membranes plasticized with tricresyl phosphate and </w:t>
      </w:r>
      <w:r w:rsidR="00E87608" w:rsidRPr="008D24A7">
        <w:rPr>
          <w:rFonts w:ascii="Times New Roman" w:hAnsi="Times New Roman"/>
          <w:i/>
          <w:sz w:val="18"/>
          <w:szCs w:val="18"/>
        </w:rPr>
        <w:t>o</w:t>
      </w:r>
      <w:r w:rsidR="00E87608" w:rsidRPr="008D24A7">
        <w:rPr>
          <w:rFonts w:ascii="Times New Roman" w:hAnsi="Times New Roman"/>
          <w:sz w:val="18"/>
          <w:szCs w:val="18"/>
        </w:rPr>
        <w:t>-nitrophenyl octyl ether show less stability under the action of UV irradiation, as they absorb light with higher energy. Membranes plasticized with butyl and octyl esters of phthalic acid are more stable and show very similar behaviour. A membrane plasticized with 1-bromonaphthalene is likely to be the least sensitive to UV irradiation.</w:t>
      </w:r>
    </w:p>
    <w:p w:rsidR="00E87608" w:rsidRPr="009C4E07" w:rsidRDefault="00E87608" w:rsidP="00E87608">
      <w:pPr>
        <w:spacing w:after="0" w:line="240" w:lineRule="auto"/>
        <w:jc w:val="both"/>
        <w:outlineLvl w:val="0"/>
        <w:rPr>
          <w:rFonts w:ascii="Times New Roman" w:hAnsi="Times New Roman"/>
          <w:sz w:val="18"/>
          <w:szCs w:val="18"/>
        </w:rPr>
      </w:pPr>
    </w:p>
    <w:p w:rsidR="00E87608" w:rsidRPr="00001D81" w:rsidRDefault="00E87608" w:rsidP="00E87608">
      <w:pPr>
        <w:spacing w:after="0" w:line="240" w:lineRule="auto"/>
        <w:jc w:val="both"/>
        <w:outlineLvl w:val="0"/>
        <w:rPr>
          <w:rFonts w:ascii="Times New Roman" w:hAnsi="Times New Roman"/>
          <w:color w:val="548DD4" w:themeColor="text2" w:themeTint="99"/>
        </w:rPr>
      </w:pPr>
      <w:r w:rsidRPr="009C4E07">
        <w:rPr>
          <w:rFonts w:ascii="Times New Roman" w:hAnsi="Times New Roman"/>
          <w:b/>
          <w:sz w:val="18"/>
          <w:szCs w:val="18"/>
        </w:rPr>
        <w:t>Keywords</w:t>
      </w:r>
      <w:r w:rsidRPr="009C4E07">
        <w:rPr>
          <w:rFonts w:ascii="Times New Roman" w:hAnsi="Times New Roman"/>
          <w:sz w:val="18"/>
          <w:szCs w:val="18"/>
        </w:rPr>
        <w:t>:</w:t>
      </w:r>
      <w:r>
        <w:rPr>
          <w:rFonts w:ascii="Times New Roman" w:hAnsi="Times New Roman"/>
        </w:rPr>
        <w:t xml:space="preserve">  </w:t>
      </w:r>
      <w:r w:rsidRPr="008D24A7">
        <w:rPr>
          <w:rFonts w:ascii="Times New Roman" w:hAnsi="Times New Roman"/>
          <w:sz w:val="18"/>
          <w:szCs w:val="18"/>
        </w:rPr>
        <w:t>polyvinyl chloride, membrane, molecular dynamics, excited state, photostability</w:t>
      </w:r>
    </w:p>
    <w:p w:rsidR="00E87608" w:rsidRPr="009C4E07" w:rsidRDefault="00E87608" w:rsidP="00E87608">
      <w:pPr>
        <w:spacing w:after="0" w:line="240" w:lineRule="auto"/>
        <w:jc w:val="center"/>
        <w:outlineLvl w:val="0"/>
        <w:rPr>
          <w:rFonts w:ascii="Times New Roman" w:hAnsi="Times New Roman"/>
          <w:b/>
          <w:color w:val="548DD4" w:themeColor="text2" w:themeTint="99"/>
          <w:sz w:val="18"/>
          <w:szCs w:val="18"/>
        </w:rPr>
      </w:pPr>
    </w:p>
    <w:p w:rsidR="00E87608" w:rsidRDefault="00E87608" w:rsidP="00E87608">
      <w:pPr>
        <w:spacing w:after="0" w:line="240" w:lineRule="auto"/>
        <w:jc w:val="center"/>
        <w:outlineLvl w:val="0"/>
        <w:rPr>
          <w:rFonts w:ascii="Times New Roman" w:hAnsi="Times New Roman"/>
          <w:b/>
          <w:sz w:val="18"/>
          <w:szCs w:val="18"/>
        </w:rPr>
      </w:pPr>
      <w:r w:rsidRPr="009C4E07">
        <w:rPr>
          <w:rFonts w:ascii="Times New Roman" w:hAnsi="Times New Roman"/>
          <w:b/>
          <w:sz w:val="18"/>
          <w:szCs w:val="18"/>
        </w:rPr>
        <w:t>Abstrak</w:t>
      </w:r>
    </w:p>
    <w:p w:rsidR="00E87608" w:rsidRPr="005D7A55" w:rsidRDefault="00E87608" w:rsidP="00E87608">
      <w:pPr>
        <w:spacing w:after="0" w:line="240" w:lineRule="auto"/>
        <w:jc w:val="both"/>
        <w:outlineLvl w:val="0"/>
        <w:rPr>
          <w:rFonts w:ascii="Times New Roman" w:hAnsi="Times New Roman"/>
          <w:noProof/>
          <w:sz w:val="18"/>
          <w:szCs w:val="18"/>
          <w:lang w:val="es-ES"/>
        </w:rPr>
      </w:pPr>
      <w:r>
        <w:rPr>
          <w:rFonts w:ascii="Times New Roman" w:hAnsi="Times New Roman"/>
          <w:noProof/>
          <w:sz w:val="18"/>
          <w:szCs w:val="18"/>
        </w:rPr>
        <w:t xml:space="preserve">Pengiraan anjakan spektra di dalam kawasan ultralembayung-cahaya nampak dan kestabilan foto bagi membran plastik polivinil klorida bersama 1-bromonaftalena, dibutil ftalat, dioktil ftalat, </w:t>
      </w:r>
      <w:r w:rsidRPr="00C03CFC">
        <w:rPr>
          <w:rFonts w:ascii="Times New Roman" w:hAnsi="Times New Roman"/>
          <w:i/>
          <w:iCs/>
          <w:noProof/>
          <w:sz w:val="18"/>
          <w:szCs w:val="18"/>
        </w:rPr>
        <w:t>o</w:t>
      </w:r>
      <w:r>
        <w:rPr>
          <w:rFonts w:ascii="Times New Roman" w:hAnsi="Times New Roman"/>
          <w:noProof/>
          <w:sz w:val="18"/>
          <w:szCs w:val="18"/>
        </w:rPr>
        <w:t xml:space="preserve">-nitrofenil oktil eter dan tricresil fosfat telah secara sistematik telah dikaji mengunakan kaedah ZINDO/S gabungan molekul dinamik stokastik bersama medan daya MMFF94. </w:t>
      </w:r>
      <w:r w:rsidRPr="005D7A55">
        <w:rPr>
          <w:rFonts w:ascii="Times New Roman" w:hAnsi="Times New Roman"/>
          <w:noProof/>
          <w:sz w:val="18"/>
          <w:szCs w:val="18"/>
        </w:rPr>
        <w:t>Suhu rendaman Langevin telah diguna untuk termostat dan suhu simulasi ialah 298 K bagi keseluruhan masa simulasi, iaitu di tetapkan pada 0.6 ns.</w:t>
      </w:r>
      <w:r>
        <w:rPr>
          <w:rFonts w:ascii="Times New Roman" w:hAnsi="Times New Roman"/>
          <w:noProof/>
          <w:sz w:val="18"/>
          <w:szCs w:val="18"/>
        </w:rPr>
        <w:t xml:space="preserve"> K</w:t>
      </w:r>
      <w:r w:rsidRPr="005D7A55">
        <w:rPr>
          <w:rFonts w:ascii="Times New Roman" w:hAnsi="Times New Roman"/>
          <w:noProof/>
          <w:sz w:val="18"/>
          <w:szCs w:val="18"/>
        </w:rPr>
        <w:t>aedah ini dibangu</w:t>
      </w:r>
      <w:r>
        <w:rPr>
          <w:rFonts w:ascii="Times New Roman" w:hAnsi="Times New Roman"/>
          <w:noProof/>
          <w:sz w:val="18"/>
          <w:szCs w:val="18"/>
        </w:rPr>
        <w:t xml:space="preserve">nkan untuk meramal struktur molekul membran berkenaan. </w:t>
      </w:r>
      <w:r w:rsidRPr="005D7A55">
        <w:rPr>
          <w:rFonts w:ascii="Times New Roman" w:hAnsi="Times New Roman"/>
          <w:noProof/>
          <w:sz w:val="18"/>
          <w:szCs w:val="18"/>
          <w:lang w:val="es-ES"/>
        </w:rPr>
        <w:t>Panjang gelombang serapan dan tenaga HOMO dan LUMO membran dilapor.</w:t>
      </w:r>
      <w:r>
        <w:rPr>
          <w:rFonts w:ascii="Times New Roman" w:hAnsi="Times New Roman"/>
          <w:noProof/>
          <w:sz w:val="18"/>
          <w:szCs w:val="18"/>
          <w:lang w:val="es-ES"/>
        </w:rPr>
        <w:t xml:space="preserve"> Tambahan lagi, kestabilan foto bagi membran di bincang dari aspek panjang gelombang serapan. Membran plastik bersama tricresil fosfat dan </w:t>
      </w:r>
      <w:r w:rsidRPr="00C03CFC">
        <w:rPr>
          <w:rFonts w:ascii="Times New Roman" w:hAnsi="Times New Roman"/>
          <w:i/>
          <w:iCs/>
          <w:noProof/>
          <w:sz w:val="18"/>
          <w:szCs w:val="18"/>
          <w:lang w:val="es-ES"/>
        </w:rPr>
        <w:t>o</w:t>
      </w:r>
      <w:r>
        <w:rPr>
          <w:rFonts w:ascii="Times New Roman" w:hAnsi="Times New Roman"/>
          <w:noProof/>
          <w:sz w:val="18"/>
          <w:szCs w:val="18"/>
          <w:lang w:val="es-ES"/>
        </w:rPr>
        <w:t xml:space="preserve">-nitrofenil oktil eter menunjukkan kestabilan yang rendah terhadap penyinaran UV sebagaimana ia menyerap cahaya pada tenaga yang tinggi. Membran plastik bersama butil dan oktil ester asid ftalik adalah lebih stabil dan menunjukkan sifat yang sama. Membran plastik bersama 1-bromonaftalena merupakan membran paling kurang sensitif terhadap penyinaran UV. </w:t>
      </w:r>
    </w:p>
    <w:p w:rsidR="00E87608" w:rsidRPr="009C4E07" w:rsidRDefault="00E87608" w:rsidP="00E87608">
      <w:pPr>
        <w:spacing w:after="0" w:line="240" w:lineRule="auto"/>
        <w:jc w:val="both"/>
        <w:outlineLvl w:val="0"/>
        <w:rPr>
          <w:rFonts w:ascii="Times New Roman" w:hAnsi="Times New Roman"/>
          <w:sz w:val="18"/>
          <w:szCs w:val="18"/>
        </w:rPr>
      </w:pPr>
    </w:p>
    <w:p w:rsidR="00AC0033" w:rsidRDefault="00E87608" w:rsidP="00E87608">
      <w:pPr>
        <w:spacing w:after="0" w:line="240" w:lineRule="auto"/>
        <w:jc w:val="both"/>
        <w:rPr>
          <w:rFonts w:ascii="Times New Roman" w:hAnsi="Times New Roman"/>
          <w:noProof/>
          <w:sz w:val="20"/>
          <w:szCs w:val="20"/>
          <w:lang w:bidi="ar-SA"/>
        </w:rPr>
      </w:pPr>
      <w:r w:rsidRPr="00E1381A">
        <w:rPr>
          <w:rFonts w:ascii="Times New Roman" w:hAnsi="Times New Roman"/>
          <w:b/>
          <w:noProof/>
          <w:sz w:val="18"/>
          <w:szCs w:val="18"/>
          <w:lang w:val="es-ES"/>
        </w:rPr>
        <w:t>Kata kunci:</w:t>
      </w:r>
      <w:r w:rsidRPr="00E1381A">
        <w:rPr>
          <w:rFonts w:ascii="Times New Roman" w:hAnsi="Times New Roman"/>
          <w:b/>
          <w:noProof/>
          <w:lang w:val="es-ES"/>
        </w:rPr>
        <w:t xml:space="preserve"> </w:t>
      </w:r>
      <w:r>
        <w:rPr>
          <w:rFonts w:ascii="Times New Roman" w:hAnsi="Times New Roman"/>
          <w:b/>
          <w:noProof/>
          <w:lang w:val="es-ES"/>
        </w:rPr>
        <w:t xml:space="preserve"> </w:t>
      </w:r>
      <w:r w:rsidRPr="00E1381A">
        <w:rPr>
          <w:rFonts w:ascii="Times New Roman" w:hAnsi="Times New Roman"/>
          <w:bCs/>
          <w:noProof/>
          <w:sz w:val="18"/>
          <w:szCs w:val="20"/>
          <w:lang w:val="es-ES"/>
        </w:rPr>
        <w:t xml:space="preserve">polivinil klorida, membran, molekul dinamik, </w:t>
      </w:r>
      <w:r>
        <w:rPr>
          <w:rFonts w:ascii="Times New Roman" w:hAnsi="Times New Roman"/>
          <w:bCs/>
          <w:noProof/>
          <w:sz w:val="18"/>
          <w:szCs w:val="20"/>
          <w:lang w:val="es-ES"/>
        </w:rPr>
        <w:t xml:space="preserve">keadaan teruja, </w:t>
      </w:r>
      <w:r w:rsidRPr="00E1381A">
        <w:rPr>
          <w:rFonts w:ascii="Times New Roman" w:hAnsi="Times New Roman"/>
          <w:bCs/>
          <w:noProof/>
          <w:sz w:val="18"/>
          <w:szCs w:val="20"/>
          <w:lang w:val="es-ES"/>
        </w:rPr>
        <w:t>kestabila</w:t>
      </w:r>
      <w:r>
        <w:rPr>
          <w:rFonts w:ascii="Times New Roman" w:hAnsi="Times New Roman"/>
          <w:bCs/>
          <w:noProof/>
          <w:sz w:val="18"/>
          <w:szCs w:val="20"/>
          <w:lang w:val="es-ES"/>
        </w:rPr>
        <w:t>n foto</w:t>
      </w:r>
    </w:p>
    <w:p w:rsidR="00AC0033" w:rsidRDefault="00AC0033" w:rsidP="00AC0033">
      <w:pPr>
        <w:spacing w:after="0" w:line="240" w:lineRule="auto"/>
        <w:jc w:val="center"/>
        <w:rPr>
          <w:rFonts w:ascii="Times New Roman" w:hAnsi="Times New Roman"/>
          <w:noProof/>
          <w:sz w:val="20"/>
          <w:szCs w:val="20"/>
          <w:lang w:bidi="ar-SA"/>
        </w:rPr>
      </w:pPr>
    </w:p>
    <w:p w:rsidR="00E87608" w:rsidRPr="00BE7C30" w:rsidRDefault="00E87608"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 xml:space="preserve">Ion-selective electrodes (ISEs) with plasticized membranes are widely used in analytical chemistry [1, 2]. ISEs can also be used in environmental analysis [3] and in clinical studies [4, 5]. The main advantages of using ISEs are: </w:t>
      </w:r>
      <w:r w:rsidRPr="00E87608">
        <w:rPr>
          <w:rFonts w:ascii="Times New Roman" w:hAnsi="Times New Roman"/>
          <w:sz w:val="20"/>
          <w:szCs w:val="20"/>
        </w:rPr>
        <w:lastRenderedPageBreak/>
        <w:t xml:space="preserve">short analysis time, high selectivity, sensitivity, reliability and reproducibility. Moreover, the electrodes in a potentiometer are relatively cheap and not cumbersome, which makes them suitable for use in the field. </w:t>
      </w:r>
    </w:p>
    <w:p w:rsidR="00E87608" w:rsidRPr="00E87608" w:rsidRDefault="00E87608" w:rsidP="00E87608">
      <w:pPr>
        <w:spacing w:after="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Despite all these advantages, some disadvantages are also known, such as the drift in potential and the influence of interference ions [1]. Usually, errors are caused by changes in the membrane’s characteristics during the operation of ISEs. The composition, homogeneity and lifetime of a membrane can change due to the leaching of the membrane’s components, such as plasticizers or ionophores. Furthermore, degradation of polymeric compounds can be caused by ultraviolet irradiation. Near-UV radiation may be harmful to the plastics and plasticized plastic films [6-8]. The high-energy photons may cause a gradual degradation of the polymer or the plasticizer. Therefore, it is critical to identify the potential resistance properties of a membrane’s materials, and to search for molecules that can withstand longer UV exposure. Even a small UV fraction may create major damage in the membrane via radical formation triggering photodegradation of the polymeric materials. This degradation causes a deviation in the conductivity of the ion-selective membrane and a deterioration in the membrane’s physical and chemical properties. Therefore, from an application point of view, UV spectra and absorption energies must be considered as design parameters for the selection of materials in the construction of ISEs.</w:t>
      </w:r>
    </w:p>
    <w:p w:rsidR="00E87608" w:rsidRPr="00E87608" w:rsidRDefault="00E87608" w:rsidP="00E87608">
      <w:pPr>
        <w:spacing w:after="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Quantum chemical calculation is a widely used method for the investigation of matter, especially in cases when direct physical measurements are not possible or too time-consuming. Computation and prediction of structure [9, 10], properties [11] and reactivity [12, 13] can readily be performed using various methods. The configuration interaction (CI) method is widely employed for the calculation of electronic spectra and photostability [14, 15].</w:t>
      </w:r>
    </w:p>
    <w:p w:rsidR="00E87608" w:rsidRPr="00E87608" w:rsidRDefault="00E87608" w:rsidP="00E87608">
      <w:pPr>
        <w:spacing w:after="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sz w:val="20"/>
          <w:szCs w:val="20"/>
          <w:lang w:val="en-GB"/>
        </w:rPr>
      </w:pPr>
      <w:r w:rsidRPr="00E87608">
        <w:rPr>
          <w:rFonts w:ascii="Times New Roman" w:hAnsi="Times New Roman"/>
          <w:sz w:val="20"/>
          <w:szCs w:val="20"/>
        </w:rPr>
        <w:t xml:space="preserve">In this work, we attempt to obtain a new insight into the photostability of five plasticized polymeric membranes. As model objects, we use polyvinyl chloride membranes plasticized with 1-bromonaphthalene (aBN), dibutyl phthalate (DBP), bis(2-ethylhexyl) phthalate also known as dioctyl phthalate (DOP), </w:t>
      </w:r>
      <w:r w:rsidRPr="00E87608">
        <w:rPr>
          <w:rFonts w:ascii="Times New Roman" w:hAnsi="Times New Roman"/>
          <w:i/>
          <w:sz w:val="20"/>
          <w:szCs w:val="20"/>
        </w:rPr>
        <w:t>o</w:t>
      </w:r>
      <w:r w:rsidRPr="00E87608">
        <w:rPr>
          <w:rFonts w:ascii="Times New Roman" w:hAnsi="Times New Roman"/>
          <w:sz w:val="20"/>
          <w:szCs w:val="20"/>
        </w:rPr>
        <w:t>-nitrophenyl octyl ether (NPOE) and tricresyl phosphate (TCP) [16, 17]. The absorption spectra obtained in this work will provide a valuable data set for other computational studies, and we will also use the data set as a basis for future experimental investigations.</w:t>
      </w:r>
    </w:p>
    <w:p w:rsidR="00E87608" w:rsidRPr="00E87608" w:rsidRDefault="00E87608" w:rsidP="00E87608">
      <w:pPr>
        <w:spacing w:after="0" w:line="240" w:lineRule="auto"/>
        <w:jc w:val="center"/>
        <w:outlineLvl w:val="0"/>
        <w:rPr>
          <w:rFonts w:ascii="Times New Roman" w:hAnsi="Times New Roman"/>
          <w:sz w:val="20"/>
          <w:szCs w:val="20"/>
        </w:rPr>
      </w:pPr>
    </w:p>
    <w:p w:rsidR="00E87608" w:rsidRPr="00E87608" w:rsidRDefault="00E87608" w:rsidP="00E87608">
      <w:pPr>
        <w:spacing w:after="0" w:line="240" w:lineRule="auto"/>
        <w:jc w:val="center"/>
        <w:outlineLvl w:val="0"/>
        <w:rPr>
          <w:rFonts w:ascii="Times New Roman" w:hAnsi="Times New Roman"/>
          <w:b/>
          <w:sz w:val="20"/>
          <w:szCs w:val="20"/>
        </w:rPr>
      </w:pPr>
      <w:r w:rsidRPr="00E87608">
        <w:rPr>
          <w:rFonts w:ascii="Times New Roman" w:hAnsi="Times New Roman"/>
          <w:b/>
          <w:sz w:val="20"/>
          <w:szCs w:val="20"/>
        </w:rPr>
        <w:t>Materials and Methods</w:t>
      </w:r>
    </w:p>
    <w:p w:rsidR="00E87608" w:rsidRPr="00E87608" w:rsidRDefault="00E87608" w:rsidP="00E87608">
      <w:pPr>
        <w:spacing w:after="0" w:line="240" w:lineRule="auto"/>
        <w:jc w:val="both"/>
        <w:rPr>
          <w:rFonts w:ascii="Times New Roman" w:hAnsi="Times New Roman"/>
          <w:b/>
          <w:color w:val="000000" w:themeColor="text1"/>
          <w:sz w:val="20"/>
          <w:szCs w:val="20"/>
        </w:rPr>
      </w:pPr>
      <w:r w:rsidRPr="00E87608">
        <w:rPr>
          <w:rFonts w:ascii="Times New Roman" w:hAnsi="Times New Roman"/>
          <w:b/>
          <w:color w:val="000000" w:themeColor="text1"/>
          <w:sz w:val="20"/>
          <w:szCs w:val="20"/>
        </w:rPr>
        <w:t>Computational details</w:t>
      </w: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The simulations of the five systems were performed using stochastic molecular dynamics (MD) [18] with the MMFF94 force field [19]. The stochastic integrator uses a type of Langevin temperature bath for the thermostat, and the simulation temperature was 298 K. The total simulation time for each system was 600 ps, with 100 ps for equilibration and 500 ps as the sampling time. Snapshots were generated for each 10 ps period. The relaxation trajectory was obtained, with 50 snapshots for each system.</w:t>
      </w:r>
    </w:p>
    <w:p w:rsidR="00E87608" w:rsidRPr="00E87608" w:rsidRDefault="00E87608" w:rsidP="00E87608">
      <w:pPr>
        <w:spacing w:after="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Using the snapshot geometries as input, the UV-Vis spectra of the five systems were calculated using the ZINDO/S method with the inclusion of all valence electrons [20]. The CI method in combination with the semi-empirical Hamiltonian enables the calculation of the absorption spectra of large organic systems. In the case of each membrane, we calculated a different number of first excited states, in such a way as to accurately describe the wavelength region above 200 nm. The average UV-Vis spectrum was obtained by overlapping all the spectra computed separately for each snapshot.</w:t>
      </w:r>
    </w:p>
    <w:p w:rsidR="00E87608" w:rsidRPr="00E87608" w:rsidRDefault="00E87608" w:rsidP="00E87608">
      <w:pPr>
        <w:spacing w:after="0" w:line="240" w:lineRule="auto"/>
        <w:jc w:val="both"/>
        <w:outlineLvl w:val="0"/>
        <w:rPr>
          <w:rFonts w:ascii="Times New Roman" w:hAnsi="Times New Roman"/>
          <w:sz w:val="20"/>
          <w:szCs w:val="20"/>
        </w:rPr>
      </w:pPr>
    </w:p>
    <w:p w:rsidR="00AC0033" w:rsidRPr="00E87608" w:rsidRDefault="00E87608" w:rsidP="00E87608">
      <w:pPr>
        <w:spacing w:after="0" w:line="240" w:lineRule="auto"/>
        <w:jc w:val="both"/>
        <w:outlineLvl w:val="0"/>
        <w:rPr>
          <w:rFonts w:ascii="Times New Roman" w:hAnsi="Times New Roman"/>
          <w:b/>
          <w:color w:val="548DD4" w:themeColor="text2" w:themeTint="99"/>
          <w:sz w:val="20"/>
          <w:szCs w:val="20"/>
        </w:rPr>
      </w:pPr>
      <w:r w:rsidRPr="00E87608">
        <w:rPr>
          <w:rFonts w:ascii="Times New Roman" w:hAnsi="Times New Roman"/>
          <w:sz w:val="20"/>
          <w:szCs w:val="20"/>
        </w:rPr>
        <w:t>MD simulations were performed with the TINKER 7.1 package [21]. ZINDO/S calculations were performed with the program ORCA 3.0.3 [22]. The automatic computations for a group of snapshots were realized through the batch script. The Gabedit 2.4.9 program [23] was used to perform overlapping and visualization of the specified range of UV-Vis spectra. A VMD package [24] was used for calculation of the radial distribution function (RDF). Visualization of molecules and molecular orbitals was performed using the Jmol program [25].</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87608" w:rsidRPr="00E87608" w:rsidRDefault="00E87608" w:rsidP="00E87608">
      <w:pPr>
        <w:spacing w:after="0" w:line="240" w:lineRule="auto"/>
        <w:jc w:val="both"/>
        <w:outlineLvl w:val="0"/>
        <w:rPr>
          <w:rFonts w:ascii="Times New Roman" w:hAnsi="Times New Roman"/>
          <w:b/>
          <w:sz w:val="20"/>
          <w:szCs w:val="20"/>
          <w:lang w:val="en-GB"/>
        </w:rPr>
      </w:pPr>
      <w:r w:rsidRPr="00E87608">
        <w:rPr>
          <w:rFonts w:ascii="Times New Roman" w:hAnsi="Times New Roman"/>
          <w:b/>
          <w:sz w:val="20"/>
          <w:szCs w:val="20"/>
          <w:lang w:val="en-GB"/>
        </w:rPr>
        <w:t>Molecular dynamics simulation of modelled systems</w:t>
      </w: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Computations of PVC membrane parameters were performed on small systems that in our opinion can describe membranes in general reasonably well. Each simulated system (Table 1) was a small cluster of two molecules of plasticizer and one molecule of PVC polymer. This composition allows consideration of not only the polymer-</w:t>
      </w:r>
      <w:r w:rsidRPr="00E87608">
        <w:rPr>
          <w:rFonts w:ascii="Times New Roman" w:hAnsi="Times New Roman"/>
          <w:sz w:val="20"/>
          <w:szCs w:val="20"/>
        </w:rPr>
        <w:lastRenderedPageBreak/>
        <w:t>plasticizer interaction but also the interaction between plasticizer molecules. The PVC polymer was modelled as a linear molecule consisting of PVC monomers, –CH</w:t>
      </w:r>
      <w:r w:rsidRPr="00C740F4">
        <w:rPr>
          <w:rFonts w:ascii="Times New Roman" w:hAnsi="Times New Roman"/>
          <w:sz w:val="20"/>
          <w:szCs w:val="20"/>
          <w:vertAlign w:val="subscript"/>
        </w:rPr>
        <w:t>2</w:t>
      </w:r>
      <w:r w:rsidRPr="00E87608">
        <w:rPr>
          <w:rFonts w:ascii="Times New Roman" w:hAnsi="Times New Roman"/>
          <w:sz w:val="20"/>
          <w:szCs w:val="20"/>
        </w:rPr>
        <w:t xml:space="preserve">-CHCl-, and terminal H atoms. The size of the PVC molecule was different in each system to maintain the membranes’ composition ratios of PVC to plasticizer at approximately </w:t>
      </w:r>
      <w:bookmarkStart w:id="0" w:name="_GoBack"/>
      <w:bookmarkEnd w:id="0"/>
      <w:r w:rsidRPr="00E87608">
        <w:rPr>
          <w:rFonts w:ascii="Times New Roman" w:hAnsi="Times New Roman"/>
          <w:sz w:val="20"/>
          <w:szCs w:val="20"/>
        </w:rPr>
        <w:t>1:1.</w:t>
      </w:r>
    </w:p>
    <w:p w:rsidR="00E87608" w:rsidRPr="00E87608" w:rsidRDefault="00E87608" w:rsidP="0012160F">
      <w:pPr>
        <w:spacing w:after="120" w:line="240" w:lineRule="auto"/>
        <w:jc w:val="both"/>
        <w:outlineLvl w:val="0"/>
        <w:rPr>
          <w:rFonts w:ascii="Times New Roman" w:hAnsi="Times New Roman"/>
          <w:sz w:val="20"/>
          <w:szCs w:val="20"/>
          <w:lang w:val="en-GB"/>
        </w:rPr>
      </w:pPr>
    </w:p>
    <w:p w:rsidR="00E87608" w:rsidRPr="00E87608" w:rsidRDefault="00E87608" w:rsidP="0012160F">
      <w:pPr>
        <w:spacing w:after="120" w:line="240" w:lineRule="auto"/>
        <w:jc w:val="center"/>
        <w:outlineLvl w:val="0"/>
        <w:rPr>
          <w:rFonts w:ascii="Times New Roman" w:hAnsi="Times New Roman"/>
          <w:sz w:val="20"/>
          <w:szCs w:val="20"/>
        </w:rPr>
      </w:pPr>
      <w:r w:rsidRPr="00E87608">
        <w:rPr>
          <w:rFonts w:ascii="Times New Roman" w:hAnsi="Times New Roman"/>
          <w:sz w:val="20"/>
          <w:szCs w:val="20"/>
        </w:rPr>
        <w:t>Table 1.</w:t>
      </w:r>
      <w:r w:rsidR="0012160F">
        <w:rPr>
          <w:rFonts w:ascii="Times New Roman" w:hAnsi="Times New Roman"/>
          <w:sz w:val="20"/>
          <w:szCs w:val="20"/>
        </w:rPr>
        <w:t xml:space="preserve"> </w:t>
      </w:r>
      <w:r w:rsidRPr="00E87608">
        <w:rPr>
          <w:rFonts w:ascii="Times New Roman" w:hAnsi="Times New Roman"/>
          <w:sz w:val="20"/>
          <w:szCs w:val="20"/>
        </w:rPr>
        <w:t xml:space="preserve"> Simulated systems and their fundamental properties</w:t>
      </w:r>
    </w:p>
    <w:tbl>
      <w:tblPr>
        <w:tblStyle w:val="TableGrid"/>
        <w:tblW w:w="8291" w:type="dxa"/>
        <w:jc w:val="center"/>
        <w:tblBorders>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5"/>
        <w:gridCol w:w="1184"/>
        <w:gridCol w:w="1579"/>
        <w:gridCol w:w="1448"/>
        <w:gridCol w:w="921"/>
        <w:gridCol w:w="1475"/>
        <w:gridCol w:w="1289"/>
      </w:tblGrid>
      <w:tr w:rsidR="00E87608" w:rsidRPr="00E87608" w:rsidTr="0012160F">
        <w:trPr>
          <w:trHeight w:val="442"/>
          <w:jc w:val="center"/>
        </w:trPr>
        <w:tc>
          <w:tcPr>
            <w:tcW w:w="395" w:type="dxa"/>
            <w:tcBorders>
              <w:top w:val="single" w:sz="4" w:space="0" w:color="auto"/>
              <w:bottom w:val="single" w:sz="4" w:space="0" w:color="auto"/>
            </w:tcBorders>
          </w:tcPr>
          <w:p w:rsidR="00E87608" w:rsidRPr="00E87608" w:rsidRDefault="00E87608" w:rsidP="0012160F">
            <w:pPr>
              <w:spacing w:before="60" w:after="0" w:line="240" w:lineRule="auto"/>
              <w:jc w:val="both"/>
              <w:rPr>
                <w:rFonts w:ascii="Times New Roman" w:hAnsi="Times New Roman" w:cs="Times New Roman"/>
                <w:b/>
                <w:sz w:val="20"/>
                <w:szCs w:val="20"/>
                <w:lang w:val="en-US"/>
              </w:rPr>
            </w:pPr>
            <w:r w:rsidRPr="00E87608">
              <w:rPr>
                <w:rFonts w:ascii="Times New Roman" w:hAnsi="Times New Roman" w:cs="Times New Roman"/>
                <w:b/>
                <w:sz w:val="20"/>
                <w:szCs w:val="20"/>
                <w:lang w:val="en-US"/>
              </w:rPr>
              <w:t>#</w:t>
            </w:r>
          </w:p>
        </w:tc>
        <w:tc>
          <w:tcPr>
            <w:tcW w:w="1184" w:type="dxa"/>
            <w:tcBorders>
              <w:top w:val="single" w:sz="4" w:space="0" w:color="auto"/>
              <w:bottom w:val="single" w:sz="4" w:space="0" w:color="auto"/>
            </w:tcBorders>
          </w:tcPr>
          <w:p w:rsidR="00E87608" w:rsidRPr="00E87608" w:rsidRDefault="00E87608" w:rsidP="0012160F">
            <w:pPr>
              <w:spacing w:before="60" w:after="0" w:line="240" w:lineRule="auto"/>
              <w:rPr>
                <w:rFonts w:ascii="Times New Roman" w:hAnsi="Times New Roman" w:cs="Times New Roman"/>
                <w:b/>
                <w:sz w:val="20"/>
                <w:szCs w:val="20"/>
                <w:lang w:val="en-US"/>
              </w:rPr>
            </w:pPr>
            <w:r w:rsidRPr="00E87608">
              <w:rPr>
                <w:rFonts w:ascii="Times New Roman" w:hAnsi="Times New Roman" w:cs="Times New Roman"/>
                <w:b/>
                <w:sz w:val="20"/>
                <w:szCs w:val="20"/>
                <w:lang w:val="en-US"/>
              </w:rPr>
              <w:t xml:space="preserve">Number of </w:t>
            </w:r>
            <w:r w:rsidRPr="00E87608">
              <w:rPr>
                <w:rFonts w:ascii="Times New Roman" w:hAnsi="Times New Roman" w:cs="Times New Roman"/>
                <w:b/>
                <w:sz w:val="20"/>
                <w:szCs w:val="20"/>
                <w:lang w:val="en-US"/>
              </w:rPr>
              <w:br/>
              <w:t>-CH</w:t>
            </w:r>
            <w:r w:rsidRPr="00E87608">
              <w:rPr>
                <w:rFonts w:ascii="Times New Roman" w:hAnsi="Times New Roman" w:cs="Times New Roman"/>
                <w:b/>
                <w:sz w:val="20"/>
                <w:szCs w:val="20"/>
                <w:vertAlign w:val="subscript"/>
                <w:lang w:val="en-US"/>
              </w:rPr>
              <w:t>2</w:t>
            </w:r>
            <w:r w:rsidRPr="00E87608">
              <w:rPr>
                <w:rFonts w:ascii="Times New Roman" w:hAnsi="Times New Roman" w:cs="Times New Roman"/>
                <w:b/>
                <w:sz w:val="20"/>
                <w:szCs w:val="20"/>
                <w:lang w:val="en-US"/>
              </w:rPr>
              <w:t>-CHCl-</w:t>
            </w:r>
          </w:p>
        </w:tc>
        <w:tc>
          <w:tcPr>
            <w:tcW w:w="1579" w:type="dxa"/>
            <w:tcBorders>
              <w:top w:val="single" w:sz="4" w:space="0" w:color="auto"/>
              <w:bottom w:val="single" w:sz="4" w:space="0" w:color="auto"/>
            </w:tcBorders>
          </w:tcPr>
          <w:p w:rsidR="00E87608" w:rsidRPr="00E87608" w:rsidRDefault="00E87608" w:rsidP="0012160F">
            <w:pPr>
              <w:spacing w:before="60" w:after="0" w:line="240" w:lineRule="auto"/>
              <w:jc w:val="center"/>
              <w:rPr>
                <w:rFonts w:ascii="Times New Roman" w:hAnsi="Times New Roman" w:cs="Times New Roman"/>
                <w:b/>
                <w:sz w:val="20"/>
                <w:szCs w:val="20"/>
                <w:lang w:val="en-US"/>
              </w:rPr>
            </w:pPr>
            <w:r w:rsidRPr="00E87608">
              <w:rPr>
                <w:rFonts w:ascii="Times New Roman" w:hAnsi="Times New Roman" w:cs="Times New Roman"/>
                <w:b/>
                <w:noProof/>
                <w:sz w:val="20"/>
                <w:szCs w:val="20"/>
                <w:lang w:val="en-US"/>
              </w:rPr>
              <w:t>Plasticizer:PVC</w:t>
            </w:r>
          </w:p>
          <w:p w:rsidR="00E87608" w:rsidRPr="00E87608" w:rsidRDefault="00E87608" w:rsidP="0012160F">
            <w:pPr>
              <w:spacing w:after="60" w:line="240" w:lineRule="auto"/>
              <w:jc w:val="center"/>
              <w:rPr>
                <w:rFonts w:ascii="Times New Roman" w:hAnsi="Times New Roman" w:cs="Times New Roman"/>
                <w:b/>
                <w:sz w:val="20"/>
                <w:szCs w:val="20"/>
                <w:lang w:val="en-US"/>
              </w:rPr>
            </w:pPr>
            <w:r w:rsidRPr="00E87608">
              <w:rPr>
                <w:rFonts w:ascii="Times New Roman" w:hAnsi="Times New Roman" w:cs="Times New Roman"/>
                <w:b/>
                <w:sz w:val="20"/>
                <w:szCs w:val="20"/>
                <w:lang w:val="en-US"/>
              </w:rPr>
              <w:t>Ratio (%)</w:t>
            </w:r>
          </w:p>
        </w:tc>
        <w:tc>
          <w:tcPr>
            <w:tcW w:w="1448" w:type="dxa"/>
            <w:tcBorders>
              <w:top w:val="single" w:sz="4" w:space="0" w:color="auto"/>
              <w:bottom w:val="single" w:sz="4" w:space="0" w:color="auto"/>
            </w:tcBorders>
          </w:tcPr>
          <w:p w:rsidR="00E87608" w:rsidRPr="00E87608" w:rsidRDefault="00E87608" w:rsidP="0012160F">
            <w:pPr>
              <w:spacing w:before="60" w:after="0" w:line="240" w:lineRule="auto"/>
              <w:rPr>
                <w:rFonts w:ascii="Times New Roman" w:hAnsi="Times New Roman" w:cs="Times New Roman"/>
                <w:b/>
                <w:sz w:val="20"/>
                <w:szCs w:val="20"/>
                <w:lang w:val="en-US"/>
              </w:rPr>
            </w:pPr>
            <w:r w:rsidRPr="00E87608">
              <w:rPr>
                <w:rFonts w:ascii="Times New Roman" w:hAnsi="Times New Roman" w:cs="Times New Roman"/>
                <w:b/>
                <w:sz w:val="20"/>
                <w:szCs w:val="20"/>
                <w:lang w:val="en-US"/>
              </w:rPr>
              <w:t>Composition</w:t>
            </w:r>
          </w:p>
        </w:tc>
        <w:tc>
          <w:tcPr>
            <w:tcW w:w="921" w:type="dxa"/>
            <w:tcBorders>
              <w:top w:val="single" w:sz="4" w:space="0" w:color="auto"/>
              <w:bottom w:val="single" w:sz="4" w:space="0" w:color="auto"/>
            </w:tcBorders>
          </w:tcPr>
          <w:p w:rsidR="00E87608" w:rsidRPr="00E87608" w:rsidRDefault="00E87608" w:rsidP="0012160F">
            <w:pPr>
              <w:spacing w:before="60" w:after="0" w:line="240" w:lineRule="auto"/>
              <w:jc w:val="center"/>
              <w:rPr>
                <w:rFonts w:ascii="Times New Roman" w:hAnsi="Times New Roman" w:cs="Times New Roman"/>
                <w:b/>
                <w:sz w:val="20"/>
                <w:szCs w:val="20"/>
                <w:lang w:val="en-US"/>
              </w:rPr>
            </w:pPr>
            <w:r w:rsidRPr="00E87608">
              <w:rPr>
                <w:rFonts w:ascii="Times New Roman" w:hAnsi="Times New Roman" w:cs="Times New Roman"/>
                <w:b/>
                <w:sz w:val="20"/>
                <w:szCs w:val="20"/>
                <w:lang w:val="en-US"/>
              </w:rPr>
              <w:t>Atoms</w:t>
            </w:r>
          </w:p>
        </w:tc>
        <w:tc>
          <w:tcPr>
            <w:tcW w:w="1475" w:type="dxa"/>
            <w:tcBorders>
              <w:top w:val="single" w:sz="4" w:space="0" w:color="auto"/>
              <w:bottom w:val="single" w:sz="4" w:space="0" w:color="auto"/>
            </w:tcBorders>
          </w:tcPr>
          <w:p w:rsidR="00E87608" w:rsidRPr="00E87608" w:rsidRDefault="00E87608" w:rsidP="0012160F">
            <w:pPr>
              <w:spacing w:before="60" w:after="0" w:line="240" w:lineRule="auto"/>
              <w:rPr>
                <w:rFonts w:ascii="Times New Roman" w:hAnsi="Times New Roman" w:cs="Times New Roman"/>
                <w:b/>
                <w:sz w:val="20"/>
                <w:szCs w:val="20"/>
                <w:lang w:val="en-US"/>
              </w:rPr>
            </w:pPr>
            <w:r w:rsidRPr="00E87608">
              <w:rPr>
                <w:rFonts w:ascii="Times New Roman" w:hAnsi="Times New Roman" w:cs="Times New Roman"/>
                <w:b/>
                <w:sz w:val="20"/>
                <w:szCs w:val="20"/>
                <w:lang w:val="en-US"/>
              </w:rPr>
              <w:t>Formula</w:t>
            </w:r>
          </w:p>
        </w:tc>
        <w:tc>
          <w:tcPr>
            <w:tcW w:w="1289" w:type="dxa"/>
            <w:tcBorders>
              <w:top w:val="single" w:sz="4" w:space="0" w:color="auto"/>
              <w:bottom w:val="single" w:sz="4" w:space="0" w:color="auto"/>
            </w:tcBorders>
          </w:tcPr>
          <w:p w:rsidR="00E87608" w:rsidRPr="00E87608" w:rsidRDefault="00E87608" w:rsidP="0012160F">
            <w:pPr>
              <w:spacing w:before="60" w:after="0" w:line="240" w:lineRule="auto"/>
              <w:jc w:val="center"/>
              <w:rPr>
                <w:rFonts w:ascii="Times New Roman" w:hAnsi="Times New Roman" w:cs="Times New Roman"/>
                <w:b/>
                <w:sz w:val="20"/>
                <w:szCs w:val="20"/>
                <w:lang w:val="en-US"/>
              </w:rPr>
            </w:pPr>
            <w:r w:rsidRPr="00E87608">
              <w:rPr>
                <w:rFonts w:ascii="Times New Roman" w:hAnsi="Times New Roman" w:cs="Times New Roman"/>
                <w:b/>
                <w:sz w:val="20"/>
                <w:szCs w:val="20"/>
                <w:lang w:val="en-US"/>
              </w:rPr>
              <w:t>Weight</w:t>
            </w:r>
          </w:p>
          <w:p w:rsidR="00E87608" w:rsidRPr="00E87608" w:rsidRDefault="00E87608" w:rsidP="0012160F">
            <w:pPr>
              <w:spacing w:after="60" w:line="240" w:lineRule="auto"/>
              <w:jc w:val="center"/>
              <w:rPr>
                <w:rFonts w:ascii="Times New Roman" w:hAnsi="Times New Roman" w:cs="Times New Roman"/>
                <w:b/>
                <w:sz w:val="20"/>
                <w:szCs w:val="20"/>
                <w:lang w:val="en-US"/>
              </w:rPr>
            </w:pPr>
            <w:r w:rsidRPr="00E87608">
              <w:rPr>
                <w:rFonts w:ascii="Times New Roman" w:hAnsi="Times New Roman" w:cs="Times New Roman"/>
                <w:b/>
                <w:sz w:val="20"/>
                <w:szCs w:val="20"/>
                <w:lang w:val="en-US"/>
              </w:rPr>
              <w:t>(g/mol)</w:t>
            </w:r>
          </w:p>
        </w:tc>
      </w:tr>
      <w:tr w:rsidR="00E87608" w:rsidRPr="00E87608" w:rsidTr="0012160F">
        <w:trPr>
          <w:trHeight w:val="221"/>
          <w:jc w:val="center"/>
        </w:trPr>
        <w:tc>
          <w:tcPr>
            <w:tcW w:w="395" w:type="dxa"/>
            <w:tcBorders>
              <w:top w:val="single" w:sz="4" w:space="0" w:color="auto"/>
            </w:tcBorders>
          </w:tcPr>
          <w:p w:rsidR="00E87608" w:rsidRPr="00E87608" w:rsidRDefault="00E87608" w:rsidP="0012160F">
            <w:pPr>
              <w:spacing w:before="60" w:after="0" w:line="240" w:lineRule="auto"/>
              <w:jc w:val="both"/>
              <w:rPr>
                <w:rFonts w:ascii="Times New Roman" w:hAnsi="Times New Roman" w:cs="Times New Roman"/>
                <w:sz w:val="20"/>
                <w:szCs w:val="20"/>
                <w:lang w:val="en-US"/>
              </w:rPr>
            </w:pPr>
            <w:r w:rsidRPr="00E87608">
              <w:rPr>
                <w:rFonts w:ascii="Times New Roman" w:hAnsi="Times New Roman" w:cs="Times New Roman"/>
                <w:sz w:val="20"/>
                <w:szCs w:val="20"/>
                <w:lang w:val="en-US"/>
              </w:rPr>
              <w:t>1</w:t>
            </w:r>
          </w:p>
        </w:tc>
        <w:tc>
          <w:tcPr>
            <w:tcW w:w="1184" w:type="dxa"/>
            <w:tcBorders>
              <w:top w:val="single" w:sz="4" w:space="0" w:color="auto"/>
            </w:tcBorders>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6</w:t>
            </w:r>
          </w:p>
        </w:tc>
        <w:tc>
          <w:tcPr>
            <w:tcW w:w="1579" w:type="dxa"/>
            <w:tcBorders>
              <w:top w:val="single" w:sz="4" w:space="0" w:color="auto"/>
            </w:tcBorders>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52.35 : 47.65</w:t>
            </w:r>
          </w:p>
        </w:tc>
        <w:tc>
          <w:tcPr>
            <w:tcW w:w="1448" w:type="dxa"/>
            <w:tcBorders>
              <w:top w:val="single" w:sz="4" w:space="0" w:color="auto"/>
            </w:tcBorders>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2aBN+PVC</w:t>
            </w:r>
            <w:r w:rsidRPr="00E87608">
              <w:rPr>
                <w:rFonts w:ascii="Times New Roman" w:hAnsi="Times New Roman" w:cs="Times New Roman"/>
                <w:sz w:val="20"/>
                <w:szCs w:val="20"/>
                <w:vertAlign w:val="subscript"/>
                <w:lang w:val="en-US"/>
              </w:rPr>
              <w:t>6</w:t>
            </w:r>
          </w:p>
        </w:tc>
        <w:tc>
          <w:tcPr>
            <w:tcW w:w="921" w:type="dxa"/>
            <w:tcBorders>
              <w:top w:val="single" w:sz="4" w:space="0" w:color="auto"/>
            </w:tcBorders>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74</w:t>
            </w:r>
          </w:p>
        </w:tc>
        <w:tc>
          <w:tcPr>
            <w:tcW w:w="1475" w:type="dxa"/>
            <w:tcBorders>
              <w:top w:val="single" w:sz="4" w:space="0" w:color="auto"/>
            </w:tcBorders>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C</w:t>
            </w:r>
            <w:r w:rsidRPr="00E87608">
              <w:rPr>
                <w:rFonts w:ascii="Times New Roman" w:hAnsi="Times New Roman" w:cs="Times New Roman"/>
                <w:sz w:val="20"/>
                <w:szCs w:val="20"/>
                <w:vertAlign w:val="subscript"/>
                <w:lang w:val="en-US"/>
              </w:rPr>
              <w:t>32</w:t>
            </w:r>
            <w:r w:rsidRPr="00E87608">
              <w:rPr>
                <w:rFonts w:ascii="Times New Roman" w:hAnsi="Times New Roman" w:cs="Times New Roman"/>
                <w:sz w:val="20"/>
                <w:szCs w:val="20"/>
                <w:lang w:val="en-US"/>
              </w:rPr>
              <w:t>H</w:t>
            </w:r>
            <w:r w:rsidRPr="00E87608">
              <w:rPr>
                <w:rFonts w:ascii="Times New Roman" w:hAnsi="Times New Roman" w:cs="Times New Roman"/>
                <w:sz w:val="20"/>
                <w:szCs w:val="20"/>
                <w:vertAlign w:val="subscript"/>
                <w:lang w:val="en-US"/>
              </w:rPr>
              <w:t>34</w:t>
            </w:r>
            <w:r w:rsidRPr="00E87608">
              <w:rPr>
                <w:rFonts w:ascii="Times New Roman" w:hAnsi="Times New Roman" w:cs="Times New Roman"/>
                <w:sz w:val="20"/>
                <w:szCs w:val="20"/>
                <w:lang w:val="en-US"/>
              </w:rPr>
              <w:t>Br</w:t>
            </w:r>
            <w:r w:rsidRPr="00E87608">
              <w:rPr>
                <w:rFonts w:ascii="Times New Roman" w:hAnsi="Times New Roman" w:cs="Times New Roman"/>
                <w:sz w:val="20"/>
                <w:szCs w:val="20"/>
                <w:vertAlign w:val="subscript"/>
                <w:lang w:val="en-US"/>
              </w:rPr>
              <w:t>2</w:t>
            </w:r>
            <w:r w:rsidRPr="00E87608">
              <w:rPr>
                <w:rFonts w:ascii="Times New Roman" w:hAnsi="Times New Roman" w:cs="Times New Roman"/>
                <w:sz w:val="20"/>
                <w:szCs w:val="20"/>
                <w:lang w:val="en-US"/>
              </w:rPr>
              <w:t>Cl</w:t>
            </w:r>
            <w:r w:rsidRPr="00E87608">
              <w:rPr>
                <w:rFonts w:ascii="Times New Roman" w:hAnsi="Times New Roman" w:cs="Times New Roman"/>
                <w:sz w:val="20"/>
                <w:szCs w:val="20"/>
                <w:vertAlign w:val="subscript"/>
                <w:lang w:val="en-US"/>
              </w:rPr>
              <w:t>6</w:t>
            </w:r>
          </w:p>
        </w:tc>
        <w:tc>
          <w:tcPr>
            <w:tcW w:w="1289" w:type="dxa"/>
            <w:tcBorders>
              <w:top w:val="single" w:sz="4" w:space="0" w:color="auto"/>
            </w:tcBorders>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791.138</w:t>
            </w:r>
          </w:p>
        </w:tc>
      </w:tr>
      <w:tr w:rsidR="00E87608" w:rsidRPr="00E87608" w:rsidTr="00BB2876">
        <w:trPr>
          <w:trHeight w:val="221"/>
          <w:jc w:val="center"/>
        </w:trPr>
        <w:tc>
          <w:tcPr>
            <w:tcW w:w="395" w:type="dxa"/>
          </w:tcPr>
          <w:p w:rsidR="00E87608" w:rsidRPr="00E87608" w:rsidRDefault="00E87608" w:rsidP="0012160F">
            <w:pPr>
              <w:spacing w:before="60" w:after="0" w:line="240" w:lineRule="auto"/>
              <w:jc w:val="both"/>
              <w:rPr>
                <w:rFonts w:ascii="Times New Roman" w:hAnsi="Times New Roman" w:cs="Times New Roman"/>
                <w:sz w:val="20"/>
                <w:szCs w:val="20"/>
                <w:lang w:val="en-US"/>
              </w:rPr>
            </w:pPr>
            <w:r w:rsidRPr="00E87608">
              <w:rPr>
                <w:rFonts w:ascii="Times New Roman" w:hAnsi="Times New Roman" w:cs="Times New Roman"/>
                <w:sz w:val="20"/>
                <w:szCs w:val="20"/>
                <w:lang w:val="en-US"/>
              </w:rPr>
              <w:t>2</w:t>
            </w:r>
          </w:p>
        </w:tc>
        <w:tc>
          <w:tcPr>
            <w:tcW w:w="1184" w:type="dxa"/>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8</w:t>
            </w:r>
          </w:p>
        </w:tc>
        <w:tc>
          <w:tcPr>
            <w:tcW w:w="1579" w:type="dxa"/>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49.93 : 50.07</w:t>
            </w:r>
          </w:p>
        </w:tc>
        <w:tc>
          <w:tcPr>
            <w:tcW w:w="1448" w:type="dxa"/>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2DBP+PVC</w:t>
            </w:r>
            <w:r w:rsidRPr="00E87608">
              <w:rPr>
                <w:rFonts w:ascii="Times New Roman" w:hAnsi="Times New Roman" w:cs="Times New Roman"/>
                <w:sz w:val="20"/>
                <w:szCs w:val="20"/>
                <w:vertAlign w:val="subscript"/>
                <w:lang w:val="en-US"/>
              </w:rPr>
              <w:t>8</w:t>
            </w:r>
          </w:p>
        </w:tc>
        <w:tc>
          <w:tcPr>
            <w:tcW w:w="921" w:type="dxa"/>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134</w:t>
            </w:r>
          </w:p>
        </w:tc>
        <w:tc>
          <w:tcPr>
            <w:tcW w:w="1475" w:type="dxa"/>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C</w:t>
            </w:r>
            <w:r w:rsidRPr="00E87608">
              <w:rPr>
                <w:rFonts w:ascii="Times New Roman" w:hAnsi="Times New Roman" w:cs="Times New Roman"/>
                <w:sz w:val="20"/>
                <w:szCs w:val="20"/>
                <w:vertAlign w:val="subscript"/>
                <w:lang w:val="en-US"/>
              </w:rPr>
              <w:t>48</w:t>
            </w:r>
            <w:r w:rsidRPr="00E87608">
              <w:rPr>
                <w:rFonts w:ascii="Times New Roman" w:hAnsi="Times New Roman" w:cs="Times New Roman"/>
                <w:sz w:val="20"/>
                <w:szCs w:val="20"/>
                <w:lang w:val="en-US"/>
              </w:rPr>
              <w:t>H</w:t>
            </w:r>
            <w:r w:rsidRPr="00E87608">
              <w:rPr>
                <w:rFonts w:ascii="Times New Roman" w:hAnsi="Times New Roman" w:cs="Times New Roman"/>
                <w:sz w:val="20"/>
                <w:szCs w:val="20"/>
                <w:vertAlign w:val="subscript"/>
                <w:lang w:val="en-US"/>
              </w:rPr>
              <w:t>70</w:t>
            </w:r>
            <w:r w:rsidRPr="00E87608">
              <w:rPr>
                <w:rFonts w:ascii="Times New Roman" w:hAnsi="Times New Roman" w:cs="Times New Roman"/>
                <w:sz w:val="20"/>
                <w:szCs w:val="20"/>
                <w:lang w:val="en-US"/>
              </w:rPr>
              <w:t>Cl</w:t>
            </w:r>
            <w:r w:rsidRPr="00E87608">
              <w:rPr>
                <w:rFonts w:ascii="Times New Roman" w:hAnsi="Times New Roman" w:cs="Times New Roman"/>
                <w:sz w:val="20"/>
                <w:szCs w:val="20"/>
                <w:vertAlign w:val="subscript"/>
                <w:lang w:val="en-US"/>
              </w:rPr>
              <w:t>8</w:t>
            </w:r>
            <w:r w:rsidRPr="00E87608">
              <w:rPr>
                <w:rFonts w:ascii="Times New Roman" w:hAnsi="Times New Roman" w:cs="Times New Roman"/>
                <w:sz w:val="20"/>
                <w:szCs w:val="20"/>
                <w:lang w:val="en-US"/>
              </w:rPr>
              <w:t>O</w:t>
            </w:r>
            <w:r w:rsidRPr="00E87608">
              <w:rPr>
                <w:rFonts w:ascii="Times New Roman" w:hAnsi="Times New Roman" w:cs="Times New Roman"/>
                <w:sz w:val="20"/>
                <w:szCs w:val="20"/>
                <w:vertAlign w:val="subscript"/>
                <w:lang w:val="en-US"/>
              </w:rPr>
              <w:t>8</w:t>
            </w:r>
          </w:p>
        </w:tc>
        <w:tc>
          <w:tcPr>
            <w:tcW w:w="1289" w:type="dxa"/>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1058.689</w:t>
            </w:r>
          </w:p>
        </w:tc>
      </w:tr>
      <w:tr w:rsidR="00E87608" w:rsidRPr="00E87608" w:rsidTr="00BB2876">
        <w:trPr>
          <w:trHeight w:val="221"/>
          <w:jc w:val="center"/>
        </w:trPr>
        <w:tc>
          <w:tcPr>
            <w:tcW w:w="395" w:type="dxa"/>
          </w:tcPr>
          <w:p w:rsidR="00E87608" w:rsidRPr="00E87608" w:rsidRDefault="00E87608" w:rsidP="0012160F">
            <w:pPr>
              <w:spacing w:before="60" w:after="0" w:line="240" w:lineRule="auto"/>
              <w:jc w:val="both"/>
              <w:rPr>
                <w:rFonts w:ascii="Times New Roman" w:hAnsi="Times New Roman" w:cs="Times New Roman"/>
                <w:sz w:val="20"/>
                <w:szCs w:val="20"/>
                <w:lang w:val="en-US"/>
              </w:rPr>
            </w:pPr>
            <w:r w:rsidRPr="00E87608">
              <w:rPr>
                <w:rFonts w:ascii="Times New Roman" w:hAnsi="Times New Roman" w:cs="Times New Roman"/>
                <w:sz w:val="20"/>
                <w:szCs w:val="20"/>
                <w:lang w:val="en-US"/>
              </w:rPr>
              <w:t>3</w:t>
            </w:r>
          </w:p>
        </w:tc>
        <w:tc>
          <w:tcPr>
            <w:tcW w:w="1184" w:type="dxa"/>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12</w:t>
            </w:r>
          </w:p>
        </w:tc>
        <w:tc>
          <w:tcPr>
            <w:tcW w:w="1579" w:type="dxa"/>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50.95 : 49.05</w:t>
            </w:r>
          </w:p>
        </w:tc>
        <w:tc>
          <w:tcPr>
            <w:tcW w:w="1448" w:type="dxa"/>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2DOP+PVC</w:t>
            </w:r>
            <w:r w:rsidRPr="00E87608">
              <w:rPr>
                <w:rFonts w:ascii="Times New Roman" w:hAnsi="Times New Roman" w:cs="Times New Roman"/>
                <w:sz w:val="20"/>
                <w:szCs w:val="20"/>
                <w:vertAlign w:val="subscript"/>
                <w:lang w:val="en-US"/>
              </w:rPr>
              <w:t>12</w:t>
            </w:r>
          </w:p>
        </w:tc>
        <w:tc>
          <w:tcPr>
            <w:tcW w:w="921" w:type="dxa"/>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206</w:t>
            </w:r>
          </w:p>
        </w:tc>
        <w:tc>
          <w:tcPr>
            <w:tcW w:w="1475" w:type="dxa"/>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C</w:t>
            </w:r>
            <w:r w:rsidRPr="00E87608">
              <w:rPr>
                <w:rFonts w:ascii="Times New Roman" w:hAnsi="Times New Roman" w:cs="Times New Roman"/>
                <w:sz w:val="20"/>
                <w:szCs w:val="20"/>
                <w:vertAlign w:val="subscript"/>
                <w:lang w:val="en-US"/>
              </w:rPr>
              <w:t>72</w:t>
            </w:r>
            <w:r w:rsidRPr="00E87608">
              <w:rPr>
                <w:rFonts w:ascii="Times New Roman" w:hAnsi="Times New Roman" w:cs="Times New Roman"/>
                <w:sz w:val="20"/>
                <w:szCs w:val="20"/>
                <w:lang w:val="en-US"/>
              </w:rPr>
              <w:t>H</w:t>
            </w:r>
            <w:r w:rsidRPr="00E87608">
              <w:rPr>
                <w:rFonts w:ascii="Times New Roman" w:hAnsi="Times New Roman" w:cs="Times New Roman"/>
                <w:sz w:val="20"/>
                <w:szCs w:val="20"/>
                <w:vertAlign w:val="subscript"/>
                <w:lang w:val="en-US"/>
              </w:rPr>
              <w:t>114</w:t>
            </w:r>
            <w:r w:rsidRPr="00E87608">
              <w:rPr>
                <w:rFonts w:ascii="Times New Roman" w:hAnsi="Times New Roman" w:cs="Times New Roman"/>
                <w:sz w:val="20"/>
                <w:szCs w:val="20"/>
                <w:lang w:val="en-US"/>
              </w:rPr>
              <w:t>Cl</w:t>
            </w:r>
            <w:r w:rsidRPr="00E87608">
              <w:rPr>
                <w:rFonts w:ascii="Times New Roman" w:hAnsi="Times New Roman" w:cs="Times New Roman"/>
                <w:sz w:val="20"/>
                <w:szCs w:val="20"/>
                <w:vertAlign w:val="subscript"/>
                <w:lang w:val="en-US"/>
              </w:rPr>
              <w:t>12</w:t>
            </w:r>
            <w:r w:rsidRPr="00E87608">
              <w:rPr>
                <w:rFonts w:ascii="Times New Roman" w:hAnsi="Times New Roman" w:cs="Times New Roman"/>
                <w:sz w:val="20"/>
                <w:szCs w:val="20"/>
                <w:lang w:val="en-US"/>
              </w:rPr>
              <w:t>O</w:t>
            </w:r>
            <w:r w:rsidRPr="00E87608">
              <w:rPr>
                <w:rFonts w:ascii="Times New Roman" w:hAnsi="Times New Roman" w:cs="Times New Roman"/>
                <w:sz w:val="20"/>
                <w:szCs w:val="20"/>
                <w:vertAlign w:val="subscript"/>
                <w:lang w:val="en-US"/>
              </w:rPr>
              <w:t>8</w:t>
            </w:r>
          </w:p>
        </w:tc>
        <w:tc>
          <w:tcPr>
            <w:tcW w:w="1289" w:type="dxa"/>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1533.107</w:t>
            </w:r>
          </w:p>
        </w:tc>
      </w:tr>
      <w:tr w:rsidR="00E87608" w:rsidRPr="00E87608" w:rsidTr="0012160F">
        <w:trPr>
          <w:trHeight w:val="232"/>
          <w:jc w:val="center"/>
        </w:trPr>
        <w:tc>
          <w:tcPr>
            <w:tcW w:w="395" w:type="dxa"/>
            <w:tcBorders>
              <w:bottom w:val="nil"/>
            </w:tcBorders>
          </w:tcPr>
          <w:p w:rsidR="00E87608" w:rsidRPr="00E87608" w:rsidRDefault="00E87608" w:rsidP="0012160F">
            <w:pPr>
              <w:spacing w:before="60" w:after="0" w:line="240" w:lineRule="auto"/>
              <w:jc w:val="both"/>
              <w:rPr>
                <w:rFonts w:ascii="Times New Roman" w:hAnsi="Times New Roman" w:cs="Times New Roman"/>
                <w:sz w:val="20"/>
                <w:szCs w:val="20"/>
                <w:lang w:val="en-US"/>
              </w:rPr>
            </w:pPr>
            <w:r w:rsidRPr="00E87608">
              <w:rPr>
                <w:rFonts w:ascii="Times New Roman" w:hAnsi="Times New Roman" w:cs="Times New Roman"/>
                <w:sz w:val="20"/>
                <w:szCs w:val="20"/>
                <w:lang w:val="en-US"/>
              </w:rPr>
              <w:t>4</w:t>
            </w:r>
          </w:p>
        </w:tc>
        <w:tc>
          <w:tcPr>
            <w:tcW w:w="1184" w:type="dxa"/>
            <w:tcBorders>
              <w:bottom w:val="nil"/>
            </w:tcBorders>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8</w:t>
            </w:r>
          </w:p>
        </w:tc>
        <w:tc>
          <w:tcPr>
            <w:tcW w:w="1579" w:type="dxa"/>
            <w:tcBorders>
              <w:bottom w:val="nil"/>
            </w:tcBorders>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49.34 : 50.66</w:t>
            </w:r>
          </w:p>
        </w:tc>
        <w:tc>
          <w:tcPr>
            <w:tcW w:w="1448" w:type="dxa"/>
            <w:tcBorders>
              <w:bottom w:val="nil"/>
            </w:tcBorders>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2NPOE+PVC</w:t>
            </w:r>
            <w:r w:rsidRPr="00E87608">
              <w:rPr>
                <w:rFonts w:ascii="Times New Roman" w:hAnsi="Times New Roman" w:cs="Times New Roman"/>
                <w:sz w:val="20"/>
                <w:szCs w:val="20"/>
                <w:vertAlign w:val="subscript"/>
                <w:lang w:val="en-US"/>
              </w:rPr>
              <w:t>8</w:t>
            </w:r>
          </w:p>
        </w:tc>
        <w:tc>
          <w:tcPr>
            <w:tcW w:w="921" w:type="dxa"/>
            <w:tcBorders>
              <w:bottom w:val="nil"/>
            </w:tcBorders>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131</w:t>
            </w:r>
          </w:p>
        </w:tc>
        <w:tc>
          <w:tcPr>
            <w:tcW w:w="1475" w:type="dxa"/>
            <w:tcBorders>
              <w:bottom w:val="nil"/>
            </w:tcBorders>
          </w:tcPr>
          <w:p w:rsidR="00E87608" w:rsidRPr="00E87608" w:rsidRDefault="00E87608" w:rsidP="0012160F">
            <w:pPr>
              <w:spacing w:before="60" w:after="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C</w:t>
            </w:r>
            <w:r w:rsidRPr="00E87608">
              <w:rPr>
                <w:rFonts w:ascii="Times New Roman" w:hAnsi="Times New Roman" w:cs="Times New Roman"/>
                <w:sz w:val="20"/>
                <w:szCs w:val="20"/>
                <w:vertAlign w:val="subscript"/>
                <w:lang w:val="en-US"/>
              </w:rPr>
              <w:t>45</w:t>
            </w:r>
            <w:r w:rsidRPr="00E87608">
              <w:rPr>
                <w:rFonts w:ascii="Times New Roman" w:hAnsi="Times New Roman" w:cs="Times New Roman"/>
                <w:sz w:val="20"/>
                <w:szCs w:val="20"/>
                <w:lang w:val="en-US"/>
              </w:rPr>
              <w:t>H</w:t>
            </w:r>
            <w:r w:rsidRPr="00E87608">
              <w:rPr>
                <w:rFonts w:ascii="Times New Roman" w:hAnsi="Times New Roman" w:cs="Times New Roman"/>
                <w:sz w:val="20"/>
                <w:szCs w:val="20"/>
                <w:vertAlign w:val="subscript"/>
                <w:lang w:val="en-US"/>
              </w:rPr>
              <w:t>70</w:t>
            </w:r>
            <w:r w:rsidRPr="00E87608">
              <w:rPr>
                <w:rFonts w:ascii="Times New Roman" w:hAnsi="Times New Roman" w:cs="Times New Roman"/>
                <w:sz w:val="20"/>
                <w:szCs w:val="20"/>
                <w:lang w:val="en-US"/>
              </w:rPr>
              <w:t>Cl</w:t>
            </w:r>
            <w:r w:rsidRPr="00E87608">
              <w:rPr>
                <w:rFonts w:ascii="Times New Roman" w:hAnsi="Times New Roman" w:cs="Times New Roman"/>
                <w:sz w:val="20"/>
                <w:szCs w:val="20"/>
                <w:vertAlign w:val="subscript"/>
                <w:lang w:val="en-US"/>
              </w:rPr>
              <w:t>8</w:t>
            </w:r>
            <w:r w:rsidRPr="00E87608">
              <w:rPr>
                <w:rFonts w:ascii="Times New Roman" w:hAnsi="Times New Roman" w:cs="Times New Roman"/>
                <w:sz w:val="20"/>
                <w:szCs w:val="20"/>
                <w:lang w:val="en-US"/>
              </w:rPr>
              <w:t>N</w:t>
            </w:r>
            <w:r w:rsidRPr="00E87608">
              <w:rPr>
                <w:rFonts w:ascii="Times New Roman" w:hAnsi="Times New Roman" w:cs="Times New Roman"/>
                <w:sz w:val="20"/>
                <w:szCs w:val="20"/>
                <w:vertAlign w:val="subscript"/>
                <w:lang w:val="en-US"/>
              </w:rPr>
              <w:t>2</w:t>
            </w:r>
            <w:r w:rsidRPr="00E87608">
              <w:rPr>
                <w:rFonts w:ascii="Times New Roman" w:hAnsi="Times New Roman" w:cs="Times New Roman"/>
                <w:sz w:val="20"/>
                <w:szCs w:val="20"/>
                <w:lang w:val="en-US"/>
              </w:rPr>
              <w:t>O</w:t>
            </w:r>
            <w:r w:rsidRPr="00E87608">
              <w:rPr>
                <w:rFonts w:ascii="Times New Roman" w:hAnsi="Times New Roman" w:cs="Times New Roman"/>
                <w:sz w:val="20"/>
                <w:szCs w:val="20"/>
                <w:vertAlign w:val="subscript"/>
                <w:lang w:val="en-US"/>
              </w:rPr>
              <w:t>6</w:t>
            </w:r>
          </w:p>
        </w:tc>
        <w:tc>
          <w:tcPr>
            <w:tcW w:w="1289" w:type="dxa"/>
            <w:tcBorders>
              <w:bottom w:val="nil"/>
            </w:tcBorders>
          </w:tcPr>
          <w:p w:rsidR="00E87608" w:rsidRPr="00E87608" w:rsidRDefault="00E87608" w:rsidP="0012160F">
            <w:pPr>
              <w:spacing w:before="60" w:after="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1018.671</w:t>
            </w:r>
          </w:p>
        </w:tc>
      </w:tr>
      <w:tr w:rsidR="00E87608" w:rsidRPr="00E87608" w:rsidTr="0012160F">
        <w:trPr>
          <w:trHeight w:val="221"/>
          <w:jc w:val="center"/>
        </w:trPr>
        <w:tc>
          <w:tcPr>
            <w:tcW w:w="395" w:type="dxa"/>
            <w:tcBorders>
              <w:top w:val="nil"/>
              <w:bottom w:val="single" w:sz="4" w:space="0" w:color="auto"/>
            </w:tcBorders>
          </w:tcPr>
          <w:p w:rsidR="00E87608" w:rsidRPr="00E87608" w:rsidRDefault="00E87608" w:rsidP="0012160F">
            <w:pPr>
              <w:spacing w:before="60" w:after="60" w:line="240" w:lineRule="auto"/>
              <w:jc w:val="both"/>
              <w:rPr>
                <w:rFonts w:ascii="Times New Roman" w:hAnsi="Times New Roman" w:cs="Times New Roman"/>
                <w:sz w:val="20"/>
                <w:szCs w:val="20"/>
                <w:lang w:val="en-US"/>
              </w:rPr>
            </w:pPr>
            <w:r w:rsidRPr="00E87608">
              <w:rPr>
                <w:rFonts w:ascii="Times New Roman" w:hAnsi="Times New Roman" w:cs="Times New Roman"/>
                <w:sz w:val="20"/>
                <w:szCs w:val="20"/>
                <w:lang w:val="en-US"/>
              </w:rPr>
              <w:t>5</w:t>
            </w:r>
          </w:p>
        </w:tc>
        <w:tc>
          <w:tcPr>
            <w:tcW w:w="1184" w:type="dxa"/>
            <w:tcBorders>
              <w:top w:val="nil"/>
              <w:bottom w:val="single" w:sz="4" w:space="0" w:color="auto"/>
            </w:tcBorders>
          </w:tcPr>
          <w:p w:rsidR="00E87608" w:rsidRPr="00E87608" w:rsidRDefault="00E87608" w:rsidP="0012160F">
            <w:pPr>
              <w:spacing w:before="60" w:after="6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12</w:t>
            </w:r>
          </w:p>
        </w:tc>
        <w:tc>
          <w:tcPr>
            <w:tcW w:w="1579" w:type="dxa"/>
            <w:tcBorders>
              <w:top w:val="nil"/>
              <w:bottom w:val="single" w:sz="4" w:space="0" w:color="auto"/>
            </w:tcBorders>
          </w:tcPr>
          <w:p w:rsidR="00E87608" w:rsidRPr="00E87608" w:rsidRDefault="00E87608" w:rsidP="0012160F">
            <w:pPr>
              <w:spacing w:before="60" w:after="6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49.49 : 50.51</w:t>
            </w:r>
          </w:p>
        </w:tc>
        <w:tc>
          <w:tcPr>
            <w:tcW w:w="1448" w:type="dxa"/>
            <w:tcBorders>
              <w:top w:val="nil"/>
              <w:bottom w:val="single" w:sz="4" w:space="0" w:color="auto"/>
            </w:tcBorders>
          </w:tcPr>
          <w:p w:rsidR="00E87608" w:rsidRPr="00E87608" w:rsidRDefault="00E87608" w:rsidP="0012160F">
            <w:pPr>
              <w:spacing w:before="60" w:after="6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2TCP+PVC</w:t>
            </w:r>
            <w:r w:rsidRPr="00E87608">
              <w:rPr>
                <w:rFonts w:ascii="Times New Roman" w:hAnsi="Times New Roman" w:cs="Times New Roman"/>
                <w:sz w:val="20"/>
                <w:szCs w:val="20"/>
                <w:vertAlign w:val="subscript"/>
                <w:lang w:val="en-US"/>
              </w:rPr>
              <w:t>12</w:t>
            </w:r>
          </w:p>
        </w:tc>
        <w:tc>
          <w:tcPr>
            <w:tcW w:w="921" w:type="dxa"/>
            <w:tcBorders>
              <w:top w:val="nil"/>
              <w:bottom w:val="single" w:sz="4" w:space="0" w:color="auto"/>
            </w:tcBorders>
          </w:tcPr>
          <w:p w:rsidR="00E87608" w:rsidRPr="00E87608" w:rsidRDefault="00E87608" w:rsidP="0012160F">
            <w:pPr>
              <w:spacing w:before="60" w:after="6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168</w:t>
            </w:r>
          </w:p>
        </w:tc>
        <w:tc>
          <w:tcPr>
            <w:tcW w:w="1475" w:type="dxa"/>
            <w:tcBorders>
              <w:top w:val="nil"/>
              <w:bottom w:val="single" w:sz="4" w:space="0" w:color="auto"/>
            </w:tcBorders>
          </w:tcPr>
          <w:p w:rsidR="00E87608" w:rsidRPr="00E87608" w:rsidRDefault="00E87608" w:rsidP="0012160F">
            <w:pPr>
              <w:spacing w:before="60" w:after="60" w:line="240" w:lineRule="auto"/>
              <w:rPr>
                <w:rFonts w:ascii="Times New Roman" w:hAnsi="Times New Roman" w:cs="Times New Roman"/>
                <w:sz w:val="20"/>
                <w:szCs w:val="20"/>
                <w:lang w:val="en-US"/>
              </w:rPr>
            </w:pPr>
            <w:r w:rsidRPr="00E87608">
              <w:rPr>
                <w:rFonts w:ascii="Times New Roman" w:hAnsi="Times New Roman" w:cs="Times New Roman"/>
                <w:sz w:val="20"/>
                <w:szCs w:val="20"/>
                <w:lang w:val="en-US"/>
              </w:rPr>
              <w:t>C</w:t>
            </w:r>
            <w:r w:rsidRPr="00E87608">
              <w:rPr>
                <w:rFonts w:ascii="Times New Roman" w:hAnsi="Times New Roman" w:cs="Times New Roman"/>
                <w:sz w:val="20"/>
                <w:szCs w:val="20"/>
                <w:vertAlign w:val="subscript"/>
                <w:lang w:val="en-US"/>
              </w:rPr>
              <w:t>66</w:t>
            </w:r>
            <w:r w:rsidRPr="00E87608">
              <w:rPr>
                <w:rFonts w:ascii="Times New Roman" w:hAnsi="Times New Roman" w:cs="Times New Roman"/>
                <w:sz w:val="20"/>
                <w:szCs w:val="20"/>
                <w:lang w:val="en-US"/>
              </w:rPr>
              <w:t>H</w:t>
            </w:r>
            <w:r w:rsidRPr="00E87608">
              <w:rPr>
                <w:rFonts w:ascii="Times New Roman" w:hAnsi="Times New Roman" w:cs="Times New Roman"/>
                <w:sz w:val="20"/>
                <w:szCs w:val="20"/>
                <w:vertAlign w:val="subscript"/>
                <w:lang w:val="en-US"/>
              </w:rPr>
              <w:t>80</w:t>
            </w:r>
            <w:r w:rsidRPr="00E87608">
              <w:rPr>
                <w:rFonts w:ascii="Times New Roman" w:hAnsi="Times New Roman" w:cs="Times New Roman"/>
                <w:sz w:val="20"/>
                <w:szCs w:val="20"/>
                <w:lang w:val="en-US"/>
              </w:rPr>
              <w:t>Cl</w:t>
            </w:r>
            <w:r w:rsidRPr="00E87608">
              <w:rPr>
                <w:rFonts w:ascii="Times New Roman" w:hAnsi="Times New Roman" w:cs="Times New Roman"/>
                <w:sz w:val="20"/>
                <w:szCs w:val="20"/>
                <w:vertAlign w:val="subscript"/>
                <w:lang w:val="en-US"/>
              </w:rPr>
              <w:t>12</w:t>
            </w:r>
            <w:r w:rsidRPr="00E87608">
              <w:rPr>
                <w:rFonts w:ascii="Times New Roman" w:hAnsi="Times New Roman" w:cs="Times New Roman"/>
                <w:sz w:val="20"/>
                <w:szCs w:val="20"/>
                <w:lang w:val="en-US"/>
              </w:rPr>
              <w:t>O</w:t>
            </w:r>
            <w:r w:rsidRPr="00E87608">
              <w:rPr>
                <w:rFonts w:ascii="Times New Roman" w:hAnsi="Times New Roman" w:cs="Times New Roman"/>
                <w:sz w:val="20"/>
                <w:szCs w:val="20"/>
                <w:vertAlign w:val="subscript"/>
                <w:lang w:val="en-US"/>
              </w:rPr>
              <w:t>8</w:t>
            </w:r>
            <w:r w:rsidRPr="00E87608">
              <w:rPr>
                <w:rFonts w:ascii="Times New Roman" w:hAnsi="Times New Roman" w:cs="Times New Roman"/>
                <w:sz w:val="20"/>
                <w:szCs w:val="20"/>
                <w:lang w:val="en-US"/>
              </w:rPr>
              <w:t>P</w:t>
            </w:r>
            <w:r w:rsidRPr="00E87608">
              <w:rPr>
                <w:rFonts w:ascii="Times New Roman" w:hAnsi="Times New Roman" w:cs="Times New Roman"/>
                <w:sz w:val="20"/>
                <w:szCs w:val="20"/>
                <w:vertAlign w:val="subscript"/>
                <w:lang w:val="en-US"/>
              </w:rPr>
              <w:t>2</w:t>
            </w:r>
          </w:p>
        </w:tc>
        <w:tc>
          <w:tcPr>
            <w:tcW w:w="1289" w:type="dxa"/>
            <w:tcBorders>
              <w:top w:val="nil"/>
              <w:bottom w:val="single" w:sz="4" w:space="0" w:color="auto"/>
            </w:tcBorders>
          </w:tcPr>
          <w:p w:rsidR="00E87608" w:rsidRPr="00E87608" w:rsidRDefault="00E87608" w:rsidP="0012160F">
            <w:pPr>
              <w:spacing w:before="60" w:after="60" w:line="240" w:lineRule="auto"/>
              <w:jc w:val="center"/>
              <w:rPr>
                <w:rFonts w:ascii="Times New Roman" w:hAnsi="Times New Roman" w:cs="Times New Roman"/>
                <w:sz w:val="20"/>
                <w:szCs w:val="20"/>
                <w:lang w:val="en-US"/>
              </w:rPr>
            </w:pPr>
            <w:r w:rsidRPr="00E87608">
              <w:rPr>
                <w:rFonts w:ascii="Times New Roman" w:hAnsi="Times New Roman" w:cs="Times New Roman"/>
                <w:sz w:val="20"/>
                <w:szCs w:val="20"/>
                <w:lang w:val="en-US"/>
              </w:rPr>
              <w:t>1488.720</w:t>
            </w:r>
          </w:p>
        </w:tc>
      </w:tr>
    </w:tbl>
    <w:p w:rsidR="00E87608" w:rsidRPr="00E87608" w:rsidRDefault="00E87608" w:rsidP="0012160F">
      <w:pPr>
        <w:spacing w:after="12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Figure 1 shows the change in total energy at a time during the MD simulation. The chosen integrator provides a reasonable numerical stability. Despite rounding errors and other numerical inaccuracies, the total energies of the systems are relatively well conserved. This shows relative stability and characterizes the chosen method as good enough to obtain reliable geometries. In addition, the thermostat is highly stable, with fluctuations mostly in ±5 K range, and only in a few steps was the deviation in temperature higher than 20 K. Intermolecular interaction energies, on the other hand, fluctuate considerably for each system during the simulation time. This behaviour can be explained in terms of the size of the system components. There is a huge number of possible conformers for these components, and this can cause huge deviations in intermolecular distances and large fluctuations in this type of interaction. Despite rounding errors and other numerical inaccuracies, the total energy of the system is very well conserved (Figure 1).</w:t>
      </w:r>
    </w:p>
    <w:p w:rsidR="00E87608" w:rsidRPr="00E87608" w:rsidRDefault="00E87608" w:rsidP="0012160F">
      <w:pPr>
        <w:spacing w:after="120" w:line="240" w:lineRule="auto"/>
        <w:jc w:val="both"/>
        <w:outlineLvl w:val="0"/>
        <w:rPr>
          <w:rFonts w:ascii="Times New Roman" w:hAnsi="Times New Roman"/>
          <w:sz w:val="20"/>
          <w:szCs w:val="20"/>
        </w:rPr>
      </w:pPr>
    </w:p>
    <w:p w:rsidR="00E87608" w:rsidRPr="00E87608" w:rsidRDefault="00E87608" w:rsidP="0012160F">
      <w:pPr>
        <w:spacing w:after="0" w:line="240" w:lineRule="auto"/>
        <w:jc w:val="center"/>
        <w:outlineLvl w:val="0"/>
        <w:rPr>
          <w:rFonts w:ascii="Times New Roman" w:hAnsi="Times New Roman"/>
          <w:sz w:val="20"/>
          <w:szCs w:val="20"/>
        </w:rPr>
      </w:pPr>
      <w:r w:rsidRPr="00E87608">
        <w:rPr>
          <w:rFonts w:ascii="Times New Roman" w:hAnsi="Times New Roman"/>
          <w:noProof/>
          <w:sz w:val="20"/>
          <w:szCs w:val="20"/>
          <w:lang w:bidi="ar-SA"/>
        </w:rPr>
        <w:drawing>
          <wp:inline distT="0" distB="0" distL="0" distR="0" wp14:anchorId="13CD7C93" wp14:editId="4D30D497">
            <wp:extent cx="5731510" cy="1929470"/>
            <wp:effectExtent l="19050" t="19050" r="21590" b="13970"/>
            <wp:docPr id="2" name="Рисунок 1" descr="F:\CALCULATION\26_malazian\UVVIS-stability\2x_dinamic\0_MD_conservation\1_Figure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ALCULATION\26_malazian\UVVIS-stability\2x_dinamic\0_MD_conservation\1_Figure_1.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929470"/>
                    </a:xfrm>
                    <a:prstGeom prst="rect">
                      <a:avLst/>
                    </a:prstGeom>
                    <a:solidFill>
                      <a:schemeClr val="tx1"/>
                    </a:solidFill>
                    <a:ln w="6350">
                      <a:solidFill>
                        <a:schemeClr val="tx1"/>
                      </a:solidFill>
                    </a:ln>
                    <a:effectLst/>
                  </pic:spPr>
                </pic:pic>
              </a:graphicData>
            </a:graphic>
          </wp:inline>
        </w:drawing>
      </w:r>
    </w:p>
    <w:p w:rsidR="00E87608" w:rsidRPr="00E87608" w:rsidRDefault="00E87608" w:rsidP="00E87608">
      <w:pPr>
        <w:spacing w:after="0" w:line="240" w:lineRule="auto"/>
        <w:jc w:val="both"/>
        <w:rPr>
          <w:rFonts w:ascii="Times New Roman" w:hAnsi="Times New Roman"/>
          <w:sz w:val="20"/>
          <w:szCs w:val="20"/>
        </w:rPr>
      </w:pPr>
    </w:p>
    <w:p w:rsidR="00E87608" w:rsidRPr="00E87608" w:rsidRDefault="00E87608" w:rsidP="00E87608">
      <w:pPr>
        <w:spacing w:after="0" w:line="240" w:lineRule="auto"/>
        <w:ind w:left="851" w:hanging="851"/>
        <w:jc w:val="both"/>
        <w:rPr>
          <w:rFonts w:ascii="Times New Roman" w:hAnsi="Times New Roman"/>
          <w:sz w:val="20"/>
          <w:szCs w:val="20"/>
        </w:rPr>
      </w:pPr>
      <w:r w:rsidRPr="00E87608">
        <w:rPr>
          <w:rFonts w:ascii="Times New Roman" w:hAnsi="Times New Roman"/>
          <w:sz w:val="20"/>
          <w:szCs w:val="20"/>
        </w:rPr>
        <w:t xml:space="preserve">Figure 1. </w:t>
      </w:r>
      <w:r w:rsidR="0012160F">
        <w:rPr>
          <w:rFonts w:ascii="Times New Roman" w:hAnsi="Times New Roman"/>
          <w:sz w:val="20"/>
          <w:szCs w:val="20"/>
        </w:rPr>
        <w:tab/>
      </w:r>
      <w:r w:rsidRPr="00E87608">
        <w:rPr>
          <w:rFonts w:ascii="Times New Roman" w:hAnsi="Times New Roman"/>
          <w:sz w:val="20"/>
          <w:szCs w:val="20"/>
        </w:rPr>
        <w:t>Characteristics of MD simulation (a) conservation of energy, (b) conservation of temperature and (c) intermolecular interaction energy</w:t>
      </w:r>
    </w:p>
    <w:p w:rsidR="00E87608" w:rsidRPr="00E87608" w:rsidRDefault="00E87608" w:rsidP="0012160F">
      <w:pPr>
        <w:spacing w:after="12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b/>
          <w:sz w:val="20"/>
          <w:szCs w:val="20"/>
        </w:rPr>
      </w:pPr>
      <w:r w:rsidRPr="00E87608">
        <w:rPr>
          <w:rFonts w:ascii="Times New Roman" w:hAnsi="Times New Roman"/>
          <w:b/>
          <w:sz w:val="20"/>
          <w:szCs w:val="20"/>
        </w:rPr>
        <w:t>1-bromonaphthalene-polyvinyl chloride system</w:t>
      </w: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 xml:space="preserve">One of the snapshots of the HOMO and LUMO orbitals is shown in Figure 2. The HOMO of the aBN-PVC complex is located along the naphthalene ring and its energy is –8.00 eV. The LUMO of –0.81 eV is also located in the naphthalene ring. The HOMO–2 and HOMO–1, as well as the LUMO+1 and LUMO+2 of this system are focused on aromatic naphthalene moieties and, among others, also lie in the same energy regions of –9.24 eV, </w:t>
      </w:r>
      <w:r w:rsidRPr="00E87608">
        <w:rPr>
          <w:rFonts w:ascii="Times New Roman" w:hAnsi="Times New Roman"/>
          <w:sz w:val="20"/>
          <w:szCs w:val="20"/>
        </w:rPr>
        <w:br/>
        <w:t xml:space="preserve">–8.28 eV, –0.71 eV and –0.39 eV respectively. This orbital distributions and energies are not unique to this specific </w:t>
      </w:r>
      <w:r w:rsidRPr="00E87608">
        <w:rPr>
          <w:rFonts w:ascii="Times New Roman" w:hAnsi="Times New Roman"/>
          <w:sz w:val="20"/>
          <w:szCs w:val="20"/>
        </w:rPr>
        <w:lastRenderedPageBreak/>
        <w:t>snapshot but are in general the same for all the generated structures. The RDF is also presented, showing that the average distance between plasticizer molecules and polymer molecules is about 3-15 Å, and the maximal value of the RDF distance during the simulation is 5-7 Å. The distance between 1-bromonaphthalene molecules during the simulation is generally in the range 4-7 Å.</w:t>
      </w:r>
    </w:p>
    <w:p w:rsidR="00E87608" w:rsidRPr="00E87608" w:rsidRDefault="00E87608" w:rsidP="00E87608">
      <w:pPr>
        <w:spacing w:after="0" w:line="240" w:lineRule="auto"/>
        <w:jc w:val="both"/>
        <w:outlineLvl w:val="0"/>
        <w:rPr>
          <w:rFonts w:ascii="Times New Roman" w:hAnsi="Times New Roman"/>
          <w:sz w:val="20"/>
          <w:szCs w:val="20"/>
        </w:rPr>
      </w:pPr>
    </w:p>
    <w:p w:rsidR="00E87608" w:rsidRPr="00E87608" w:rsidRDefault="00E87608" w:rsidP="0012160F">
      <w:pPr>
        <w:spacing w:after="0" w:line="240" w:lineRule="auto"/>
        <w:jc w:val="center"/>
        <w:rPr>
          <w:rFonts w:ascii="Times New Roman" w:hAnsi="Times New Roman"/>
          <w:sz w:val="20"/>
          <w:szCs w:val="20"/>
        </w:rPr>
      </w:pPr>
      <w:r w:rsidRPr="00E87608">
        <w:rPr>
          <w:rFonts w:ascii="Times New Roman" w:hAnsi="Times New Roman"/>
          <w:noProof/>
          <w:sz w:val="20"/>
          <w:szCs w:val="20"/>
          <w:lang w:bidi="ar-SA"/>
        </w:rPr>
        <w:drawing>
          <wp:inline distT="0" distB="0" distL="0" distR="0" wp14:anchorId="65587FBE" wp14:editId="0F298287">
            <wp:extent cx="1818000" cy="1818000"/>
            <wp:effectExtent l="0" t="0" r="0" b="0"/>
            <wp:docPr id="13" name="Рисунок 13" descr="F:\CALCULATION\26_malazian\UVVIS-stability\2x_dinamic\0_ORBITALS\aBN-ho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ALCULATION\26_malazian\UVVIS-stability\2x_dinamic\0_ORBITALS\aBN-homo.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E87608">
        <w:rPr>
          <w:rFonts w:ascii="Times New Roman" w:hAnsi="Times New Roman"/>
          <w:noProof/>
          <w:sz w:val="20"/>
          <w:szCs w:val="20"/>
          <w:lang w:bidi="ar-SA"/>
        </w:rPr>
        <w:drawing>
          <wp:inline distT="0" distB="0" distL="0" distR="0" wp14:anchorId="46813B1A" wp14:editId="66C527EA">
            <wp:extent cx="1818000" cy="1818000"/>
            <wp:effectExtent l="0" t="0" r="0" b="0"/>
            <wp:docPr id="18" name="Рисунок 18" descr="F:\CALCULATION\26_malazian\UVVIS-stability\2x_dinamic\0_ORBITALS\aBN-lu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CALCULATION\26_malazian\UVVIS-stability\2x_dinamic\0_ORBITALS\aBN-lumo.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E87608">
        <w:rPr>
          <w:rFonts w:ascii="Times New Roman" w:hAnsi="Times New Roman"/>
          <w:noProof/>
          <w:sz w:val="20"/>
          <w:szCs w:val="20"/>
          <w:lang w:bidi="ar-SA"/>
        </w:rPr>
        <w:drawing>
          <wp:inline distT="0" distB="0" distL="0" distR="0" wp14:anchorId="3499232F" wp14:editId="71E7A07B">
            <wp:extent cx="1981200" cy="1981200"/>
            <wp:effectExtent l="0" t="0" r="0" b="0"/>
            <wp:docPr id="19" name="Рисунок 19" descr="F:\CALCULATION\26_malazian\UVVIS-stability\2x_dinamic\0_RDF\RDF_aB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CALCULATION\26_malazian\UVVIS-stability\2x_dinamic\0_RDF\RDF_aBN.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81310" cy="1981310"/>
                    </a:xfrm>
                    <a:prstGeom prst="rect">
                      <a:avLst/>
                    </a:prstGeom>
                    <a:noFill/>
                    <a:ln>
                      <a:noFill/>
                    </a:ln>
                  </pic:spPr>
                </pic:pic>
              </a:graphicData>
            </a:graphic>
          </wp:inline>
        </w:drawing>
      </w:r>
    </w:p>
    <w:p w:rsidR="00E87608" w:rsidRPr="00E87608" w:rsidRDefault="00E87608" w:rsidP="00E87608">
      <w:pPr>
        <w:spacing w:after="0" w:line="240" w:lineRule="auto"/>
        <w:jc w:val="both"/>
        <w:outlineLvl w:val="0"/>
        <w:rPr>
          <w:rFonts w:ascii="Times New Roman" w:hAnsi="Times New Roman"/>
          <w:sz w:val="20"/>
          <w:szCs w:val="20"/>
        </w:rPr>
      </w:pPr>
    </w:p>
    <w:p w:rsidR="00E87608" w:rsidRPr="00E87608" w:rsidRDefault="00E87608" w:rsidP="00E87608">
      <w:pPr>
        <w:spacing w:after="0" w:line="240" w:lineRule="auto"/>
        <w:ind w:left="851" w:hanging="851"/>
        <w:jc w:val="both"/>
        <w:outlineLvl w:val="0"/>
        <w:rPr>
          <w:rFonts w:ascii="Times New Roman" w:hAnsi="Times New Roman"/>
          <w:sz w:val="20"/>
          <w:szCs w:val="20"/>
        </w:rPr>
      </w:pPr>
      <w:r w:rsidRPr="00E87608">
        <w:rPr>
          <w:rFonts w:ascii="Times New Roman" w:hAnsi="Times New Roman"/>
          <w:sz w:val="20"/>
          <w:szCs w:val="20"/>
        </w:rPr>
        <w:t xml:space="preserve">Figure 2. </w:t>
      </w:r>
      <w:r w:rsidR="0012160F">
        <w:rPr>
          <w:rFonts w:ascii="Times New Roman" w:hAnsi="Times New Roman"/>
          <w:sz w:val="20"/>
          <w:szCs w:val="20"/>
        </w:rPr>
        <w:tab/>
      </w:r>
      <w:r w:rsidRPr="00E87608">
        <w:rPr>
          <w:rFonts w:ascii="Times New Roman" w:hAnsi="Times New Roman"/>
          <w:sz w:val="20"/>
          <w:szCs w:val="20"/>
        </w:rPr>
        <w:t>Snapshot geometry with HOMO, LUMO orbitals and RDF for average simulation trajectory of aBN-PVC system</w:t>
      </w:r>
    </w:p>
    <w:p w:rsidR="00E87608" w:rsidRPr="00E87608" w:rsidRDefault="00E87608" w:rsidP="0012160F">
      <w:pPr>
        <w:spacing w:after="12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b/>
          <w:sz w:val="20"/>
          <w:szCs w:val="20"/>
        </w:rPr>
      </w:pPr>
      <w:r w:rsidRPr="00E87608">
        <w:rPr>
          <w:rFonts w:ascii="Times New Roman" w:hAnsi="Times New Roman"/>
          <w:b/>
          <w:sz w:val="20"/>
          <w:szCs w:val="20"/>
        </w:rPr>
        <w:t>Dibutyl phthalate-polyvinyl chloride system</w:t>
      </w: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The HOMO and LUMO orbitals of the DBP-PVC system are shown in Figure 3. The HOMO is located along the benzene ring of the phthalic acid fragment and its energy is –9.55 eV. The LUMO, with energy –1.15 eV, is also located on the benzene ring. The HOMO–2, HOMO–1, LUMO+1 and LUMO+2 energies of this system are –9.84 eV, –9.56 eV, –0.96 eV and –0.25 eV respectively. These are also focused on the aromatic phthalic acid moieties of different molecules of DBP. The distribution of orbitals and energies is characteristic for all generated snapshots of the DBP-PVC system. The RDF shows that the average distance between dibutyl phthalate molecules and polyvinyl chloride is in the range 3-17 Å, with the maximum RDF distance in the region of 5-7 Å.</w:t>
      </w:r>
    </w:p>
    <w:p w:rsidR="00E87608" w:rsidRPr="00E87608" w:rsidRDefault="00E87608" w:rsidP="00E87608">
      <w:pPr>
        <w:spacing w:after="0" w:line="240" w:lineRule="auto"/>
        <w:jc w:val="both"/>
        <w:rPr>
          <w:rFonts w:ascii="Times New Roman" w:hAnsi="Times New Roman"/>
          <w:noProof/>
          <w:sz w:val="20"/>
          <w:szCs w:val="20"/>
          <w:lang w:eastAsia="ru-RU"/>
        </w:rPr>
      </w:pPr>
    </w:p>
    <w:p w:rsidR="00E87608" w:rsidRPr="00E87608" w:rsidRDefault="00E87608" w:rsidP="0012160F">
      <w:pPr>
        <w:spacing w:after="0" w:line="240" w:lineRule="auto"/>
        <w:jc w:val="center"/>
        <w:outlineLvl w:val="0"/>
        <w:rPr>
          <w:rFonts w:ascii="Times New Roman" w:hAnsi="Times New Roman"/>
          <w:sz w:val="20"/>
          <w:szCs w:val="20"/>
        </w:rPr>
      </w:pPr>
      <w:r w:rsidRPr="00E87608">
        <w:rPr>
          <w:rFonts w:ascii="Times New Roman" w:hAnsi="Times New Roman"/>
          <w:noProof/>
          <w:sz w:val="20"/>
          <w:szCs w:val="20"/>
          <w:lang w:bidi="ar-SA"/>
        </w:rPr>
        <w:drawing>
          <wp:inline distT="0" distB="0" distL="0" distR="0" wp14:anchorId="5E0489CA" wp14:editId="6F26F501">
            <wp:extent cx="1818000" cy="1818000"/>
            <wp:effectExtent l="0" t="0" r="0" b="0"/>
            <wp:docPr id="20" name="Рисунок 20" descr="F:\CALCULATION\26_malazian\UVVIS-stability\2x_dinamic\0_ORBITALS\DBP-ho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CALCULATION\26_malazian\UVVIS-stability\2x_dinamic\0_ORBITALS\DBP-homo.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E87608">
        <w:rPr>
          <w:rFonts w:ascii="Times New Roman" w:hAnsi="Times New Roman"/>
          <w:noProof/>
          <w:sz w:val="20"/>
          <w:szCs w:val="20"/>
          <w:lang w:bidi="ar-SA"/>
        </w:rPr>
        <w:drawing>
          <wp:inline distT="0" distB="0" distL="0" distR="0" wp14:anchorId="44921369" wp14:editId="32FF7A23">
            <wp:extent cx="1818000" cy="1818000"/>
            <wp:effectExtent l="0" t="0" r="0" b="0"/>
            <wp:docPr id="26" name="Рисунок 26" descr="F:\CALCULATION\26_malazian\UVVIS-stability\2x_dinamic\0_ORBITALS\DBP-lu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CALCULATION\26_malazian\UVVIS-stability\2x_dinamic\0_ORBITALS\DBP-lumo.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E87608">
        <w:rPr>
          <w:rFonts w:ascii="Times New Roman" w:hAnsi="Times New Roman"/>
          <w:noProof/>
          <w:sz w:val="20"/>
          <w:szCs w:val="20"/>
          <w:lang w:bidi="ar-SA"/>
        </w:rPr>
        <w:drawing>
          <wp:inline distT="0" distB="0" distL="0" distR="0" wp14:anchorId="0DFD6623" wp14:editId="4D4402E3">
            <wp:extent cx="1981200" cy="1981200"/>
            <wp:effectExtent l="0" t="0" r="0" b="0"/>
            <wp:docPr id="27" name="Рисунок 27" descr="F:\CALCULATION\26_malazian\UVVIS-stability\2x_dinamic\0_RDF\RDF_DB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CALCULATION\26_malazian\UVVIS-stability\2x_dinamic\0_RDF\RDF_DBP.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81511" cy="1981511"/>
                    </a:xfrm>
                    <a:prstGeom prst="rect">
                      <a:avLst/>
                    </a:prstGeom>
                    <a:noFill/>
                    <a:ln>
                      <a:noFill/>
                    </a:ln>
                  </pic:spPr>
                </pic:pic>
              </a:graphicData>
            </a:graphic>
          </wp:inline>
        </w:drawing>
      </w:r>
    </w:p>
    <w:p w:rsidR="00E87608" w:rsidRPr="00E87608" w:rsidRDefault="00E87608" w:rsidP="00E87608">
      <w:pPr>
        <w:spacing w:after="0" w:line="240" w:lineRule="auto"/>
        <w:jc w:val="both"/>
        <w:rPr>
          <w:rFonts w:ascii="Times New Roman" w:hAnsi="Times New Roman"/>
          <w:sz w:val="20"/>
          <w:szCs w:val="20"/>
        </w:rPr>
      </w:pPr>
    </w:p>
    <w:p w:rsidR="00E87608" w:rsidRPr="00E87608" w:rsidRDefault="00E87608" w:rsidP="00E87608">
      <w:pPr>
        <w:spacing w:after="0" w:line="240" w:lineRule="auto"/>
        <w:ind w:left="851" w:hanging="851"/>
        <w:jc w:val="both"/>
        <w:rPr>
          <w:rFonts w:ascii="Times New Roman" w:hAnsi="Times New Roman"/>
          <w:sz w:val="20"/>
          <w:szCs w:val="20"/>
        </w:rPr>
      </w:pPr>
      <w:r w:rsidRPr="00E87608">
        <w:rPr>
          <w:rFonts w:ascii="Times New Roman" w:hAnsi="Times New Roman"/>
          <w:sz w:val="20"/>
          <w:szCs w:val="20"/>
        </w:rPr>
        <w:t xml:space="preserve">Figure 3. </w:t>
      </w:r>
      <w:r w:rsidR="0012160F">
        <w:rPr>
          <w:rFonts w:ascii="Times New Roman" w:hAnsi="Times New Roman"/>
          <w:sz w:val="20"/>
          <w:szCs w:val="20"/>
        </w:rPr>
        <w:tab/>
      </w:r>
      <w:r w:rsidRPr="00E87608">
        <w:rPr>
          <w:rFonts w:ascii="Times New Roman" w:hAnsi="Times New Roman"/>
          <w:sz w:val="20"/>
          <w:szCs w:val="20"/>
        </w:rPr>
        <w:t>Snapshot geometry with HOMO, LUMO orbitals and RDF for average simulation trajectory of DBP-PVC system</w:t>
      </w:r>
    </w:p>
    <w:p w:rsidR="00E87608" w:rsidRPr="00E87608" w:rsidRDefault="00E87608" w:rsidP="0012160F">
      <w:pPr>
        <w:spacing w:after="12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b/>
          <w:sz w:val="20"/>
          <w:szCs w:val="20"/>
        </w:rPr>
      </w:pPr>
      <w:r w:rsidRPr="00E87608">
        <w:rPr>
          <w:rFonts w:ascii="Times New Roman" w:hAnsi="Times New Roman"/>
          <w:b/>
          <w:sz w:val="20"/>
          <w:szCs w:val="20"/>
        </w:rPr>
        <w:t>Dioctyl phthalate-polyvinyl chloride system</w:t>
      </w: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 xml:space="preserve">Figure 4 represents the geometry of the DOP-PVC system. The RDF shows that average distance between dioctyl phthalate molecules and polyvinyl chloride is in the range 3-15 Å, with the maximum RDF distance in the region of </w:t>
      </w:r>
      <w:r w:rsidRPr="00E87608">
        <w:rPr>
          <w:rFonts w:ascii="Times New Roman" w:hAnsi="Times New Roman"/>
          <w:sz w:val="20"/>
          <w:szCs w:val="20"/>
        </w:rPr>
        <w:lastRenderedPageBreak/>
        <w:t>6-7 Å. The RDF for the distance between molecules of dioctyl phthalate has a maximum in the region of 5-10 Å. The frontal molecular orbitals can be characterized with the following values of energy: HOMO–2: –9.73 eV, HOMO–1: –9.59 eV, HOMO: –9.29 eV, LUMO: –1.04 eV, LUMO+1: –0.76 eV, LUMO+2: –0.32 eV. All frontier orbitals of the agglomerate are located along the benzene ring of the phthalic acid fragment, similarly to the DBP-PVC system. This can be explained by the similarity in structure and properties of DBP and DOP plasticizers.</w:t>
      </w:r>
    </w:p>
    <w:p w:rsidR="00E87608" w:rsidRPr="00E87608" w:rsidRDefault="00E87608" w:rsidP="00E87608">
      <w:pPr>
        <w:spacing w:after="0" w:line="240" w:lineRule="auto"/>
        <w:jc w:val="both"/>
        <w:outlineLvl w:val="0"/>
        <w:rPr>
          <w:rFonts w:ascii="Times New Roman" w:hAnsi="Times New Roman"/>
          <w:sz w:val="20"/>
          <w:szCs w:val="20"/>
        </w:rPr>
      </w:pPr>
    </w:p>
    <w:p w:rsidR="00E87608" w:rsidRPr="00E87608" w:rsidRDefault="00E87608" w:rsidP="0012160F">
      <w:pPr>
        <w:spacing w:after="0" w:line="240" w:lineRule="auto"/>
        <w:jc w:val="center"/>
        <w:rPr>
          <w:rStyle w:val="IntenseEmphasis"/>
          <w:rFonts w:ascii="Times New Roman" w:hAnsi="Times New Roman"/>
          <w:i w:val="0"/>
          <w:iCs w:val="0"/>
          <w:sz w:val="20"/>
          <w:szCs w:val="20"/>
        </w:rPr>
      </w:pPr>
      <w:r w:rsidRPr="00E87608">
        <w:rPr>
          <w:rStyle w:val="IntenseEmphasis"/>
          <w:rFonts w:ascii="Times New Roman" w:hAnsi="Times New Roman"/>
          <w:i w:val="0"/>
          <w:iCs w:val="0"/>
          <w:noProof/>
          <w:sz w:val="20"/>
          <w:szCs w:val="20"/>
          <w:lang w:bidi="ar-SA"/>
        </w:rPr>
        <w:drawing>
          <wp:inline distT="0" distB="0" distL="0" distR="0" wp14:anchorId="452FA4D1" wp14:editId="4FD2C469">
            <wp:extent cx="1818000" cy="1818000"/>
            <wp:effectExtent l="0" t="0" r="0" b="0"/>
            <wp:docPr id="28" name="Рисунок 28" descr="F:\CALCULATION\26_malazian\UVVIS-stability\2x_dinamic\0_ORBITALS\DEH-ho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CALCULATION\26_malazian\UVVIS-stability\2x_dinamic\0_ORBITALS\DEH-homo.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E87608">
        <w:rPr>
          <w:rStyle w:val="IntenseEmphasis"/>
          <w:rFonts w:ascii="Times New Roman" w:hAnsi="Times New Roman"/>
          <w:i w:val="0"/>
          <w:iCs w:val="0"/>
          <w:noProof/>
          <w:sz w:val="20"/>
          <w:szCs w:val="20"/>
          <w:lang w:bidi="ar-SA"/>
        </w:rPr>
        <w:drawing>
          <wp:inline distT="0" distB="0" distL="0" distR="0" wp14:anchorId="63C5CBDB" wp14:editId="362A76FD">
            <wp:extent cx="1818000" cy="1818000"/>
            <wp:effectExtent l="0" t="0" r="0" b="0"/>
            <wp:docPr id="29" name="Рисунок 29" descr="F:\CALCULATION\26_malazian\UVVIS-stability\2x_dinamic\0_ORBITALS\DEH-lu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CALCULATION\26_malazian\UVVIS-stability\2x_dinamic\0_ORBITALS\DEH-lumo.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E87608">
        <w:rPr>
          <w:rStyle w:val="IntenseEmphasis"/>
          <w:rFonts w:ascii="Times New Roman" w:hAnsi="Times New Roman"/>
          <w:i w:val="0"/>
          <w:iCs w:val="0"/>
          <w:noProof/>
          <w:sz w:val="20"/>
          <w:szCs w:val="20"/>
          <w:lang w:bidi="ar-SA"/>
        </w:rPr>
        <w:drawing>
          <wp:inline distT="0" distB="0" distL="0" distR="0" wp14:anchorId="16238701" wp14:editId="6BFEE297">
            <wp:extent cx="2054431" cy="2054431"/>
            <wp:effectExtent l="0" t="0" r="0" b="0"/>
            <wp:docPr id="30" name="Рисунок 30" descr="F:\CALCULATION\26_malazian\UVVIS-stability\2x_dinamic\0_RDF\RDF_DO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CALCULATION\26_malazian\UVVIS-stability\2x_dinamic\0_RDF\RDF_DOP.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69582" cy="2069582"/>
                    </a:xfrm>
                    <a:prstGeom prst="rect">
                      <a:avLst/>
                    </a:prstGeom>
                    <a:noFill/>
                    <a:ln>
                      <a:noFill/>
                    </a:ln>
                  </pic:spPr>
                </pic:pic>
              </a:graphicData>
            </a:graphic>
          </wp:inline>
        </w:drawing>
      </w:r>
    </w:p>
    <w:p w:rsidR="00E87608" w:rsidRPr="00E87608" w:rsidRDefault="00E87608" w:rsidP="00E87608">
      <w:pPr>
        <w:spacing w:after="0" w:line="240" w:lineRule="auto"/>
        <w:jc w:val="both"/>
        <w:outlineLvl w:val="0"/>
        <w:rPr>
          <w:rFonts w:ascii="Times New Roman" w:hAnsi="Times New Roman"/>
          <w:sz w:val="20"/>
          <w:szCs w:val="20"/>
        </w:rPr>
      </w:pPr>
    </w:p>
    <w:p w:rsidR="00E87608" w:rsidRPr="00E87608" w:rsidRDefault="00E87608" w:rsidP="00E87608">
      <w:pPr>
        <w:spacing w:after="0" w:line="240" w:lineRule="auto"/>
        <w:ind w:left="851" w:hanging="851"/>
        <w:jc w:val="both"/>
        <w:outlineLvl w:val="0"/>
        <w:rPr>
          <w:rFonts w:ascii="Times New Roman" w:hAnsi="Times New Roman"/>
          <w:sz w:val="20"/>
          <w:szCs w:val="20"/>
        </w:rPr>
      </w:pPr>
      <w:r w:rsidRPr="00E87608">
        <w:rPr>
          <w:rFonts w:ascii="Times New Roman" w:hAnsi="Times New Roman"/>
          <w:sz w:val="20"/>
          <w:szCs w:val="20"/>
        </w:rPr>
        <w:t xml:space="preserve">Figure 4. </w:t>
      </w:r>
      <w:r w:rsidR="0012160F">
        <w:rPr>
          <w:rFonts w:ascii="Times New Roman" w:hAnsi="Times New Roman"/>
          <w:sz w:val="20"/>
          <w:szCs w:val="20"/>
        </w:rPr>
        <w:tab/>
      </w:r>
      <w:r w:rsidRPr="00E87608">
        <w:rPr>
          <w:rFonts w:ascii="Times New Roman" w:hAnsi="Times New Roman"/>
          <w:sz w:val="20"/>
          <w:szCs w:val="20"/>
        </w:rPr>
        <w:t>Snapshot geometry with HOMO, LUMO orbitals and RDF for average simulation trajectory of DOP-PVC system</w:t>
      </w:r>
    </w:p>
    <w:p w:rsidR="00E87608" w:rsidRPr="00E87608" w:rsidRDefault="00E87608" w:rsidP="0012160F">
      <w:pPr>
        <w:spacing w:after="12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b/>
          <w:sz w:val="20"/>
          <w:szCs w:val="20"/>
        </w:rPr>
      </w:pPr>
      <w:r w:rsidRPr="00E87608">
        <w:rPr>
          <w:rFonts w:ascii="Times New Roman" w:hAnsi="Times New Roman"/>
          <w:b/>
          <w:sz w:val="20"/>
          <w:szCs w:val="20"/>
        </w:rPr>
        <w:t>Nitrophenyl octyl ether-polyvinyl chloride system</w:t>
      </w:r>
    </w:p>
    <w:p w:rsidR="00E87608" w:rsidRPr="00E87608" w:rsidRDefault="00E87608" w:rsidP="00E87608">
      <w:pPr>
        <w:spacing w:after="0" w:line="240" w:lineRule="auto"/>
        <w:jc w:val="both"/>
        <w:outlineLvl w:val="0"/>
        <w:rPr>
          <w:rFonts w:ascii="Times New Roman" w:hAnsi="Times New Roman"/>
          <w:sz w:val="20"/>
          <w:szCs w:val="20"/>
        </w:rPr>
      </w:pPr>
      <w:r w:rsidRPr="00E87608">
        <w:rPr>
          <w:rFonts w:ascii="Times New Roman" w:hAnsi="Times New Roman"/>
          <w:sz w:val="20"/>
          <w:szCs w:val="20"/>
        </w:rPr>
        <w:t xml:space="preserve">The geometry of the NPOE-PVC system, with HOMO and LUMO orbitals and RDF distances, is represented in Figure 5. During the MD simulation, the maximum distance distribution between NPOE molecules and PVC was about 5-8 Å with a total range of RDF distances of 3-15 Å and a distance between NPOE molecules of around 5-7 Å. The frontal molecular orbitals HOMO–2, HOMO–1, HOMO, LUMO, LUMO+1 and LUMO+2 were characterized by the following values of energy: –9.89 eV, –9.55 eV, –9.42 eV, –3.10 eV, –2.71 eV and </w:t>
      </w:r>
      <w:r w:rsidRPr="00E87608">
        <w:rPr>
          <w:rFonts w:ascii="Times New Roman" w:hAnsi="Times New Roman"/>
          <w:sz w:val="20"/>
          <w:szCs w:val="20"/>
        </w:rPr>
        <w:br/>
        <w:t>–0.34 eV respectively. The HOMO is mostly localized on the phenyl ether moiety, whereas the LUMO is in the region of the nitro group. This is in good agreement with general knowledge about the reactivity of organic molecules.</w:t>
      </w:r>
    </w:p>
    <w:p w:rsidR="00E87608" w:rsidRPr="00E87608" w:rsidRDefault="00E87608" w:rsidP="0012160F">
      <w:pPr>
        <w:spacing w:after="0" w:line="240" w:lineRule="auto"/>
        <w:jc w:val="center"/>
        <w:rPr>
          <w:rFonts w:ascii="Times New Roman" w:eastAsia="Calibri" w:hAnsi="Times New Roman"/>
          <w:iCs/>
          <w:color w:val="5B9BD5"/>
          <w:sz w:val="20"/>
          <w:szCs w:val="20"/>
        </w:rPr>
      </w:pPr>
      <w:r w:rsidRPr="00E87608">
        <w:rPr>
          <w:rFonts w:ascii="Times New Roman" w:eastAsia="Calibri" w:hAnsi="Times New Roman"/>
          <w:iCs/>
          <w:noProof/>
          <w:color w:val="5B9BD5"/>
          <w:sz w:val="20"/>
          <w:szCs w:val="20"/>
          <w:lang w:bidi="ar-SA"/>
        </w:rPr>
        <w:drawing>
          <wp:inline distT="0" distB="0" distL="0" distR="0" wp14:anchorId="2C47A1A9" wp14:editId="53118BF6">
            <wp:extent cx="1818000" cy="1818000"/>
            <wp:effectExtent l="0" t="0" r="0" b="0"/>
            <wp:docPr id="3" name="Рисунок 3" descr="F:\CALCULATION\26_malazian\UVVIS-stability\2x_dinamic\0_ORBITALS\NPOE-ho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CALCULATION\26_malazian\UVVIS-stability\2x_dinamic\0_ORBITALS\NPOE-homo.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E87608">
        <w:rPr>
          <w:rFonts w:ascii="Times New Roman" w:eastAsia="Calibri" w:hAnsi="Times New Roman"/>
          <w:iCs/>
          <w:noProof/>
          <w:color w:val="5B9BD5"/>
          <w:sz w:val="20"/>
          <w:szCs w:val="20"/>
          <w:lang w:bidi="ar-SA"/>
        </w:rPr>
        <w:drawing>
          <wp:inline distT="0" distB="0" distL="0" distR="0" wp14:anchorId="633345B7" wp14:editId="41066628">
            <wp:extent cx="1818000" cy="1818000"/>
            <wp:effectExtent l="0" t="0" r="0" b="0"/>
            <wp:docPr id="4" name="Рисунок 4" descr="F:\CALCULATION\26_malazian\UVVIS-stability\2x_dinamic\0_ORBITALS\NPOE-lu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CALCULATION\26_malazian\UVVIS-stability\2x_dinamic\0_ORBITALS\NPOE-lumo.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E87608">
        <w:rPr>
          <w:rFonts w:ascii="Times New Roman" w:eastAsia="Calibri" w:hAnsi="Times New Roman"/>
          <w:iCs/>
          <w:noProof/>
          <w:color w:val="5B9BD5"/>
          <w:sz w:val="20"/>
          <w:szCs w:val="20"/>
          <w:lang w:bidi="ar-SA"/>
        </w:rPr>
        <w:drawing>
          <wp:inline distT="0" distB="0" distL="0" distR="0" wp14:anchorId="2D89DCDB" wp14:editId="1CEA8C9C">
            <wp:extent cx="2073600" cy="2073600"/>
            <wp:effectExtent l="0" t="0" r="3175" b="3175"/>
            <wp:docPr id="5" name="Рисунок 5" descr="F:\CALCULATION\26_malazian\UVVIS-stability\2x_dinamic\0_RDF\RDF_NPO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CALCULATION\26_malazian\UVVIS-stability\2x_dinamic\0_RDF\RDF_NPOE.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3600" cy="2073600"/>
                    </a:xfrm>
                    <a:prstGeom prst="rect">
                      <a:avLst/>
                    </a:prstGeom>
                    <a:noFill/>
                    <a:ln>
                      <a:noFill/>
                    </a:ln>
                  </pic:spPr>
                </pic:pic>
              </a:graphicData>
            </a:graphic>
          </wp:inline>
        </w:drawing>
      </w:r>
    </w:p>
    <w:p w:rsidR="00E87608" w:rsidRPr="00E87608" w:rsidRDefault="00E87608" w:rsidP="00E87608">
      <w:pPr>
        <w:spacing w:after="0" w:line="240" w:lineRule="auto"/>
        <w:jc w:val="both"/>
        <w:outlineLvl w:val="0"/>
        <w:rPr>
          <w:rFonts w:ascii="Times New Roman" w:hAnsi="Times New Roman"/>
          <w:sz w:val="20"/>
          <w:szCs w:val="20"/>
        </w:rPr>
      </w:pPr>
    </w:p>
    <w:p w:rsidR="00E87608" w:rsidRPr="00E87608" w:rsidRDefault="00E87608" w:rsidP="00E87608">
      <w:pPr>
        <w:spacing w:after="0" w:line="240" w:lineRule="auto"/>
        <w:ind w:left="851" w:hanging="851"/>
        <w:jc w:val="both"/>
        <w:outlineLvl w:val="0"/>
        <w:rPr>
          <w:rFonts w:ascii="Times New Roman" w:hAnsi="Times New Roman"/>
          <w:sz w:val="20"/>
          <w:szCs w:val="20"/>
        </w:rPr>
      </w:pPr>
      <w:r w:rsidRPr="00E87608">
        <w:rPr>
          <w:rFonts w:ascii="Times New Roman" w:hAnsi="Times New Roman"/>
          <w:sz w:val="20"/>
          <w:szCs w:val="20"/>
        </w:rPr>
        <w:t xml:space="preserve">Figure 5. </w:t>
      </w:r>
      <w:r w:rsidR="0012160F">
        <w:rPr>
          <w:rFonts w:ascii="Times New Roman" w:hAnsi="Times New Roman"/>
          <w:sz w:val="20"/>
          <w:szCs w:val="20"/>
        </w:rPr>
        <w:tab/>
      </w:r>
      <w:r w:rsidRPr="00E87608">
        <w:rPr>
          <w:rFonts w:ascii="Times New Roman" w:hAnsi="Times New Roman"/>
          <w:sz w:val="20"/>
          <w:szCs w:val="20"/>
        </w:rPr>
        <w:t>Snapshot geometry with HOMO, LUMO orbitals and RDF for average simulation trajectory of NPOE-PVC system</w:t>
      </w:r>
    </w:p>
    <w:p w:rsidR="00E87608" w:rsidRDefault="00E87608" w:rsidP="00E87608">
      <w:pPr>
        <w:spacing w:after="0" w:line="240" w:lineRule="auto"/>
        <w:jc w:val="both"/>
        <w:outlineLvl w:val="0"/>
        <w:rPr>
          <w:rFonts w:ascii="Times New Roman" w:hAnsi="Times New Roman"/>
          <w:sz w:val="20"/>
          <w:szCs w:val="20"/>
        </w:rPr>
      </w:pPr>
    </w:p>
    <w:p w:rsidR="0012160F" w:rsidRPr="00E87608" w:rsidRDefault="0012160F" w:rsidP="00E87608">
      <w:pPr>
        <w:spacing w:after="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b/>
          <w:sz w:val="20"/>
          <w:szCs w:val="20"/>
          <w:lang w:val="en-GB"/>
        </w:rPr>
      </w:pPr>
      <w:r w:rsidRPr="00E87608">
        <w:rPr>
          <w:rFonts w:ascii="Times New Roman" w:hAnsi="Times New Roman"/>
          <w:b/>
          <w:sz w:val="20"/>
          <w:szCs w:val="20"/>
          <w:lang w:val="en-GB"/>
        </w:rPr>
        <w:lastRenderedPageBreak/>
        <w:t>Tricresyl phosphate-polyvinyl chloride system</w:t>
      </w:r>
    </w:p>
    <w:p w:rsidR="00E87608" w:rsidRPr="00E87608" w:rsidRDefault="00E87608" w:rsidP="00E87608">
      <w:pPr>
        <w:spacing w:after="0" w:line="240" w:lineRule="auto"/>
        <w:jc w:val="both"/>
        <w:outlineLvl w:val="0"/>
        <w:rPr>
          <w:rFonts w:ascii="Times New Roman" w:hAnsi="Times New Roman"/>
          <w:sz w:val="20"/>
          <w:szCs w:val="20"/>
          <w:lang w:val="en-GB"/>
        </w:rPr>
      </w:pPr>
      <w:r w:rsidRPr="00E87608">
        <w:rPr>
          <w:rFonts w:ascii="Times New Roman" w:hAnsi="Times New Roman"/>
          <w:sz w:val="20"/>
          <w:szCs w:val="20"/>
          <w:lang w:val="en-GB"/>
        </w:rPr>
        <w:t>One of the snapshots of the HOMO and LUMO orbitals is shown in Figure 6. The HOMO of the TCP-PVC complex is located along the methyl phenyl rings of the TCP molecule and its energy is –8.59 eV. The LUMO of 0.07 eV is in the region of the CH-Cl bond of polyvinyl chloride. The HOMO–2 and HOMO–1 are focused on the aromatic moieties of the plasticizer molecules and lie in the same energy regions of –8.65 eV and –8.68 eV, whereas the LUMO+1 and LUMO+2 have energy values of 0.156 eV and 0.163 eV respectively and are located on the PVC molecule. This contrasts with all the other systems described here. To understand this behaviour, we analysed the partial atomic charges for each snapshot, and this showed the transport of a small amount of negative charge from TCP to the PVC chain. The average charge of TCP during the simulation is only –0.01, but this small difference explains the location of unoccupied orbitals and predicts that in the TCP-PVC system the polyvinyl chloride molecule will show more pronounced electrophilic properties. The RDF shows that the average distance between the phosphoric acid ester and the chlorinated polymer is about 3-15 Å, and the maximal value of the RDF distance during the simulation is 4-6 Å.</w:t>
      </w:r>
    </w:p>
    <w:p w:rsidR="00E87608" w:rsidRDefault="00E87608" w:rsidP="00E87608">
      <w:pPr>
        <w:spacing w:after="0" w:line="240" w:lineRule="auto"/>
        <w:jc w:val="both"/>
        <w:outlineLvl w:val="0"/>
        <w:rPr>
          <w:rFonts w:ascii="Times New Roman" w:hAnsi="Times New Roman"/>
          <w:sz w:val="20"/>
          <w:szCs w:val="20"/>
          <w:lang w:val="en-GB"/>
        </w:rPr>
      </w:pPr>
    </w:p>
    <w:p w:rsidR="0047426C" w:rsidRPr="00E87608" w:rsidRDefault="0047426C" w:rsidP="00E87608">
      <w:pPr>
        <w:spacing w:after="0" w:line="240" w:lineRule="auto"/>
        <w:jc w:val="both"/>
        <w:outlineLvl w:val="0"/>
        <w:rPr>
          <w:rFonts w:ascii="Times New Roman" w:hAnsi="Times New Roman"/>
          <w:sz w:val="20"/>
          <w:szCs w:val="20"/>
          <w:lang w:val="en-GB"/>
        </w:rPr>
      </w:pPr>
    </w:p>
    <w:p w:rsidR="00E87608" w:rsidRPr="00E87608" w:rsidRDefault="00E87608" w:rsidP="0012160F">
      <w:pPr>
        <w:pStyle w:val="NoSpacing"/>
        <w:jc w:val="center"/>
        <w:rPr>
          <w:rFonts w:ascii="Times New Roman" w:hAnsi="Times New Roman"/>
          <w:sz w:val="20"/>
          <w:szCs w:val="20"/>
        </w:rPr>
      </w:pPr>
      <w:r w:rsidRPr="00E87608">
        <w:rPr>
          <w:rFonts w:ascii="Times New Roman" w:hAnsi="Times New Roman"/>
          <w:noProof/>
          <w:sz w:val="20"/>
          <w:szCs w:val="20"/>
          <w:lang w:bidi="ar-SA"/>
        </w:rPr>
        <w:drawing>
          <wp:inline distT="0" distB="0" distL="0" distR="0" wp14:anchorId="6D210859" wp14:editId="274A29B5">
            <wp:extent cx="1818000" cy="1818000"/>
            <wp:effectExtent l="0" t="0" r="0" b="0"/>
            <wp:docPr id="34" name="Рисунок 34" descr="F:\CALCULATION\26_malazian\UVVIS-stability\2x_dinamic\0_ORBITALS\TCP-ho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CALCULATION\26_malazian\UVVIS-stability\2x_dinamic\0_ORBITALS\TCP-homo.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E87608">
        <w:rPr>
          <w:rFonts w:ascii="Times New Roman" w:hAnsi="Times New Roman"/>
          <w:noProof/>
          <w:sz w:val="20"/>
          <w:szCs w:val="20"/>
          <w:lang w:bidi="ar-SA"/>
        </w:rPr>
        <w:drawing>
          <wp:inline distT="0" distB="0" distL="0" distR="0" wp14:anchorId="632EC378" wp14:editId="140DADB6">
            <wp:extent cx="1818000" cy="1818000"/>
            <wp:effectExtent l="0" t="0" r="0" b="0"/>
            <wp:docPr id="35" name="Рисунок 35" descr="F:\CALCULATION\26_malazian\UVVIS-stability\2x_dinamic\0_ORBITALS\TCP-lu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CALCULATION\26_malazian\UVVIS-stability\2x_dinamic\0_ORBITALS\TCP-lumo.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E87608">
        <w:rPr>
          <w:rFonts w:ascii="Times New Roman" w:hAnsi="Times New Roman"/>
          <w:noProof/>
          <w:sz w:val="20"/>
          <w:szCs w:val="20"/>
          <w:lang w:bidi="ar-SA"/>
        </w:rPr>
        <w:drawing>
          <wp:inline distT="0" distB="0" distL="0" distR="0" wp14:anchorId="6BCDCDCC" wp14:editId="515CEB2B">
            <wp:extent cx="2073600" cy="2073600"/>
            <wp:effectExtent l="0" t="0" r="3175" b="3175"/>
            <wp:docPr id="36" name="Рисунок 36" descr="F:\CALCULATION\26_malazian\UVVIS-stability\2x_dinamic\0_RDF\RDF_TC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CALCULATION\26_malazian\UVVIS-stability\2x_dinamic\0_RDF\RDF_TCP.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3600" cy="2073600"/>
                    </a:xfrm>
                    <a:prstGeom prst="rect">
                      <a:avLst/>
                    </a:prstGeom>
                    <a:noFill/>
                    <a:ln>
                      <a:noFill/>
                    </a:ln>
                  </pic:spPr>
                </pic:pic>
              </a:graphicData>
            </a:graphic>
          </wp:inline>
        </w:drawing>
      </w:r>
    </w:p>
    <w:p w:rsidR="00E87608" w:rsidRPr="00E87608" w:rsidRDefault="00E87608" w:rsidP="00E87608">
      <w:pPr>
        <w:spacing w:after="0" w:line="240" w:lineRule="auto"/>
        <w:jc w:val="both"/>
        <w:rPr>
          <w:rFonts w:ascii="Times New Roman" w:hAnsi="Times New Roman"/>
          <w:sz w:val="20"/>
          <w:szCs w:val="20"/>
        </w:rPr>
      </w:pPr>
    </w:p>
    <w:p w:rsidR="00E87608" w:rsidRPr="00E87608" w:rsidRDefault="00E87608" w:rsidP="00E87608">
      <w:pPr>
        <w:spacing w:after="0" w:line="240" w:lineRule="auto"/>
        <w:ind w:left="851" w:hanging="851"/>
        <w:jc w:val="both"/>
        <w:rPr>
          <w:rStyle w:val="IntenseEmphasis"/>
          <w:rFonts w:ascii="Times New Roman" w:hAnsi="Times New Roman"/>
          <w:i w:val="0"/>
          <w:sz w:val="20"/>
          <w:szCs w:val="20"/>
        </w:rPr>
      </w:pPr>
      <w:r w:rsidRPr="00E87608">
        <w:rPr>
          <w:rFonts w:ascii="Times New Roman" w:hAnsi="Times New Roman"/>
          <w:sz w:val="20"/>
          <w:szCs w:val="20"/>
        </w:rPr>
        <w:t>Figure 6.</w:t>
      </w:r>
      <w:r w:rsidRPr="00E87608">
        <w:rPr>
          <w:rFonts w:ascii="Times New Roman" w:hAnsi="Times New Roman"/>
          <w:i/>
          <w:sz w:val="20"/>
          <w:szCs w:val="20"/>
        </w:rPr>
        <w:t xml:space="preserve"> </w:t>
      </w:r>
      <w:r w:rsidR="0012160F">
        <w:rPr>
          <w:rFonts w:ascii="Times New Roman" w:hAnsi="Times New Roman"/>
          <w:i/>
          <w:sz w:val="20"/>
          <w:szCs w:val="20"/>
        </w:rPr>
        <w:tab/>
      </w:r>
      <w:r w:rsidRPr="00E87608">
        <w:rPr>
          <w:rStyle w:val="IntenseEmphasis"/>
          <w:rFonts w:ascii="Times New Roman" w:hAnsi="Times New Roman"/>
          <w:i w:val="0"/>
          <w:sz w:val="20"/>
          <w:szCs w:val="20"/>
        </w:rPr>
        <w:t>Snapshot geometry with HOMO, LUMO orbitals and RDF for average simulation trajectory of TCP-PVC system</w:t>
      </w:r>
    </w:p>
    <w:p w:rsidR="00E87608" w:rsidRPr="00E87608" w:rsidRDefault="00E87608" w:rsidP="0012160F">
      <w:pPr>
        <w:spacing w:after="120" w:line="240" w:lineRule="auto"/>
        <w:jc w:val="both"/>
        <w:outlineLvl w:val="0"/>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b/>
          <w:sz w:val="20"/>
          <w:szCs w:val="20"/>
          <w:lang w:val="en-GB"/>
        </w:rPr>
      </w:pPr>
      <w:r w:rsidRPr="00E87608">
        <w:rPr>
          <w:rFonts w:ascii="Times New Roman" w:hAnsi="Times New Roman"/>
          <w:b/>
          <w:sz w:val="20"/>
          <w:szCs w:val="20"/>
          <w:lang w:val="en-GB"/>
        </w:rPr>
        <w:t>Photochemical stability</w:t>
      </w:r>
    </w:p>
    <w:p w:rsidR="00E87608" w:rsidRPr="00E87608" w:rsidRDefault="00E87608" w:rsidP="00E87608">
      <w:pPr>
        <w:spacing w:after="0" w:line="240" w:lineRule="auto"/>
        <w:jc w:val="both"/>
        <w:outlineLvl w:val="0"/>
        <w:rPr>
          <w:rFonts w:ascii="Times New Roman" w:hAnsi="Times New Roman"/>
          <w:sz w:val="20"/>
          <w:szCs w:val="20"/>
          <w:lang w:val="en-GB"/>
        </w:rPr>
      </w:pPr>
      <w:r w:rsidRPr="00E87608">
        <w:rPr>
          <w:rFonts w:ascii="Times New Roman" w:hAnsi="Times New Roman"/>
          <w:sz w:val="20"/>
          <w:szCs w:val="20"/>
          <w:lang w:val="en-GB"/>
        </w:rPr>
        <w:t>In general, the absorption spectrum of a complex of polyvinyl chloride with a plasticizer molecule containing a phenyl ring is expected to show similarities to a non-substituted benzene molecule. The principal absorption bands in the plasticizer molecules are due to the π→π* transitions in the benzene moieties. However, these benzene-like transitions are not the same in the modelled systems. This difference can be explained by the influence of another condensed phenyl ring in the 1-bromonaphthalene molecule or by the presence of different substituents and conjugation in the other plasticizers considered.</w:t>
      </w:r>
    </w:p>
    <w:p w:rsidR="00E87608" w:rsidRPr="00E87608" w:rsidRDefault="00E87608" w:rsidP="00E87608">
      <w:pPr>
        <w:spacing w:after="0" w:line="240" w:lineRule="auto"/>
        <w:jc w:val="both"/>
        <w:outlineLvl w:val="0"/>
        <w:rPr>
          <w:rFonts w:ascii="Times New Roman" w:hAnsi="Times New Roman"/>
          <w:sz w:val="20"/>
          <w:szCs w:val="20"/>
          <w:lang w:val="en-GB"/>
        </w:rPr>
      </w:pPr>
    </w:p>
    <w:p w:rsidR="00E87608" w:rsidRPr="00E87608" w:rsidRDefault="00E87608" w:rsidP="00E87608">
      <w:pPr>
        <w:spacing w:after="0" w:line="240" w:lineRule="auto"/>
        <w:jc w:val="both"/>
        <w:outlineLvl w:val="0"/>
        <w:rPr>
          <w:rFonts w:ascii="Times New Roman" w:hAnsi="Times New Roman"/>
          <w:sz w:val="20"/>
          <w:szCs w:val="20"/>
          <w:lang w:val="en-GB"/>
        </w:rPr>
      </w:pPr>
      <w:r w:rsidRPr="00E87608">
        <w:rPr>
          <w:rFonts w:ascii="Times New Roman" w:hAnsi="Times New Roman"/>
          <w:sz w:val="20"/>
          <w:szCs w:val="20"/>
          <w:lang w:val="en-GB"/>
        </w:rPr>
        <w:t>The detailed graph of the comparisons of the UV-Vis spectra computed using the ZINDO/S method is shown in Figure 7. Variations in the absorption spectra were observed for different plasticizer-polyvinyl chloride systems.</w:t>
      </w:r>
    </w:p>
    <w:p w:rsidR="00E87608" w:rsidRPr="00E87608" w:rsidRDefault="00E87608" w:rsidP="00E87608">
      <w:pPr>
        <w:spacing w:after="0" w:line="240" w:lineRule="auto"/>
        <w:jc w:val="both"/>
        <w:outlineLvl w:val="0"/>
        <w:rPr>
          <w:rFonts w:ascii="Times New Roman" w:hAnsi="Times New Roman"/>
          <w:sz w:val="20"/>
          <w:szCs w:val="20"/>
          <w:lang w:val="en-GB"/>
        </w:rPr>
      </w:pPr>
    </w:p>
    <w:p w:rsidR="00E87608" w:rsidRPr="00E87608" w:rsidRDefault="00E87608" w:rsidP="0012160F">
      <w:pPr>
        <w:spacing w:after="0" w:line="240" w:lineRule="auto"/>
        <w:jc w:val="center"/>
        <w:outlineLvl w:val="0"/>
        <w:rPr>
          <w:rFonts w:ascii="Times New Roman" w:hAnsi="Times New Roman"/>
          <w:sz w:val="20"/>
          <w:szCs w:val="20"/>
          <w:lang w:val="en-GB"/>
        </w:rPr>
      </w:pPr>
      <w:r w:rsidRPr="00E87608">
        <w:rPr>
          <w:rFonts w:ascii="Times New Roman" w:hAnsi="Times New Roman"/>
          <w:b/>
          <w:noProof/>
          <w:sz w:val="20"/>
          <w:szCs w:val="20"/>
          <w:lang w:bidi="ar-SA"/>
        </w:rPr>
        <w:lastRenderedPageBreak/>
        <w:drawing>
          <wp:inline distT="0" distB="0" distL="0" distR="0" wp14:anchorId="74B6A536" wp14:editId="1DED0B98">
            <wp:extent cx="4701540" cy="2350770"/>
            <wp:effectExtent l="19050" t="19050" r="22860" b="11430"/>
            <wp:docPr id="6" name="Рисунок 6" descr="F:\CALCULATION\26_malazian\UVVIS-stability\2x_dinamic\0_Spectra\UVVIS-spectra-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ALCULATION\26_malazian\UVVIS-stability\2x_dinamic\0_Spectra\UVVIS-spectra-3.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01540" cy="2350770"/>
                    </a:xfrm>
                    <a:prstGeom prst="rect">
                      <a:avLst/>
                    </a:prstGeom>
                    <a:noFill/>
                    <a:ln>
                      <a:solidFill>
                        <a:schemeClr val="tx1"/>
                      </a:solidFill>
                    </a:ln>
                  </pic:spPr>
                </pic:pic>
              </a:graphicData>
            </a:graphic>
          </wp:inline>
        </w:drawing>
      </w:r>
    </w:p>
    <w:p w:rsidR="00E87608" w:rsidRPr="00E87608" w:rsidRDefault="00E87608" w:rsidP="00E87608">
      <w:pPr>
        <w:spacing w:after="0" w:line="240" w:lineRule="auto"/>
        <w:jc w:val="both"/>
        <w:rPr>
          <w:rFonts w:ascii="Times New Roman" w:hAnsi="Times New Roman"/>
          <w:sz w:val="20"/>
          <w:szCs w:val="20"/>
        </w:rPr>
      </w:pPr>
    </w:p>
    <w:p w:rsidR="00E87608" w:rsidRPr="00E87608" w:rsidRDefault="00E87608" w:rsidP="0012160F">
      <w:pPr>
        <w:spacing w:after="0" w:line="240" w:lineRule="auto"/>
        <w:jc w:val="center"/>
        <w:rPr>
          <w:rFonts w:ascii="Times New Roman" w:hAnsi="Times New Roman"/>
          <w:sz w:val="20"/>
          <w:szCs w:val="20"/>
        </w:rPr>
      </w:pPr>
      <w:r w:rsidRPr="00E87608">
        <w:rPr>
          <w:rFonts w:ascii="Times New Roman" w:hAnsi="Times New Roman"/>
          <w:sz w:val="20"/>
          <w:szCs w:val="20"/>
        </w:rPr>
        <w:t xml:space="preserve">Figure 7. </w:t>
      </w:r>
      <w:r w:rsidR="0012160F">
        <w:rPr>
          <w:rFonts w:ascii="Times New Roman" w:hAnsi="Times New Roman"/>
          <w:sz w:val="20"/>
          <w:szCs w:val="20"/>
        </w:rPr>
        <w:t xml:space="preserve"> </w:t>
      </w:r>
      <w:r w:rsidRPr="00E87608">
        <w:rPr>
          <w:rFonts w:ascii="Times New Roman" w:hAnsi="Times New Roman"/>
          <w:sz w:val="20"/>
          <w:szCs w:val="20"/>
        </w:rPr>
        <w:t>Average UV-Vis spectrum for five systems</w:t>
      </w:r>
    </w:p>
    <w:p w:rsidR="00E87608" w:rsidRPr="00E87608" w:rsidRDefault="00E87608" w:rsidP="0012160F">
      <w:pPr>
        <w:spacing w:after="120" w:line="240" w:lineRule="auto"/>
        <w:jc w:val="both"/>
        <w:rPr>
          <w:rFonts w:ascii="Times New Roman" w:hAnsi="Times New Roman"/>
          <w:sz w:val="20"/>
          <w:szCs w:val="20"/>
        </w:rPr>
      </w:pPr>
    </w:p>
    <w:p w:rsidR="00E87608" w:rsidRPr="00E87608" w:rsidRDefault="00E87608" w:rsidP="00E87608">
      <w:pPr>
        <w:spacing w:after="0" w:line="240" w:lineRule="auto"/>
        <w:jc w:val="both"/>
        <w:outlineLvl w:val="0"/>
        <w:rPr>
          <w:rFonts w:ascii="Times New Roman" w:hAnsi="Times New Roman"/>
          <w:b/>
          <w:sz w:val="20"/>
          <w:szCs w:val="20"/>
        </w:rPr>
      </w:pPr>
      <w:r w:rsidRPr="00E87608">
        <w:rPr>
          <w:rFonts w:ascii="Times New Roman" w:hAnsi="Times New Roman"/>
          <w:b/>
          <w:sz w:val="20"/>
          <w:szCs w:val="20"/>
        </w:rPr>
        <w:t>1-bromonaphthalene-polyvinyl chloride system</w:t>
      </w:r>
    </w:p>
    <w:p w:rsidR="00E87608" w:rsidRPr="00E87608" w:rsidRDefault="00E87608" w:rsidP="00E87608">
      <w:pPr>
        <w:spacing w:after="0" w:line="240" w:lineRule="auto"/>
        <w:jc w:val="both"/>
        <w:outlineLvl w:val="0"/>
        <w:rPr>
          <w:rFonts w:ascii="Times New Roman" w:hAnsi="Times New Roman"/>
          <w:sz w:val="20"/>
          <w:szCs w:val="20"/>
          <w:lang w:val="en-GB"/>
        </w:rPr>
      </w:pPr>
      <w:r w:rsidRPr="00E87608">
        <w:rPr>
          <w:rFonts w:ascii="Times New Roman" w:hAnsi="Times New Roman"/>
          <w:sz w:val="20"/>
          <w:szCs w:val="20"/>
          <w:lang w:val="en-GB"/>
        </w:rPr>
        <w:t>In the UV region, three strong absorptions at 221.42 nm (λ1), 241.44 nm (λ2) and 323.45 nm (λ3) were observed. However, no absorption was observed in the visible region. The strongest band appears in the region of 200 nm to 296.05 nm, with an absorption maximum (λ</w:t>
      </w:r>
      <w:r w:rsidRPr="00E87608">
        <w:rPr>
          <w:rFonts w:ascii="Times New Roman" w:hAnsi="Times New Roman"/>
          <w:sz w:val="20"/>
          <w:szCs w:val="20"/>
          <w:vertAlign w:val="subscript"/>
          <w:lang w:val="en-GB"/>
        </w:rPr>
        <w:t>max</w:t>
      </w:r>
      <w:r w:rsidRPr="00E87608">
        <w:rPr>
          <w:rFonts w:ascii="Times New Roman" w:hAnsi="Times New Roman"/>
          <w:sz w:val="20"/>
          <w:szCs w:val="20"/>
          <w:lang w:val="en-GB"/>
        </w:rPr>
        <w:t>) at 241.44 nm (λ2). The absorption band at 323.45 nm (λ3) is in general agreement with UV-Vis spectra of aBN from the NIST database [26]. Experimental data show that the multiple bands in the region of 256 – 320 nm, and the shift of about 30 – 50 nm could be explained by the influence of PVC and by computational error.</w:t>
      </w:r>
    </w:p>
    <w:p w:rsidR="00E87608" w:rsidRPr="00E87608" w:rsidRDefault="00E87608" w:rsidP="00E87608">
      <w:pPr>
        <w:spacing w:after="0" w:line="240" w:lineRule="auto"/>
        <w:jc w:val="both"/>
        <w:outlineLvl w:val="0"/>
        <w:rPr>
          <w:rFonts w:ascii="Times New Roman" w:hAnsi="Times New Roman"/>
          <w:sz w:val="20"/>
          <w:szCs w:val="20"/>
          <w:lang w:val="en-GB"/>
        </w:rPr>
      </w:pPr>
    </w:p>
    <w:p w:rsidR="00E87608" w:rsidRPr="00E87608" w:rsidRDefault="00E87608" w:rsidP="00E87608">
      <w:pPr>
        <w:spacing w:after="0" w:line="240" w:lineRule="auto"/>
        <w:jc w:val="both"/>
        <w:outlineLvl w:val="0"/>
        <w:rPr>
          <w:rFonts w:ascii="Times New Roman" w:hAnsi="Times New Roman"/>
          <w:b/>
          <w:sz w:val="20"/>
          <w:szCs w:val="20"/>
        </w:rPr>
      </w:pPr>
      <w:r w:rsidRPr="00E87608">
        <w:rPr>
          <w:rFonts w:ascii="Times New Roman" w:hAnsi="Times New Roman"/>
          <w:b/>
          <w:sz w:val="20"/>
          <w:szCs w:val="20"/>
        </w:rPr>
        <w:t>Dibutyl phthalate-polyvinyl chloride system</w:t>
      </w:r>
    </w:p>
    <w:p w:rsidR="00E87608" w:rsidRPr="00E87608" w:rsidRDefault="00E87608" w:rsidP="00E87608">
      <w:pPr>
        <w:spacing w:after="0" w:line="240" w:lineRule="auto"/>
        <w:jc w:val="both"/>
        <w:outlineLvl w:val="0"/>
        <w:rPr>
          <w:rFonts w:ascii="Times New Roman" w:hAnsi="Times New Roman"/>
          <w:sz w:val="20"/>
          <w:szCs w:val="20"/>
          <w:lang w:val="en-GB"/>
        </w:rPr>
      </w:pPr>
      <w:r w:rsidRPr="00E87608">
        <w:rPr>
          <w:rFonts w:ascii="Times New Roman" w:hAnsi="Times New Roman"/>
          <w:sz w:val="20"/>
          <w:szCs w:val="20"/>
          <w:lang w:val="en-GB"/>
        </w:rPr>
        <w:t>Figure 7 shows three prominent bands in the UV region with absorption maxima at 222.66 nm (λ1), 260.57 nm (λ2) and 284.78 nm (λ3) for DBP. The strongest band was observed from 200 nm to 244.44 nm with an absorption maximum at 222.66 nm (λ1). The absorption band at 284.78 nm (λ3) is in very good agreement with experimental UV-Vis spectra of DBP from the NIST database [27], which show bands at 277 nm and 286 nm.</w:t>
      </w:r>
    </w:p>
    <w:p w:rsidR="00E87608" w:rsidRPr="00E87608" w:rsidRDefault="00E87608" w:rsidP="00E87608">
      <w:pPr>
        <w:spacing w:after="0" w:line="240" w:lineRule="auto"/>
        <w:jc w:val="both"/>
        <w:outlineLvl w:val="0"/>
        <w:rPr>
          <w:rFonts w:ascii="Times New Roman" w:hAnsi="Times New Roman"/>
          <w:sz w:val="20"/>
          <w:szCs w:val="20"/>
          <w:lang w:val="en-GB"/>
        </w:rPr>
      </w:pPr>
    </w:p>
    <w:p w:rsidR="00E87608" w:rsidRPr="00E87608" w:rsidRDefault="00E87608" w:rsidP="00E87608">
      <w:pPr>
        <w:spacing w:after="0" w:line="240" w:lineRule="auto"/>
        <w:jc w:val="both"/>
        <w:outlineLvl w:val="0"/>
        <w:rPr>
          <w:rFonts w:ascii="Times New Roman" w:hAnsi="Times New Roman"/>
          <w:b/>
          <w:sz w:val="20"/>
          <w:szCs w:val="20"/>
        </w:rPr>
      </w:pPr>
      <w:r w:rsidRPr="00E87608">
        <w:rPr>
          <w:rFonts w:ascii="Times New Roman" w:hAnsi="Times New Roman"/>
          <w:b/>
          <w:sz w:val="20"/>
          <w:szCs w:val="20"/>
        </w:rPr>
        <w:t>Dioctyl phthalate-polyvinyl chloride system</w:t>
      </w:r>
    </w:p>
    <w:p w:rsidR="00E87608" w:rsidRPr="00E87608" w:rsidRDefault="00E87608" w:rsidP="00E87608">
      <w:pPr>
        <w:spacing w:after="0" w:line="240" w:lineRule="auto"/>
        <w:jc w:val="both"/>
        <w:outlineLvl w:val="0"/>
        <w:rPr>
          <w:rFonts w:ascii="Times New Roman" w:hAnsi="Times New Roman"/>
          <w:sz w:val="20"/>
          <w:szCs w:val="20"/>
          <w:lang w:val="en-GB"/>
        </w:rPr>
      </w:pPr>
      <w:r w:rsidRPr="00E87608">
        <w:rPr>
          <w:rFonts w:ascii="Times New Roman" w:hAnsi="Times New Roman"/>
          <w:sz w:val="20"/>
          <w:szCs w:val="20"/>
          <w:lang w:val="en-GB"/>
        </w:rPr>
        <w:t>Three strong absorption bands were observed for DOP in the UV region, with absorption maxima at 226.59 nm (λ1), 266.59 nm (λ2) and 284.94 nm (λ3) (Figure 7). The strongest band was observed in the region from 200 nm to 241.88 nm, with an absorption maximum at 226.59 nm (λ1).</w:t>
      </w:r>
    </w:p>
    <w:p w:rsidR="00E87608" w:rsidRPr="00E87608" w:rsidRDefault="00E87608" w:rsidP="00E87608">
      <w:pPr>
        <w:spacing w:after="0" w:line="240" w:lineRule="auto"/>
        <w:jc w:val="both"/>
        <w:outlineLvl w:val="0"/>
        <w:rPr>
          <w:rFonts w:ascii="Times New Roman" w:hAnsi="Times New Roman"/>
          <w:sz w:val="20"/>
          <w:szCs w:val="20"/>
          <w:lang w:val="en-GB"/>
        </w:rPr>
      </w:pPr>
    </w:p>
    <w:p w:rsidR="00E87608" w:rsidRPr="00E87608" w:rsidRDefault="00E87608" w:rsidP="00E87608">
      <w:pPr>
        <w:spacing w:after="0" w:line="240" w:lineRule="auto"/>
        <w:jc w:val="both"/>
        <w:outlineLvl w:val="0"/>
        <w:rPr>
          <w:rFonts w:ascii="Times New Roman" w:hAnsi="Times New Roman"/>
          <w:b/>
          <w:sz w:val="20"/>
          <w:szCs w:val="20"/>
        </w:rPr>
      </w:pPr>
      <w:r w:rsidRPr="00E87608">
        <w:rPr>
          <w:rFonts w:ascii="Times New Roman" w:hAnsi="Times New Roman"/>
          <w:b/>
          <w:sz w:val="20"/>
          <w:szCs w:val="20"/>
        </w:rPr>
        <w:t>Nitrophenyl octyl ether-polyvinyl chloride system</w:t>
      </w:r>
    </w:p>
    <w:p w:rsidR="00E87608" w:rsidRPr="00E87608" w:rsidRDefault="00E87608" w:rsidP="00E87608">
      <w:pPr>
        <w:spacing w:after="0" w:line="240" w:lineRule="auto"/>
        <w:jc w:val="both"/>
        <w:outlineLvl w:val="0"/>
        <w:rPr>
          <w:rFonts w:ascii="Times New Roman" w:hAnsi="Times New Roman"/>
          <w:sz w:val="20"/>
          <w:szCs w:val="20"/>
          <w:lang w:val="en-GB"/>
        </w:rPr>
      </w:pPr>
      <w:r w:rsidRPr="00E87608">
        <w:rPr>
          <w:rFonts w:ascii="Times New Roman" w:hAnsi="Times New Roman"/>
          <w:sz w:val="20"/>
          <w:szCs w:val="20"/>
          <w:lang w:val="en-GB"/>
        </w:rPr>
        <w:t xml:space="preserve">The absorption spectrum of the NPOE-PVC system (Figure 7) exhibits one strong and one weak absorption band in the UV region, with absorption maxima at 212.11 nm (λ1) and 324.16 nm (λ2) respectively. In addition, there are two very weak absorption bands in the visible region, with absorption maxima at 466.15 nm (λ1) and 493.88 nm (λ2). This is in a very good agreement with the fact that NPOE is itself yellow, and absorption in the visible region is very close to the predicted absorption. </w:t>
      </w:r>
    </w:p>
    <w:p w:rsidR="00E87608" w:rsidRPr="00E87608" w:rsidRDefault="00E87608" w:rsidP="00E87608">
      <w:pPr>
        <w:spacing w:after="0" w:line="240" w:lineRule="auto"/>
        <w:jc w:val="both"/>
        <w:outlineLvl w:val="0"/>
        <w:rPr>
          <w:rFonts w:ascii="Times New Roman" w:hAnsi="Times New Roman"/>
          <w:sz w:val="20"/>
          <w:szCs w:val="20"/>
          <w:lang w:val="en-GB"/>
        </w:rPr>
      </w:pPr>
    </w:p>
    <w:p w:rsidR="00E87608" w:rsidRPr="00E87608" w:rsidRDefault="00E87608" w:rsidP="00E87608">
      <w:pPr>
        <w:spacing w:after="0" w:line="240" w:lineRule="auto"/>
        <w:jc w:val="both"/>
        <w:outlineLvl w:val="0"/>
        <w:rPr>
          <w:rFonts w:ascii="Times New Roman" w:hAnsi="Times New Roman"/>
          <w:b/>
          <w:sz w:val="20"/>
          <w:szCs w:val="20"/>
          <w:lang w:val="en-GB"/>
        </w:rPr>
      </w:pPr>
      <w:r w:rsidRPr="00E87608">
        <w:rPr>
          <w:rFonts w:ascii="Times New Roman" w:hAnsi="Times New Roman"/>
          <w:b/>
          <w:sz w:val="20"/>
          <w:szCs w:val="20"/>
          <w:lang w:val="en-GB"/>
        </w:rPr>
        <w:t>Tricresyl phosphate-polyvinyl chloride system</w:t>
      </w:r>
    </w:p>
    <w:p w:rsidR="00E87608" w:rsidRPr="00E87608" w:rsidRDefault="00E87608" w:rsidP="00E87608">
      <w:pPr>
        <w:spacing w:after="0" w:line="240" w:lineRule="auto"/>
        <w:jc w:val="both"/>
        <w:outlineLvl w:val="0"/>
        <w:rPr>
          <w:rFonts w:ascii="Times New Roman" w:hAnsi="Times New Roman"/>
          <w:sz w:val="20"/>
          <w:szCs w:val="20"/>
          <w:lang w:val="en-GB"/>
        </w:rPr>
      </w:pPr>
      <w:r w:rsidRPr="00E87608">
        <w:rPr>
          <w:rFonts w:ascii="Times New Roman" w:hAnsi="Times New Roman"/>
          <w:sz w:val="20"/>
          <w:szCs w:val="20"/>
          <w:lang w:val="en-GB"/>
        </w:rPr>
        <w:t>Two strong absorption bands were observed for the TCP-PVC system in the UV region, with absorption maxima at 212.33 nm (λ1) and 249.16 nm (λ2) (Figure 7). One very weak absorption band at 279.08 nm (λ3) is also present. The strongest band was observed in the region from 200 nm to 240.08 nm with an absorption maximum at 212.33 nm (λ1).</w:t>
      </w:r>
    </w:p>
    <w:p w:rsidR="00AC0033" w:rsidRDefault="00AC0033" w:rsidP="00AC0033">
      <w:pPr>
        <w:spacing w:after="0" w:line="240" w:lineRule="auto"/>
        <w:jc w:val="center"/>
        <w:rPr>
          <w:rFonts w:ascii="Times New Roman" w:hAnsi="Times New Roman"/>
          <w:noProof/>
          <w:sz w:val="20"/>
          <w:szCs w:val="20"/>
          <w:lang w:bidi="ar-SA"/>
        </w:rPr>
      </w:pPr>
    </w:p>
    <w:p w:rsidR="0012160F" w:rsidRPr="00F447A7" w:rsidRDefault="0012160F"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12160F" w:rsidRPr="0012160F" w:rsidRDefault="0012160F" w:rsidP="0012160F">
      <w:pPr>
        <w:spacing w:after="0" w:line="240" w:lineRule="auto"/>
        <w:jc w:val="both"/>
        <w:outlineLvl w:val="0"/>
        <w:rPr>
          <w:rFonts w:ascii="Times New Roman" w:hAnsi="Times New Roman"/>
          <w:sz w:val="20"/>
          <w:szCs w:val="20"/>
        </w:rPr>
      </w:pPr>
      <w:r w:rsidRPr="0012160F">
        <w:rPr>
          <w:rFonts w:ascii="Times New Roman" w:hAnsi="Times New Roman"/>
          <w:sz w:val="20"/>
          <w:szCs w:val="20"/>
        </w:rPr>
        <w:t>Calculations have been carried out on five plasticizer-polyvinyl chloride systems, to study their ultraviolet stability in the light of the shift of absorption wavelength with respect to the nature of the plasticizer. The electronic absorption spectra of plasticized membranes, except in the tricresyl phosphate-polyvinyl chloride system, show the strongest absorption band due to the transitions between the energy states HOMO</w:t>
      </w:r>
      <w:r w:rsidRPr="0012160F">
        <w:rPr>
          <w:rFonts w:ascii="Times New Roman" w:eastAsia="Malgun Gothic" w:hAnsi="Times New Roman"/>
          <w:sz w:val="20"/>
          <w:szCs w:val="20"/>
        </w:rPr>
        <w:t>–</w:t>
      </w:r>
      <w:r w:rsidRPr="0012160F">
        <w:rPr>
          <w:rFonts w:ascii="Times New Roman" w:hAnsi="Times New Roman"/>
          <w:sz w:val="20"/>
          <w:szCs w:val="20"/>
        </w:rPr>
        <w:t>1→LUMO and HOMO→LUMO+1, which can be assigned as π→π* transitions. This is due to the presence of two molecules of plasticizer in the systems described, and whereas the HOMO–1 and LUMO correspond to one phenyl/naphthyl ring, the HOMO and LUMO+1 correspond to a transition in another phenyl/naphthyl ring. In the case of the TCP-PVC system, the absorption bands mainly induce transitions of electrons from plasticizer molecules to the polymeric chain.</w:t>
      </w:r>
    </w:p>
    <w:p w:rsidR="0012160F" w:rsidRPr="0012160F" w:rsidRDefault="0012160F" w:rsidP="0012160F">
      <w:pPr>
        <w:spacing w:after="0" w:line="240" w:lineRule="auto"/>
        <w:jc w:val="both"/>
        <w:outlineLvl w:val="0"/>
        <w:rPr>
          <w:rFonts w:ascii="Times New Roman" w:hAnsi="Times New Roman"/>
          <w:sz w:val="20"/>
          <w:szCs w:val="20"/>
        </w:rPr>
      </w:pPr>
    </w:p>
    <w:p w:rsidR="0012160F" w:rsidRPr="0012160F" w:rsidRDefault="0012160F" w:rsidP="0012160F">
      <w:pPr>
        <w:spacing w:after="0" w:line="240" w:lineRule="auto"/>
        <w:jc w:val="both"/>
        <w:outlineLvl w:val="0"/>
        <w:rPr>
          <w:rFonts w:ascii="Times New Roman" w:hAnsi="Times New Roman"/>
          <w:sz w:val="20"/>
          <w:szCs w:val="20"/>
        </w:rPr>
      </w:pPr>
      <w:r w:rsidRPr="0012160F">
        <w:rPr>
          <w:rFonts w:ascii="Times New Roman" w:hAnsi="Times New Roman"/>
          <w:sz w:val="20"/>
          <w:szCs w:val="20"/>
        </w:rPr>
        <w:t>The principal absorption bands of membranes with TCP and especially with NPOE (considering the much higher relative absorption intensity) show that these membranes are less stable under the action of UV irradiation, as they absorb light with higher energy, causing the bonds to be more easily destroyed. DBP- and DOP-containing systems show very similar behaviour, and they are more stable than the two previously mentioned membranes. A membrane containing 1-bromonaphthalene as a plasticizer is likely to be the least sensitive to UV irradiation.</w:t>
      </w:r>
    </w:p>
    <w:p w:rsidR="0012160F" w:rsidRPr="0012160F" w:rsidRDefault="0012160F" w:rsidP="0012160F">
      <w:pPr>
        <w:spacing w:after="0" w:line="240" w:lineRule="auto"/>
        <w:jc w:val="both"/>
        <w:outlineLvl w:val="0"/>
        <w:rPr>
          <w:rFonts w:ascii="Times New Roman" w:hAnsi="Times New Roman"/>
          <w:sz w:val="20"/>
          <w:szCs w:val="20"/>
        </w:rPr>
      </w:pPr>
    </w:p>
    <w:p w:rsidR="0012160F" w:rsidRPr="0012160F" w:rsidRDefault="0012160F" w:rsidP="0012160F">
      <w:pPr>
        <w:spacing w:after="0" w:line="240" w:lineRule="auto"/>
        <w:jc w:val="both"/>
        <w:outlineLvl w:val="0"/>
        <w:rPr>
          <w:rFonts w:ascii="Times New Roman" w:hAnsi="Times New Roman"/>
          <w:sz w:val="20"/>
          <w:szCs w:val="20"/>
        </w:rPr>
      </w:pPr>
      <w:r w:rsidRPr="0012160F">
        <w:rPr>
          <w:rFonts w:ascii="Times New Roman" w:hAnsi="Times New Roman"/>
          <w:sz w:val="20"/>
          <w:szCs w:val="20"/>
        </w:rPr>
        <w:t xml:space="preserve">The methods described show good performance in the study of photostability, and this provides a basis for the future development of computer investigations and quantum chemical simulations in very complex and important objects such as synthetic membrane materials. Furthermore, the presented findings demonstrate that not all placticizers in membranes have the same stability, and therefore testing is needed in each case. </w:t>
      </w:r>
    </w:p>
    <w:p w:rsidR="0012160F" w:rsidRPr="0012160F" w:rsidRDefault="0012160F" w:rsidP="0012160F">
      <w:pPr>
        <w:spacing w:after="0" w:line="240" w:lineRule="auto"/>
        <w:jc w:val="center"/>
        <w:outlineLvl w:val="0"/>
        <w:rPr>
          <w:rFonts w:ascii="Times New Roman" w:hAnsi="Times New Roman"/>
          <w:sz w:val="20"/>
          <w:szCs w:val="20"/>
        </w:rPr>
      </w:pPr>
    </w:p>
    <w:p w:rsidR="0012160F" w:rsidRPr="0012160F" w:rsidRDefault="0012160F" w:rsidP="0012160F">
      <w:pPr>
        <w:spacing w:after="0" w:line="240" w:lineRule="auto"/>
        <w:jc w:val="center"/>
        <w:outlineLvl w:val="0"/>
        <w:rPr>
          <w:rFonts w:ascii="Times New Roman" w:hAnsi="Times New Roman"/>
          <w:b/>
          <w:sz w:val="20"/>
          <w:szCs w:val="20"/>
        </w:rPr>
      </w:pPr>
      <w:r w:rsidRPr="0012160F">
        <w:rPr>
          <w:rFonts w:ascii="Times New Roman" w:hAnsi="Times New Roman"/>
          <w:b/>
          <w:sz w:val="20"/>
          <w:szCs w:val="20"/>
        </w:rPr>
        <w:t>Acknowledgement</w:t>
      </w:r>
    </w:p>
    <w:p w:rsidR="00AC0033" w:rsidRPr="00F447A7" w:rsidRDefault="0012160F" w:rsidP="0012160F">
      <w:pPr>
        <w:spacing w:after="0" w:line="240" w:lineRule="auto"/>
        <w:jc w:val="both"/>
        <w:outlineLvl w:val="0"/>
        <w:rPr>
          <w:rFonts w:ascii="Times New Roman" w:hAnsi="Times New Roman"/>
          <w:sz w:val="20"/>
          <w:szCs w:val="20"/>
        </w:rPr>
      </w:pPr>
      <w:r w:rsidRPr="0012160F">
        <w:rPr>
          <w:rFonts w:ascii="Times New Roman" w:hAnsi="Times New Roman"/>
          <w:sz w:val="20"/>
          <w:szCs w:val="20"/>
        </w:rPr>
        <w:t>One of the authors (OF) acknowledges the International Visegrad Fund (ID 51700627).</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Mikhelson, K</w:t>
      </w:r>
      <w:r w:rsidRPr="0012160F">
        <w:rPr>
          <w:rFonts w:ascii="Times New Roman" w:hAnsi="Times New Roman"/>
          <w:color w:val="000000" w:themeColor="text1"/>
          <w:sz w:val="20"/>
          <w:szCs w:val="20"/>
          <w:lang w:val="uk-UA"/>
        </w:rPr>
        <w:t>.</w:t>
      </w:r>
      <w:r w:rsidRPr="0012160F">
        <w:rPr>
          <w:rFonts w:ascii="Times New Roman" w:hAnsi="Times New Roman"/>
          <w:color w:val="000000" w:themeColor="text1"/>
          <w:sz w:val="20"/>
          <w:szCs w:val="20"/>
        </w:rPr>
        <w:t xml:space="preserve"> N. (2013). Ion-selective electrodes. Springer,</w:t>
      </w:r>
      <w:r w:rsidRPr="0012160F">
        <w:rPr>
          <w:rFonts w:ascii="Times New Roman" w:hAnsi="Times New Roman"/>
          <w:color w:val="000000" w:themeColor="text1"/>
          <w:sz w:val="20"/>
          <w:szCs w:val="20"/>
          <w:lang w:val="uk-UA"/>
        </w:rPr>
        <w:t xml:space="preserve"> </w:t>
      </w:r>
      <w:r w:rsidRPr="0012160F">
        <w:rPr>
          <w:rFonts w:ascii="Times New Roman" w:hAnsi="Times New Roman"/>
          <w:color w:val="000000" w:themeColor="text1"/>
          <w:sz w:val="20"/>
          <w:szCs w:val="20"/>
        </w:rPr>
        <w:t>Berlin: pp. 1 – 7.</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Dimeski, G., Badrick T. and St John, A. (2010). Ion selective electrodes (ISEs) and interferences – A review. </w:t>
      </w:r>
      <w:r w:rsidRPr="0012160F">
        <w:rPr>
          <w:rFonts w:ascii="Times New Roman" w:hAnsi="Times New Roman"/>
          <w:i/>
          <w:sz w:val="20"/>
          <w:szCs w:val="20"/>
        </w:rPr>
        <w:t>Clinica Chimica Acta</w:t>
      </w:r>
      <w:r w:rsidRPr="0012160F">
        <w:rPr>
          <w:rFonts w:ascii="Times New Roman" w:hAnsi="Times New Roman"/>
          <w:sz w:val="20"/>
          <w:szCs w:val="20"/>
        </w:rPr>
        <w:t>, 411 (5 – 6): 309 – 317.</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Radu, A., Radu, T., McGraw, C., Dillingham, P., Anastasova-Ivanova, S. and Diamond, D. (2013). Ion selective electrodes in environmental analysis. </w:t>
      </w:r>
      <w:r w:rsidRPr="0012160F">
        <w:rPr>
          <w:rFonts w:ascii="Times New Roman" w:hAnsi="Times New Roman"/>
          <w:i/>
          <w:sz w:val="20"/>
          <w:szCs w:val="20"/>
        </w:rPr>
        <w:t>Journal of Serbian Chemical Society</w:t>
      </w:r>
      <w:r w:rsidRPr="0012160F">
        <w:rPr>
          <w:rFonts w:ascii="Times New Roman" w:hAnsi="Times New Roman"/>
          <w:sz w:val="20"/>
          <w:szCs w:val="20"/>
        </w:rPr>
        <w:t>, 78(11): 1729 – 1761.</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Yan, R., Qiu, Sh., Tong, L. and Qian, Y. (2016). Review of progresses on clinical applications of ion selective electrodes for electrolytic ion tests: from conventional ISEs to graphene-based ISEs. </w:t>
      </w:r>
      <w:r w:rsidRPr="0012160F">
        <w:rPr>
          <w:rFonts w:ascii="Times New Roman" w:hAnsi="Times New Roman"/>
          <w:i/>
          <w:sz w:val="20"/>
          <w:szCs w:val="20"/>
        </w:rPr>
        <w:t>Chemical Speciation &amp; Bioavailability</w:t>
      </w:r>
      <w:r w:rsidRPr="0012160F">
        <w:rPr>
          <w:rFonts w:ascii="Times New Roman" w:hAnsi="Times New Roman"/>
          <w:sz w:val="20"/>
          <w:szCs w:val="20"/>
        </w:rPr>
        <w:t>, 28(1 – 4): 72 – 77.</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Thakur, V. K. and Thakur, M. K. (2015). Handbook of polymers for pharmaceutical technologies, processing and applications (Vol. 2). Scrivener Publishing LLC, USA: p. 211.</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Wypych, G. (2015). PVC degradation and stabilization. 3</w:t>
      </w:r>
      <w:r w:rsidRPr="0012160F">
        <w:rPr>
          <w:rFonts w:ascii="Times New Roman" w:hAnsi="Times New Roman"/>
          <w:sz w:val="20"/>
          <w:szCs w:val="20"/>
          <w:vertAlign w:val="superscript"/>
        </w:rPr>
        <w:t>rd</w:t>
      </w:r>
      <w:r w:rsidRPr="0012160F">
        <w:rPr>
          <w:rFonts w:ascii="Times New Roman" w:hAnsi="Times New Roman"/>
          <w:sz w:val="20"/>
          <w:szCs w:val="20"/>
        </w:rPr>
        <w:t xml:space="preserve"> Edition. ChemTec Publishing, Toronto: pp. 167 – 203.</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Al Ani K. E. and Ramadhan, A. E. (2010). Plasticization effect on the photodegradation of poly (4-chlorostyrene) and poly(4-bromostyrene) films. </w:t>
      </w:r>
      <w:r w:rsidRPr="0012160F">
        <w:rPr>
          <w:rFonts w:ascii="Times New Roman" w:hAnsi="Times New Roman"/>
          <w:i/>
          <w:sz w:val="20"/>
          <w:szCs w:val="20"/>
        </w:rPr>
        <w:t>Materials Sciences and Applications</w:t>
      </w:r>
      <w:r w:rsidRPr="0012160F">
        <w:rPr>
          <w:rFonts w:ascii="Times New Roman" w:hAnsi="Times New Roman"/>
          <w:sz w:val="20"/>
          <w:szCs w:val="20"/>
        </w:rPr>
        <w:t>, 1 (6): 358 – 368.</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Ramadhan, A. E. (2015). Effects of added phthalate plasticizers on photodegradation of irradiated poly(α-methylstyrene) films. </w:t>
      </w:r>
      <w:r w:rsidRPr="0012160F">
        <w:rPr>
          <w:rFonts w:ascii="Times New Roman" w:hAnsi="Times New Roman"/>
          <w:i/>
          <w:sz w:val="20"/>
          <w:szCs w:val="20"/>
        </w:rPr>
        <w:t>Journal of Polymer Engineering</w:t>
      </w:r>
      <w:r w:rsidRPr="0012160F">
        <w:rPr>
          <w:rFonts w:ascii="Times New Roman" w:hAnsi="Times New Roman"/>
          <w:sz w:val="20"/>
          <w:szCs w:val="20"/>
        </w:rPr>
        <w:t>, 35(2): 159 – 167.</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Hassan, M. A., Kamarudin, S. K. and Loh, K. S. (2016). Structural study of reduced graphene oxide/polypyrrole composite as methanol sensor in direct methanol fuel cell. </w:t>
      </w:r>
      <w:r w:rsidRPr="0012160F">
        <w:rPr>
          <w:rFonts w:ascii="Times New Roman" w:hAnsi="Times New Roman"/>
          <w:i/>
          <w:sz w:val="20"/>
          <w:szCs w:val="20"/>
        </w:rPr>
        <w:t>Malaysian Journal of Analytical Sciences</w:t>
      </w:r>
      <w:r w:rsidRPr="0012160F">
        <w:rPr>
          <w:rFonts w:ascii="Times New Roman" w:hAnsi="Times New Roman"/>
          <w:sz w:val="20"/>
          <w:szCs w:val="20"/>
        </w:rPr>
        <w:t>, 20(4): 965 – 970.</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Bevziuk, K., Chebotarev, A., Snigur, D., Bazel, Ya., Fizer, M. and Sidey, V. (2017). Spectrophotometric and theoretical studies of the protonation of Allura Red AC and Ponceau 4R. </w:t>
      </w:r>
      <w:r w:rsidRPr="0012160F">
        <w:rPr>
          <w:rFonts w:ascii="Times New Roman" w:hAnsi="Times New Roman"/>
          <w:i/>
          <w:sz w:val="20"/>
          <w:szCs w:val="20"/>
        </w:rPr>
        <w:t>Journal of Molecular Structure</w:t>
      </w:r>
      <w:r w:rsidRPr="0012160F">
        <w:rPr>
          <w:rFonts w:ascii="Times New Roman" w:hAnsi="Times New Roman"/>
          <w:sz w:val="20"/>
          <w:szCs w:val="20"/>
        </w:rPr>
        <w:t>, 1144: 216 – 224.</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Arifin, K., Daud, W. R. W. and Kassim, M. B. (2016). Molecular and electronic structures of a new ruthenium-tungsten bimetallic complex using density functional theory calculations. </w:t>
      </w:r>
      <w:r w:rsidRPr="0012160F">
        <w:rPr>
          <w:rFonts w:ascii="Times New Roman" w:hAnsi="Times New Roman"/>
          <w:i/>
          <w:sz w:val="20"/>
          <w:szCs w:val="20"/>
        </w:rPr>
        <w:t>Malaysian Journal of Analytical Sciences</w:t>
      </w:r>
      <w:r w:rsidRPr="0012160F">
        <w:rPr>
          <w:rFonts w:ascii="Times New Roman" w:hAnsi="Times New Roman"/>
          <w:sz w:val="20"/>
          <w:szCs w:val="20"/>
        </w:rPr>
        <w:t>, 20(4): 946 – 954.</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lastRenderedPageBreak/>
        <w:t xml:space="preserve">Fizer, M., Sukharev, S., Slivka, M., Mariychuk, R. and Lendel, V. (2016). Preparation of bisthiourea and 5-Amino-4-benzoyl-1,2,4-triazol-3-thione complexes of copper(II), nickel and zinc and their biological evolution. </w:t>
      </w:r>
      <w:r w:rsidRPr="0012160F">
        <w:rPr>
          <w:rFonts w:ascii="Times New Roman" w:hAnsi="Times New Roman"/>
          <w:i/>
          <w:sz w:val="20"/>
          <w:szCs w:val="20"/>
        </w:rPr>
        <w:t>Journal of Organometallic Chemistry</w:t>
      </w:r>
      <w:r w:rsidRPr="0012160F">
        <w:rPr>
          <w:rFonts w:ascii="Times New Roman" w:hAnsi="Times New Roman"/>
          <w:sz w:val="20"/>
          <w:szCs w:val="20"/>
        </w:rPr>
        <w:t>, 804: 6 – 12.</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Fizer, M., Sidey, V., Tupys, A., Ostapiuk, Y., Tymoshuk, O. and Bazel, Y. (2017). On the structure of transition metals complexes with the new tridentate dye of thiazole series: Theoretical and experimental studies. </w:t>
      </w:r>
      <w:r w:rsidRPr="0012160F">
        <w:rPr>
          <w:rFonts w:ascii="Times New Roman" w:hAnsi="Times New Roman"/>
          <w:i/>
          <w:sz w:val="20"/>
          <w:szCs w:val="20"/>
        </w:rPr>
        <w:t>Journal of Molecular Structure</w:t>
      </w:r>
      <w:r w:rsidRPr="0012160F">
        <w:rPr>
          <w:rFonts w:ascii="Times New Roman" w:hAnsi="Times New Roman"/>
          <w:sz w:val="20"/>
          <w:szCs w:val="20"/>
        </w:rPr>
        <w:t>, 1149: 669 – 682.</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Praveen, P. L. and Ojha, D. P. (2012). Effect of substituents on electronic spectral shifts and phase stability of liquid crystalline biphenylcyclohexane molecules – A theoretical approach. </w:t>
      </w:r>
      <w:r w:rsidRPr="0012160F">
        <w:rPr>
          <w:rFonts w:ascii="Times New Roman" w:hAnsi="Times New Roman"/>
          <w:i/>
          <w:sz w:val="20"/>
          <w:szCs w:val="20"/>
        </w:rPr>
        <w:t>Molecular Crystals and Liquid Crystals</w:t>
      </w:r>
      <w:r w:rsidRPr="0012160F">
        <w:rPr>
          <w:rFonts w:ascii="Times New Roman" w:hAnsi="Times New Roman"/>
          <w:sz w:val="20"/>
          <w:szCs w:val="20"/>
        </w:rPr>
        <w:t>, 557(1): 206 – 216.</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Praveen, P. L. and Ojha, D. P. (2014). Effect of molecular interactions and end chain length on ultraviolet absorption behavior and </w:t>
      </w:r>
      <w:r w:rsidRPr="0012160F">
        <w:rPr>
          <w:rFonts w:ascii="Times New Roman" w:hAnsi="Times New Roman"/>
          <w:noProof/>
          <w:color w:val="000000" w:themeColor="text1"/>
          <w:sz w:val="20"/>
          <w:szCs w:val="20"/>
        </w:rPr>
        <w:t>photo stability</w:t>
      </w:r>
      <w:r w:rsidRPr="0012160F">
        <w:rPr>
          <w:rFonts w:ascii="Times New Roman" w:hAnsi="Times New Roman"/>
          <w:color w:val="000000" w:themeColor="text1"/>
          <w:sz w:val="20"/>
          <w:szCs w:val="20"/>
        </w:rPr>
        <w:t xml:space="preserve"> of </w:t>
      </w:r>
      <w:r w:rsidRPr="0012160F">
        <w:rPr>
          <w:rFonts w:ascii="Times New Roman" w:hAnsi="Times New Roman"/>
          <w:noProof/>
          <w:color w:val="000000" w:themeColor="text1"/>
          <w:sz w:val="20"/>
          <w:szCs w:val="20"/>
        </w:rPr>
        <w:t>alkoxycinnamic</w:t>
      </w:r>
      <w:r w:rsidRPr="0012160F">
        <w:rPr>
          <w:rFonts w:ascii="Times New Roman" w:hAnsi="Times New Roman"/>
          <w:color w:val="000000" w:themeColor="text1"/>
          <w:sz w:val="20"/>
          <w:szCs w:val="20"/>
        </w:rPr>
        <w:t xml:space="preserve"> acids: Theoretical models of </w:t>
      </w:r>
      <w:r w:rsidRPr="0012160F">
        <w:rPr>
          <w:rFonts w:ascii="Times New Roman" w:hAnsi="Times New Roman"/>
          <w:noProof/>
          <w:color w:val="000000" w:themeColor="text1"/>
          <w:sz w:val="20"/>
          <w:szCs w:val="20"/>
        </w:rPr>
        <w:t>liquid</w:t>
      </w:r>
      <w:r w:rsidRPr="0012160F">
        <w:rPr>
          <w:rFonts w:ascii="Times New Roman" w:hAnsi="Times New Roman"/>
          <w:color w:val="000000" w:themeColor="text1"/>
          <w:sz w:val="20"/>
          <w:szCs w:val="20"/>
        </w:rPr>
        <w:t xml:space="preserve"> crystal.</w:t>
      </w:r>
      <w:r w:rsidRPr="0012160F">
        <w:rPr>
          <w:rFonts w:ascii="Times New Roman" w:hAnsi="Times New Roman"/>
          <w:sz w:val="20"/>
          <w:szCs w:val="20"/>
        </w:rPr>
        <w:t xml:space="preserve"> </w:t>
      </w:r>
      <w:r w:rsidRPr="0012160F">
        <w:rPr>
          <w:rFonts w:ascii="Times New Roman" w:hAnsi="Times New Roman"/>
          <w:i/>
          <w:color w:val="000000" w:themeColor="text1"/>
          <w:sz w:val="20"/>
          <w:szCs w:val="20"/>
        </w:rPr>
        <w:t>Journal of Molecular Liquids,</w:t>
      </w:r>
      <w:r w:rsidRPr="0012160F">
        <w:rPr>
          <w:rFonts w:ascii="Times New Roman" w:hAnsi="Times New Roman"/>
          <w:color w:val="000000" w:themeColor="text1"/>
          <w:sz w:val="20"/>
          <w:szCs w:val="20"/>
        </w:rPr>
        <w:t xml:space="preserve"> 197: 106 – 113.</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 xml:space="preserve">Fizer, O. I. and Studenyak, Y. I. (2014). The behavior of PVC-modified membrane sensors in surfactants solutions. </w:t>
      </w:r>
      <w:r w:rsidRPr="0012160F">
        <w:rPr>
          <w:rFonts w:ascii="Times New Roman" w:hAnsi="Times New Roman"/>
          <w:i/>
          <w:sz w:val="20"/>
          <w:szCs w:val="20"/>
        </w:rPr>
        <w:t>Scientific Bulletin of the Uzhgorod University. Series Chemistry</w:t>
      </w:r>
      <w:r w:rsidRPr="0012160F">
        <w:rPr>
          <w:rFonts w:ascii="Times New Roman" w:hAnsi="Times New Roman"/>
          <w:sz w:val="20"/>
          <w:szCs w:val="20"/>
        </w:rPr>
        <w:t>, 31(1): 43 – 48.</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Fizer, O. І. and </w:t>
      </w:r>
      <w:r w:rsidRPr="0012160F">
        <w:rPr>
          <w:rFonts w:ascii="Times New Roman" w:hAnsi="Times New Roman"/>
          <w:noProof/>
          <w:color w:val="000000" w:themeColor="text1"/>
          <w:sz w:val="20"/>
          <w:szCs w:val="20"/>
        </w:rPr>
        <w:t>Studenyak,</w:t>
      </w:r>
      <w:r w:rsidRPr="0012160F">
        <w:rPr>
          <w:rFonts w:ascii="Times New Roman" w:hAnsi="Times New Roman"/>
          <w:color w:val="000000" w:themeColor="text1"/>
          <w:sz w:val="20"/>
          <w:szCs w:val="20"/>
        </w:rPr>
        <w:t xml:space="preserve"> Y. I. (2015). Potentiometric titration of anionic surfactants in </w:t>
      </w:r>
      <w:r w:rsidRPr="0012160F">
        <w:rPr>
          <w:rFonts w:ascii="Times New Roman" w:hAnsi="Times New Roman"/>
          <w:noProof/>
          <w:color w:val="000000" w:themeColor="text1"/>
          <w:sz w:val="20"/>
          <w:szCs w:val="20"/>
        </w:rPr>
        <w:t>household</w:t>
      </w:r>
      <w:r w:rsidRPr="0012160F">
        <w:rPr>
          <w:rFonts w:ascii="Times New Roman" w:hAnsi="Times New Roman"/>
          <w:color w:val="000000" w:themeColor="text1"/>
          <w:sz w:val="20"/>
          <w:szCs w:val="20"/>
        </w:rPr>
        <w:t xml:space="preserve"> object. </w:t>
      </w:r>
      <w:r w:rsidRPr="0012160F">
        <w:rPr>
          <w:rFonts w:ascii="Times New Roman" w:hAnsi="Times New Roman"/>
          <w:i/>
          <w:color w:val="000000" w:themeColor="text1"/>
          <w:sz w:val="20"/>
          <w:szCs w:val="20"/>
        </w:rPr>
        <w:t>Naukovij vìsnik Užgorods’</w:t>
      </w:r>
      <w:r w:rsidRPr="0012160F">
        <w:rPr>
          <w:rFonts w:ascii="Times New Roman" w:hAnsi="Times New Roman"/>
          <w:i/>
          <w:noProof/>
          <w:color w:val="000000" w:themeColor="text1"/>
          <w:sz w:val="20"/>
          <w:szCs w:val="20"/>
        </w:rPr>
        <w:t>kogo</w:t>
      </w:r>
      <w:r w:rsidRPr="0012160F">
        <w:rPr>
          <w:rFonts w:ascii="Times New Roman" w:hAnsi="Times New Roman"/>
          <w:i/>
          <w:color w:val="000000" w:themeColor="text1"/>
          <w:sz w:val="20"/>
          <w:szCs w:val="20"/>
        </w:rPr>
        <w:t xml:space="preserve"> unìversitetu. Serìâ Hìmìâ</w:t>
      </w:r>
      <w:r w:rsidRPr="0012160F">
        <w:rPr>
          <w:rFonts w:ascii="Times New Roman" w:hAnsi="Times New Roman"/>
          <w:color w:val="000000" w:themeColor="text1"/>
          <w:sz w:val="20"/>
          <w:szCs w:val="20"/>
        </w:rPr>
        <w:t>, 34(2): 55 – 58.</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Attard, P. (2002). Stochastic molecular dynamics: A combined Monte Carlo and molecular dynamics technique for isothermal simulations. </w:t>
      </w:r>
      <w:r w:rsidRPr="0012160F">
        <w:rPr>
          <w:rFonts w:ascii="Times New Roman" w:hAnsi="Times New Roman"/>
          <w:i/>
          <w:color w:val="000000" w:themeColor="text1"/>
          <w:sz w:val="20"/>
          <w:szCs w:val="20"/>
        </w:rPr>
        <w:t>Journal of Chemical Physics</w:t>
      </w:r>
      <w:r w:rsidRPr="0012160F">
        <w:rPr>
          <w:rFonts w:ascii="Times New Roman" w:hAnsi="Times New Roman"/>
          <w:color w:val="000000" w:themeColor="text1"/>
          <w:sz w:val="20"/>
          <w:szCs w:val="20"/>
        </w:rPr>
        <w:t>, 116(22): 9616 –</w:t>
      </w:r>
      <w:r w:rsidRPr="0012160F">
        <w:rPr>
          <w:rFonts w:ascii="Times New Roman" w:hAnsi="Times New Roman"/>
          <w:sz w:val="20"/>
          <w:szCs w:val="20"/>
        </w:rPr>
        <w:t xml:space="preserve"> </w:t>
      </w:r>
      <w:r w:rsidRPr="0012160F">
        <w:rPr>
          <w:rFonts w:ascii="Times New Roman" w:hAnsi="Times New Roman"/>
          <w:color w:val="000000" w:themeColor="text1"/>
          <w:sz w:val="20"/>
          <w:szCs w:val="20"/>
        </w:rPr>
        <w:t>9619.</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Halgren, T. A. (1996). Merck molecular force field. I. Basis, form, scope, parameterization, and performance of MMFF94. </w:t>
      </w:r>
      <w:r w:rsidRPr="0012160F">
        <w:rPr>
          <w:rFonts w:ascii="Times New Roman" w:hAnsi="Times New Roman"/>
          <w:i/>
          <w:color w:val="000000" w:themeColor="text1"/>
          <w:sz w:val="20"/>
          <w:szCs w:val="20"/>
        </w:rPr>
        <w:t>Journal of Computational Chemistry</w:t>
      </w:r>
      <w:r w:rsidRPr="0012160F">
        <w:rPr>
          <w:rFonts w:ascii="Times New Roman" w:hAnsi="Times New Roman"/>
          <w:color w:val="000000" w:themeColor="text1"/>
          <w:sz w:val="20"/>
          <w:szCs w:val="20"/>
        </w:rPr>
        <w:t>, 17 (5 – 6): 490 – 519.</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Kotzian, M., Rösch, N. and Zerner, M. C. (1992).</w:t>
      </w:r>
      <w:r w:rsidRPr="0012160F">
        <w:rPr>
          <w:rFonts w:ascii="Times New Roman" w:hAnsi="Times New Roman"/>
          <w:sz w:val="20"/>
          <w:szCs w:val="20"/>
        </w:rPr>
        <w:t xml:space="preserve"> </w:t>
      </w:r>
      <w:r w:rsidRPr="0012160F">
        <w:rPr>
          <w:rFonts w:ascii="Times New Roman" w:hAnsi="Times New Roman"/>
          <w:color w:val="000000" w:themeColor="text1"/>
          <w:sz w:val="20"/>
          <w:szCs w:val="20"/>
        </w:rPr>
        <w:t xml:space="preserve">Intermediate neglect of differential overlap spectroscopic studies on lanthanide complexes. </w:t>
      </w:r>
      <w:r w:rsidRPr="0012160F">
        <w:rPr>
          <w:rFonts w:ascii="Times New Roman" w:hAnsi="Times New Roman"/>
          <w:i/>
          <w:color w:val="000000" w:themeColor="text1"/>
          <w:sz w:val="20"/>
          <w:szCs w:val="20"/>
        </w:rPr>
        <w:t>Theoretica Chimica Acta</w:t>
      </w:r>
      <w:r w:rsidRPr="0012160F">
        <w:rPr>
          <w:rFonts w:ascii="Times New Roman" w:hAnsi="Times New Roman"/>
          <w:color w:val="000000" w:themeColor="text1"/>
          <w:sz w:val="20"/>
          <w:szCs w:val="20"/>
        </w:rPr>
        <w:t xml:space="preserve">, 81(4): 201 – 222. </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Ren, P. and Ponder,</w:t>
      </w:r>
      <w:r w:rsidRPr="0012160F">
        <w:rPr>
          <w:rFonts w:ascii="Times New Roman" w:hAnsi="Times New Roman"/>
          <w:sz w:val="20"/>
          <w:szCs w:val="20"/>
        </w:rPr>
        <w:t xml:space="preserve"> </w:t>
      </w:r>
      <w:r w:rsidRPr="0012160F">
        <w:rPr>
          <w:rFonts w:ascii="Times New Roman" w:hAnsi="Times New Roman"/>
          <w:color w:val="000000" w:themeColor="text1"/>
          <w:sz w:val="20"/>
          <w:szCs w:val="20"/>
        </w:rPr>
        <w:t>J. W. (2003). Polarizable atomic multipole water model for molecular mechanics simulation.</w:t>
      </w:r>
      <w:r w:rsidRPr="0012160F">
        <w:rPr>
          <w:rFonts w:ascii="Times New Roman" w:hAnsi="Times New Roman"/>
          <w:sz w:val="20"/>
          <w:szCs w:val="20"/>
        </w:rPr>
        <w:t xml:space="preserve"> </w:t>
      </w:r>
      <w:r w:rsidRPr="0012160F">
        <w:rPr>
          <w:rFonts w:ascii="Times New Roman" w:hAnsi="Times New Roman"/>
          <w:i/>
          <w:color w:val="000000" w:themeColor="text1"/>
          <w:sz w:val="20"/>
          <w:szCs w:val="20"/>
        </w:rPr>
        <w:t>The Journal of Physical Chemistry B</w:t>
      </w:r>
      <w:r w:rsidRPr="0012160F">
        <w:rPr>
          <w:rFonts w:ascii="Times New Roman" w:hAnsi="Times New Roman"/>
          <w:color w:val="000000" w:themeColor="text1"/>
          <w:sz w:val="20"/>
          <w:szCs w:val="20"/>
        </w:rPr>
        <w:t>, 107(24): 5933 – 5947.</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Neese, F. (2012). The ORCA program system. </w:t>
      </w:r>
      <w:r w:rsidRPr="0012160F">
        <w:rPr>
          <w:rFonts w:ascii="Times New Roman" w:hAnsi="Times New Roman"/>
          <w:i/>
          <w:color w:val="000000" w:themeColor="text1"/>
          <w:sz w:val="20"/>
          <w:szCs w:val="20"/>
        </w:rPr>
        <w:t>Wiley Interdisciplinary Reviews: Computational Molecular Science</w:t>
      </w:r>
      <w:r w:rsidRPr="0012160F">
        <w:rPr>
          <w:rFonts w:ascii="Times New Roman" w:hAnsi="Times New Roman"/>
          <w:color w:val="000000" w:themeColor="text1"/>
          <w:sz w:val="20"/>
          <w:szCs w:val="20"/>
        </w:rPr>
        <w:t>, 2(1): 73 – 78.</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Allouche, A. R. (2011). Gabedit – A graphical user </w:t>
      </w:r>
      <w:r w:rsidRPr="0012160F">
        <w:rPr>
          <w:rFonts w:ascii="Times New Roman" w:hAnsi="Times New Roman"/>
          <w:noProof/>
          <w:color w:val="000000" w:themeColor="text1"/>
          <w:sz w:val="20"/>
          <w:szCs w:val="20"/>
        </w:rPr>
        <w:t>interface</w:t>
      </w:r>
      <w:r w:rsidRPr="0012160F">
        <w:rPr>
          <w:rFonts w:ascii="Times New Roman" w:hAnsi="Times New Roman"/>
          <w:color w:val="000000" w:themeColor="text1"/>
          <w:sz w:val="20"/>
          <w:szCs w:val="20"/>
        </w:rPr>
        <w:t xml:space="preserve"> for computational chemistry </w:t>
      </w:r>
      <w:r w:rsidRPr="0012160F">
        <w:rPr>
          <w:rFonts w:ascii="Times New Roman" w:hAnsi="Times New Roman"/>
          <w:noProof/>
          <w:color w:val="000000" w:themeColor="text1"/>
          <w:sz w:val="20"/>
          <w:szCs w:val="20"/>
        </w:rPr>
        <w:t>softwares</w:t>
      </w:r>
      <w:r w:rsidRPr="0012160F">
        <w:rPr>
          <w:rFonts w:ascii="Times New Roman" w:hAnsi="Times New Roman"/>
          <w:color w:val="000000" w:themeColor="text1"/>
          <w:sz w:val="20"/>
          <w:szCs w:val="20"/>
        </w:rPr>
        <w:t xml:space="preserve">. </w:t>
      </w:r>
      <w:r w:rsidRPr="0012160F">
        <w:rPr>
          <w:rFonts w:ascii="Times New Roman" w:hAnsi="Times New Roman"/>
          <w:i/>
          <w:color w:val="000000" w:themeColor="text1"/>
          <w:sz w:val="20"/>
          <w:szCs w:val="20"/>
        </w:rPr>
        <w:t>Journal of Computational Chemistry,</w:t>
      </w:r>
      <w:r w:rsidRPr="0012160F">
        <w:rPr>
          <w:rFonts w:ascii="Times New Roman" w:hAnsi="Times New Roman"/>
          <w:color w:val="000000" w:themeColor="text1"/>
          <w:sz w:val="20"/>
          <w:szCs w:val="20"/>
        </w:rPr>
        <w:t xml:space="preserve"> 32(1): 174 – 182.</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color w:val="000000" w:themeColor="text1"/>
          <w:sz w:val="20"/>
          <w:szCs w:val="20"/>
        </w:rPr>
        <w:t xml:space="preserve">Humphrey, W., Dalke, A. and Schulten, K. (1996). VMD – visual molecular dynamics. </w:t>
      </w:r>
      <w:r w:rsidRPr="0012160F">
        <w:rPr>
          <w:rFonts w:ascii="Times New Roman" w:hAnsi="Times New Roman"/>
          <w:i/>
          <w:color w:val="000000" w:themeColor="text1"/>
          <w:sz w:val="20"/>
          <w:szCs w:val="20"/>
        </w:rPr>
        <w:t>Journal of Molecular Graphics</w:t>
      </w:r>
      <w:r w:rsidRPr="0012160F">
        <w:rPr>
          <w:rFonts w:ascii="Times New Roman" w:hAnsi="Times New Roman"/>
          <w:color w:val="000000" w:themeColor="text1"/>
          <w:sz w:val="20"/>
          <w:szCs w:val="20"/>
        </w:rPr>
        <w:t>, 14(1): 33 – 38.</w:t>
      </w:r>
    </w:p>
    <w:p w:rsidR="0012160F" w:rsidRPr="0012160F" w:rsidRDefault="0012160F" w:rsidP="0012160F">
      <w:pPr>
        <w:pStyle w:val="ListParagraph"/>
        <w:numPr>
          <w:ilvl w:val="0"/>
          <w:numId w:val="3"/>
        </w:numPr>
        <w:spacing w:after="0" w:line="240" w:lineRule="auto"/>
        <w:ind w:left="360"/>
        <w:contextualSpacing w:val="0"/>
        <w:jc w:val="both"/>
        <w:rPr>
          <w:rStyle w:val="Hyperlink"/>
          <w:rFonts w:ascii="Times New Roman" w:hAnsi="Times New Roman"/>
          <w:color w:val="000000" w:themeColor="text1"/>
          <w:sz w:val="20"/>
          <w:szCs w:val="20"/>
        </w:rPr>
      </w:pPr>
      <w:r w:rsidRPr="0012160F">
        <w:rPr>
          <w:rFonts w:ascii="Times New Roman" w:hAnsi="Times New Roman"/>
          <w:sz w:val="20"/>
          <w:szCs w:val="20"/>
        </w:rPr>
        <w:t>Jmol 14.4.3. (2016). Jmol: An open-source Java viewer for chemical structures in 3D. http://www.jmol.org/</w:t>
      </w:r>
      <w:r w:rsidRPr="0012160F">
        <w:rPr>
          <w:rStyle w:val="Hyperlink"/>
          <w:rFonts w:ascii="Times New Roman" w:hAnsi="Times New Roman"/>
          <w:sz w:val="20"/>
          <w:szCs w:val="20"/>
        </w:rPr>
        <w:t>.</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National Institute of Standards and Technology (2017). NIST Chemistry WebBook, SRD 69. http://webbook.nist.gov/cgi/cbook.cgi?ID=C90119&amp;Units=SI&amp;Mask=400#UV-Vis-Spec. [Access online 28 January 2017].</w:t>
      </w:r>
    </w:p>
    <w:p w:rsidR="0012160F" w:rsidRPr="0012160F" w:rsidRDefault="0012160F" w:rsidP="0012160F">
      <w:pPr>
        <w:pStyle w:val="ListParagraph"/>
        <w:numPr>
          <w:ilvl w:val="0"/>
          <w:numId w:val="3"/>
        </w:numPr>
        <w:spacing w:after="0" w:line="240" w:lineRule="auto"/>
        <w:ind w:left="360"/>
        <w:contextualSpacing w:val="0"/>
        <w:jc w:val="both"/>
        <w:rPr>
          <w:rFonts w:ascii="Times New Roman" w:hAnsi="Times New Roman"/>
          <w:color w:val="000000" w:themeColor="text1"/>
          <w:sz w:val="20"/>
          <w:szCs w:val="20"/>
        </w:rPr>
      </w:pPr>
      <w:r w:rsidRPr="0012160F">
        <w:rPr>
          <w:rFonts w:ascii="Times New Roman" w:hAnsi="Times New Roman"/>
          <w:sz w:val="20"/>
          <w:szCs w:val="20"/>
        </w:rPr>
        <w:t>National Institute of Standards and Technology (2017). NIST Chemistry WebBook, SRD 69. http://webbook.nist.gov/cgi/cbook.cgi?ID=C84742&amp;Mask=400#UV-Vis-Spec. [Access online 28 January 2017].</w:t>
      </w:r>
    </w:p>
    <w:p w:rsidR="00AC0033" w:rsidRPr="0012160F" w:rsidRDefault="00AC0033" w:rsidP="0012160F">
      <w:pPr>
        <w:spacing w:after="0" w:line="240" w:lineRule="auto"/>
        <w:ind w:left="360" w:hanging="360"/>
        <w:jc w:val="both"/>
        <w:rPr>
          <w:rFonts w:ascii="Times New Roman" w:hAnsi="Times New Roman"/>
          <w:noProof/>
          <w:sz w:val="20"/>
          <w:szCs w:val="20"/>
          <w:lang w:bidi="ar-SA"/>
        </w:rPr>
      </w:pPr>
    </w:p>
    <w:sectPr w:rsidR="00AC0033" w:rsidRPr="0012160F" w:rsidSect="005355B6">
      <w:headerReference w:type="even" r:id="rId28"/>
      <w:headerReference w:type="default" r:id="rId29"/>
      <w:footerReference w:type="even" r:id="rId30"/>
      <w:footerReference w:type="default" r:id="rId31"/>
      <w:pgSz w:w="12240" w:h="15840" w:code="1"/>
      <w:pgMar w:top="1800" w:right="1469" w:bottom="1699" w:left="1440" w:header="706" w:footer="706" w:gutter="0"/>
      <w:pgNumType w:start="125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70730">
      <w:rPr>
        <w:rFonts w:ascii="Times New Roman" w:hAnsi="Times New Roman"/>
        <w:noProof/>
      </w:rPr>
      <w:t>1264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70730">
      <w:rPr>
        <w:rFonts w:ascii="Times New Roman" w:hAnsi="Times New Roman"/>
        <w:noProof/>
      </w:rPr>
      <w:t>1265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608" w:rsidRPr="00E87608" w:rsidRDefault="00E87608" w:rsidP="00E87608">
    <w:pPr>
      <w:spacing w:after="0" w:line="240" w:lineRule="auto"/>
      <w:ind w:left="990" w:hanging="990"/>
      <w:outlineLvl w:val="0"/>
      <w:rPr>
        <w:rFonts w:ascii="Times New Roman" w:hAnsi="Times New Roman"/>
        <w:sz w:val="20"/>
        <w:szCs w:val="20"/>
        <w:lang w:val="en-GB"/>
      </w:rPr>
    </w:pPr>
    <w:r>
      <w:rPr>
        <w:rFonts w:ascii="Times New Roman" w:hAnsi="Times New Roman"/>
        <w:sz w:val="20"/>
        <w:szCs w:val="20"/>
      </w:rPr>
      <w:t>Fizer et al</w:t>
    </w:r>
    <w:r w:rsidR="006B72B0" w:rsidRPr="00E87608">
      <w:rPr>
        <w:rFonts w:ascii="Times New Roman" w:hAnsi="Times New Roman"/>
        <w:sz w:val="20"/>
        <w:szCs w:val="20"/>
      </w:rPr>
      <w:t xml:space="preserve">: </w:t>
    </w:r>
    <w:r w:rsidR="00070F31" w:rsidRPr="00E87608">
      <w:rPr>
        <w:rFonts w:ascii="Times New Roman" w:hAnsi="Times New Roman"/>
        <w:sz w:val="20"/>
        <w:szCs w:val="20"/>
      </w:rPr>
      <w:t xml:space="preserve"> </w:t>
    </w:r>
    <w:r w:rsidRPr="00E87608">
      <w:rPr>
        <w:rFonts w:ascii="Times New Roman" w:hAnsi="Times New Roman"/>
        <w:sz w:val="20"/>
        <w:szCs w:val="20"/>
      </w:rPr>
      <w:t xml:space="preserve"> PHOTOSTABILITY OF PLASTICIZED POLYVINYL CHLORIDE MEMBRANES: A THEORETICAL STUDY</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69647A">
      <w:rPr>
        <w:rFonts w:ascii="Times New Roman" w:hAnsi="Times New Roman"/>
        <w:i/>
        <w:lang w:val="en-US"/>
      </w:rPr>
      <w:t>No 6</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5355B6">
      <w:rPr>
        <w:rFonts w:ascii="Times New Roman" w:hAnsi="Times New Roman"/>
        <w:i/>
        <w:lang w:val="en-US"/>
      </w:rPr>
      <w:t>1257</w:t>
    </w:r>
    <w:r>
      <w:rPr>
        <w:rFonts w:ascii="Times New Roman" w:hAnsi="Times New Roman"/>
        <w:i/>
        <w:lang w:val="en-US"/>
      </w:rPr>
      <w:t xml:space="preserve"> </w:t>
    </w:r>
    <w:r w:rsidR="007A0583">
      <w:rPr>
        <w:rFonts w:ascii="Times New Roman" w:hAnsi="Times New Roman"/>
        <w:i/>
        <w:lang w:val="en-US"/>
      </w:rPr>
      <w:t>-</w:t>
    </w:r>
    <w:r w:rsidR="000F14D6">
      <w:rPr>
        <w:rFonts w:ascii="Times New Roman" w:hAnsi="Times New Roman"/>
        <w:i/>
        <w:lang w:val="en-US"/>
      </w:rPr>
      <w:t xml:space="preserve"> </w:t>
    </w:r>
    <w:r w:rsidR="005355B6">
      <w:rPr>
        <w:rFonts w:ascii="Times New Roman" w:hAnsi="Times New Roman"/>
        <w:i/>
        <w:lang w:val="en-US"/>
      </w:rPr>
      <w:t>1265</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69647A">
      <w:rPr>
        <w:rFonts w:ascii="Times New Roman" w:hAnsi="Times New Roman"/>
        <w:i/>
        <w:lang w:val="en-US"/>
      </w:rPr>
      <w:t>6</w:t>
    </w:r>
    <w:r w:rsidR="000F14D6">
      <w:rPr>
        <w:rFonts w:ascii="Times New Roman" w:hAnsi="Times New Roman"/>
        <w:i/>
        <w:lang w:val="en-US"/>
      </w:rPr>
      <w:t>-</w:t>
    </w:r>
    <w:r w:rsidR="005355B6">
      <w:rPr>
        <w:rFonts w:ascii="Times New Roman" w:hAnsi="Times New Roman"/>
        <w:i/>
        <w:lang w:val="en-US"/>
      </w:rPr>
      <w:t>07</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B2EA45B2"/>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2156"/>
    <w:rsid w:val="00067E6B"/>
    <w:rsid w:val="00070F31"/>
    <w:rsid w:val="00084936"/>
    <w:rsid w:val="000875CD"/>
    <w:rsid w:val="000C49FF"/>
    <w:rsid w:val="000D16A1"/>
    <w:rsid w:val="000D2B0C"/>
    <w:rsid w:val="000F14D6"/>
    <w:rsid w:val="000F77DA"/>
    <w:rsid w:val="001068E8"/>
    <w:rsid w:val="001106D8"/>
    <w:rsid w:val="00117BCD"/>
    <w:rsid w:val="0012160F"/>
    <w:rsid w:val="0017358B"/>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7426C"/>
    <w:rsid w:val="004760D4"/>
    <w:rsid w:val="00494C46"/>
    <w:rsid w:val="004B43FF"/>
    <w:rsid w:val="004D7E25"/>
    <w:rsid w:val="00502641"/>
    <w:rsid w:val="005355B6"/>
    <w:rsid w:val="005C6768"/>
    <w:rsid w:val="005E4871"/>
    <w:rsid w:val="00601C8A"/>
    <w:rsid w:val="00623CB8"/>
    <w:rsid w:val="00625728"/>
    <w:rsid w:val="006257E5"/>
    <w:rsid w:val="00634C25"/>
    <w:rsid w:val="006416AB"/>
    <w:rsid w:val="0065447F"/>
    <w:rsid w:val="006768E9"/>
    <w:rsid w:val="0068547E"/>
    <w:rsid w:val="00687982"/>
    <w:rsid w:val="0069647A"/>
    <w:rsid w:val="006B3EC8"/>
    <w:rsid w:val="006B72B0"/>
    <w:rsid w:val="006D286E"/>
    <w:rsid w:val="006D695E"/>
    <w:rsid w:val="007022AD"/>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41EA1"/>
    <w:rsid w:val="00B55EC1"/>
    <w:rsid w:val="00B75BF6"/>
    <w:rsid w:val="00B7735A"/>
    <w:rsid w:val="00B91DE7"/>
    <w:rsid w:val="00BA1595"/>
    <w:rsid w:val="00BA1F7B"/>
    <w:rsid w:val="00BB58AF"/>
    <w:rsid w:val="00BE7C30"/>
    <w:rsid w:val="00C055BF"/>
    <w:rsid w:val="00C2226A"/>
    <w:rsid w:val="00C234BA"/>
    <w:rsid w:val="00C70730"/>
    <w:rsid w:val="00C740F4"/>
    <w:rsid w:val="00C94D92"/>
    <w:rsid w:val="00C97340"/>
    <w:rsid w:val="00CA513F"/>
    <w:rsid w:val="00CB3AA6"/>
    <w:rsid w:val="00CC20C2"/>
    <w:rsid w:val="00CF05FF"/>
    <w:rsid w:val="00D340BB"/>
    <w:rsid w:val="00D505D5"/>
    <w:rsid w:val="00D75B35"/>
    <w:rsid w:val="00D76E09"/>
    <w:rsid w:val="00D9736F"/>
    <w:rsid w:val="00D9792A"/>
    <w:rsid w:val="00DD377F"/>
    <w:rsid w:val="00E16130"/>
    <w:rsid w:val="00E25547"/>
    <w:rsid w:val="00E3287E"/>
    <w:rsid w:val="00E54D12"/>
    <w:rsid w:val="00E66197"/>
    <w:rsid w:val="00E87608"/>
    <w:rsid w:val="00F0064A"/>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39"/>
    <w:rsid w:val="00E87608"/>
    <w:rPr>
      <w:rFonts w:asciiTheme="minorHAnsi" w:eastAsia="Batang"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39"/>
    <w:rsid w:val="00E87608"/>
    <w:rPr>
      <w:rFonts w:asciiTheme="minorHAnsi" w:eastAsia="Batang"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image" Target="media/image10.tiff"/><Relationship Id="rId26" Type="http://schemas.openxmlformats.org/officeDocument/2006/relationships/image" Target="media/image18.tiff"/><Relationship Id="rId3" Type="http://schemas.openxmlformats.org/officeDocument/2006/relationships/styles" Target="styles.xml"/><Relationship Id="rId21" Type="http://schemas.openxmlformats.org/officeDocument/2006/relationships/image" Target="media/image13.tiff"/><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7.tif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image" Target="media/image16.tif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tiff"/><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iff"/><Relationship Id="rId22" Type="http://schemas.openxmlformats.org/officeDocument/2006/relationships/image" Target="media/image14.tiff"/><Relationship Id="rId27" Type="http://schemas.openxmlformats.org/officeDocument/2006/relationships/image" Target="media/image19.tiff"/><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458B9-9C35-4135-B789-7395E4B6B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3851</Words>
  <Characters>21628</Characters>
  <Application>Microsoft Office Word</Application>
  <DocSecurity>0</DocSecurity>
  <Lines>391</Lines>
  <Paragraphs>140</Paragraphs>
  <ScaleCrop>false</ScaleCrop>
  <HeadingPairs>
    <vt:vector size="2" baseType="variant">
      <vt:variant>
        <vt:lpstr>Title</vt:lpstr>
      </vt:variant>
      <vt:variant>
        <vt:i4>1</vt:i4>
      </vt:variant>
    </vt:vector>
  </HeadingPairs>
  <TitlesOfParts>
    <vt:vector size="1" baseType="lpstr">
      <vt:lpstr>MJAS Vol 21 No 6 (2017)</vt:lpstr>
    </vt:vector>
  </TitlesOfParts>
  <Company>UKM</Company>
  <LinksUpToDate>false</LinksUpToDate>
  <CharactersWithSpaces>25381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6 (2017)</dc:title>
  <dc:creator>Harun Hj Hamzah</dc:creator>
  <cp:lastModifiedBy>Harun Hamzah</cp:lastModifiedBy>
  <cp:revision>16</cp:revision>
  <cp:lastPrinted>2017-12-18T03:19:00Z</cp:lastPrinted>
  <dcterms:created xsi:type="dcterms:W3CDTF">2017-11-13T12:06:00Z</dcterms:created>
  <dcterms:modified xsi:type="dcterms:W3CDTF">2017-12-18T03:19:00Z</dcterms:modified>
</cp:coreProperties>
</file>