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Malaysian Journal of Analytical Sciences Vol 21 No 6 (2017): 1299 - 1306</w:t>
      </w:r>
    </w:p>
    <w:p w:rsid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rPr>
          <w:rFonts w:ascii="Times New Roman" w:hAnsi="Times New Roman"/>
          <w:bCs/>
          <w:sz w:val="24"/>
          <w:szCs w:val="24"/>
        </w:rPr>
      </w:pPr>
    </w:p>
    <w:p w:rsid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rPr>
          <w:rFonts w:ascii="Times New Roman" w:hAnsi="Times New Roman"/>
          <w:bCs/>
          <w:sz w:val="24"/>
          <w:szCs w:val="24"/>
        </w:rPr>
      </w:pP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rPr>
          <w:rFonts w:ascii="Times New Roman" w:hAnsi="Times New Roman"/>
          <w:bCs/>
          <w:sz w:val="24"/>
          <w:szCs w:val="24"/>
        </w:rPr>
      </w:pPr>
    </w:p>
    <w:p w:rsidR="00D57363" w:rsidRPr="00D624B0"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sz w:val="28"/>
          <w:szCs w:val="28"/>
        </w:rPr>
      </w:pPr>
      <w:r w:rsidRPr="00D624B0">
        <w:rPr>
          <w:rFonts w:ascii="Times New Roman" w:hAnsi="Times New Roman"/>
          <w:bCs/>
          <w:sz w:val="28"/>
          <w:szCs w:val="28"/>
        </w:rPr>
        <w:t>SENSORY EVALUATION AND QUANTITATIVE ANALYSIS OF MINERAL AND HEAVY METAL CONTENT OF PROTEIN SUPPLEMENT INCORPORATED WITH HERBAL EXTRACT</w:t>
      </w:r>
    </w:p>
    <w:p w:rsidR="00D57363" w:rsidRPr="00D624B0"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noProof/>
          <w:sz w:val="24"/>
          <w:szCs w:val="24"/>
          <w:lang w:val="ms-MY"/>
        </w:rPr>
      </w:pPr>
    </w:p>
    <w:p w:rsidR="00D57363" w:rsidRPr="00D624B0"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noProof/>
          <w:sz w:val="24"/>
          <w:szCs w:val="24"/>
          <w:lang w:val="ms-MY"/>
        </w:rPr>
      </w:pPr>
      <w:r w:rsidRPr="00D624B0">
        <w:rPr>
          <w:rFonts w:ascii="Times New Roman" w:hAnsi="Times New Roman"/>
          <w:bCs/>
          <w:noProof/>
          <w:sz w:val="24"/>
          <w:szCs w:val="24"/>
          <w:lang w:val="ms-MY"/>
        </w:rPr>
        <w:t xml:space="preserve">(Penilaian Rasa dan Analisa Kuantitatif Kandungan Mineral dan Logam Berat bagi </w:t>
      </w:r>
    </w:p>
    <w:p w:rsidR="00D57363" w:rsidRPr="00D624B0"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Cs/>
          <w:noProof/>
          <w:sz w:val="24"/>
          <w:szCs w:val="24"/>
          <w:lang w:val="ms-MY"/>
        </w:rPr>
      </w:pPr>
      <w:r w:rsidRPr="00D624B0">
        <w:rPr>
          <w:rFonts w:ascii="Times New Roman" w:hAnsi="Times New Roman"/>
          <w:bCs/>
          <w:noProof/>
          <w:sz w:val="24"/>
          <w:szCs w:val="24"/>
          <w:lang w:val="ms-MY"/>
        </w:rPr>
        <w:t>Makanan Tambahan Protin Digabungkan dengan E</w:t>
      </w:r>
      <w:r w:rsidR="00B528E0">
        <w:rPr>
          <w:rFonts w:ascii="Times New Roman" w:hAnsi="Times New Roman"/>
          <w:bCs/>
          <w:noProof/>
          <w:sz w:val="24"/>
          <w:szCs w:val="24"/>
          <w:lang w:val="ms-MY"/>
        </w:rPr>
        <w:t>k</w:t>
      </w:r>
      <w:bookmarkStart w:id="0" w:name="_GoBack"/>
      <w:bookmarkEnd w:id="0"/>
      <w:r w:rsidRPr="00D624B0">
        <w:rPr>
          <w:rFonts w:ascii="Times New Roman" w:hAnsi="Times New Roman"/>
          <w:bCs/>
          <w:noProof/>
          <w:sz w:val="24"/>
          <w:szCs w:val="24"/>
          <w:lang w:val="ms-MY"/>
        </w:rPr>
        <w:t>strak Herba)</w:t>
      </w:r>
    </w:p>
    <w:p w:rsidR="00D57363" w:rsidRPr="001E053B"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iCs/>
          <w:sz w:val="20"/>
          <w:szCs w:val="20"/>
          <w:lang w:val="es-ES"/>
        </w:rPr>
      </w:pPr>
    </w:p>
    <w:p w:rsidR="007E5773" w:rsidRDefault="00D57363" w:rsidP="007E5773">
      <w:pPr>
        <w:spacing w:after="0" w:line="240" w:lineRule="auto"/>
        <w:jc w:val="center"/>
        <w:rPr>
          <w:rFonts w:ascii="Times New Roman" w:hAnsi="Times New Roman"/>
          <w:bCs/>
          <w:color w:val="000000"/>
          <w:sz w:val="20"/>
          <w:szCs w:val="20"/>
          <w:lang w:eastAsia="en-MY"/>
        </w:rPr>
      </w:pPr>
      <w:r w:rsidRPr="00D624B0">
        <w:rPr>
          <w:rFonts w:ascii="Times New Roman" w:hAnsi="Times New Roman"/>
          <w:bCs/>
          <w:color w:val="000000"/>
          <w:sz w:val="20"/>
          <w:szCs w:val="20"/>
          <w:lang w:eastAsia="en-MY"/>
        </w:rPr>
        <w:t>Noor Azwani Zainol</w:t>
      </w:r>
      <w:r w:rsidRPr="00D624B0">
        <w:rPr>
          <w:rFonts w:ascii="Times New Roman" w:hAnsi="Times New Roman"/>
          <w:bCs/>
          <w:color w:val="000000"/>
          <w:sz w:val="20"/>
          <w:szCs w:val="20"/>
          <w:vertAlign w:val="superscript"/>
          <w:lang w:eastAsia="en-MY"/>
        </w:rPr>
        <w:t>1</w:t>
      </w:r>
      <w:r w:rsidRPr="001E053B">
        <w:rPr>
          <w:rFonts w:ascii="Times New Roman" w:hAnsi="Times New Roman"/>
          <w:bCs/>
          <w:color w:val="000000"/>
          <w:sz w:val="20"/>
          <w:szCs w:val="20"/>
          <w:lang w:eastAsia="en-MY"/>
        </w:rPr>
        <w:t>*</w:t>
      </w:r>
      <w:r w:rsidRPr="00D624B0">
        <w:rPr>
          <w:rFonts w:ascii="Times New Roman" w:hAnsi="Times New Roman"/>
          <w:bCs/>
          <w:color w:val="000000"/>
          <w:sz w:val="20"/>
          <w:szCs w:val="20"/>
          <w:lang w:eastAsia="en-MY"/>
        </w:rPr>
        <w:t>, Nor Farahiyah Aman Nor</w:t>
      </w:r>
      <w:r w:rsidRPr="00D624B0">
        <w:rPr>
          <w:rFonts w:ascii="Times New Roman" w:hAnsi="Times New Roman"/>
          <w:bCs/>
          <w:color w:val="000000"/>
          <w:sz w:val="20"/>
          <w:szCs w:val="20"/>
          <w:vertAlign w:val="superscript"/>
          <w:lang w:eastAsia="en-MY"/>
        </w:rPr>
        <w:t>1</w:t>
      </w:r>
      <w:r w:rsidRPr="00D624B0">
        <w:rPr>
          <w:rFonts w:ascii="Times New Roman" w:hAnsi="Times New Roman"/>
          <w:bCs/>
          <w:color w:val="000000"/>
          <w:sz w:val="20"/>
          <w:szCs w:val="20"/>
          <w:lang w:eastAsia="en-MY"/>
        </w:rPr>
        <w:t>, HarisunYa’akob</w:t>
      </w:r>
      <w:r w:rsidRPr="00D624B0">
        <w:rPr>
          <w:rFonts w:ascii="Times New Roman" w:hAnsi="Times New Roman"/>
          <w:bCs/>
          <w:color w:val="000000"/>
          <w:sz w:val="20"/>
          <w:szCs w:val="20"/>
          <w:vertAlign w:val="superscript"/>
          <w:lang w:eastAsia="en-MY"/>
        </w:rPr>
        <w:t>1,2</w:t>
      </w:r>
      <w:r w:rsidRPr="00D624B0">
        <w:rPr>
          <w:rFonts w:ascii="Times New Roman" w:hAnsi="Times New Roman"/>
          <w:bCs/>
          <w:color w:val="000000"/>
          <w:sz w:val="20"/>
          <w:szCs w:val="20"/>
          <w:lang w:eastAsia="en-MY"/>
        </w:rPr>
        <w:t>, Siti Nor Azlina Abd Rashid</w:t>
      </w:r>
      <w:r w:rsidRPr="00D624B0">
        <w:rPr>
          <w:rFonts w:ascii="Times New Roman" w:hAnsi="Times New Roman"/>
          <w:bCs/>
          <w:color w:val="000000"/>
          <w:sz w:val="20"/>
          <w:szCs w:val="20"/>
          <w:vertAlign w:val="superscript"/>
          <w:lang w:eastAsia="en-MY"/>
        </w:rPr>
        <w:t>1</w:t>
      </w:r>
      <w:r w:rsidRPr="00D624B0">
        <w:rPr>
          <w:rFonts w:ascii="Times New Roman" w:hAnsi="Times New Roman"/>
          <w:bCs/>
          <w:color w:val="000000"/>
          <w:sz w:val="20"/>
          <w:szCs w:val="20"/>
          <w:lang w:eastAsia="en-MY"/>
        </w:rPr>
        <w:t xml:space="preserve">, </w:t>
      </w:r>
    </w:p>
    <w:p w:rsidR="00D57363" w:rsidRPr="00D624B0" w:rsidRDefault="00D57363" w:rsidP="007E5773">
      <w:pPr>
        <w:spacing w:after="0" w:line="240" w:lineRule="auto"/>
        <w:jc w:val="center"/>
        <w:rPr>
          <w:rFonts w:ascii="Times New Roman" w:hAnsi="Times New Roman"/>
          <w:bCs/>
          <w:color w:val="000000"/>
          <w:sz w:val="20"/>
          <w:szCs w:val="20"/>
          <w:lang w:eastAsia="en-MY"/>
        </w:rPr>
      </w:pPr>
      <w:r w:rsidRPr="00D624B0">
        <w:rPr>
          <w:rFonts w:ascii="Times New Roman" w:hAnsi="Times New Roman"/>
          <w:bCs/>
          <w:color w:val="000000"/>
          <w:sz w:val="20"/>
          <w:szCs w:val="20"/>
          <w:lang w:eastAsia="en-MY"/>
        </w:rPr>
        <w:t>Siti Hajar Mat Sarip</w:t>
      </w:r>
      <w:r w:rsidRPr="00D624B0">
        <w:rPr>
          <w:rFonts w:ascii="Times New Roman" w:hAnsi="Times New Roman"/>
          <w:bCs/>
          <w:color w:val="000000"/>
          <w:sz w:val="20"/>
          <w:szCs w:val="20"/>
          <w:vertAlign w:val="superscript"/>
          <w:lang w:eastAsia="en-MY"/>
        </w:rPr>
        <w:t>1</w:t>
      </w:r>
      <w:r w:rsidR="007E5773">
        <w:rPr>
          <w:rFonts w:ascii="Times New Roman" w:hAnsi="Times New Roman"/>
          <w:bCs/>
          <w:color w:val="000000"/>
          <w:sz w:val="20"/>
          <w:szCs w:val="20"/>
          <w:lang w:eastAsia="en-MY"/>
        </w:rPr>
        <w:t xml:space="preserve">, </w:t>
      </w:r>
      <w:r w:rsidRPr="00D624B0">
        <w:rPr>
          <w:rFonts w:ascii="Times New Roman" w:hAnsi="Times New Roman"/>
          <w:bCs/>
          <w:color w:val="000000"/>
          <w:sz w:val="20"/>
          <w:szCs w:val="20"/>
          <w:lang w:eastAsia="en-MY"/>
        </w:rPr>
        <w:t>Ramlan Aziz</w:t>
      </w:r>
      <w:r w:rsidRPr="00D624B0">
        <w:rPr>
          <w:rFonts w:ascii="Times New Roman" w:hAnsi="Times New Roman"/>
          <w:bCs/>
          <w:color w:val="000000"/>
          <w:sz w:val="20"/>
          <w:szCs w:val="20"/>
          <w:vertAlign w:val="superscript"/>
          <w:lang w:eastAsia="en-MY"/>
        </w:rPr>
        <w:t>1,2</w:t>
      </w:r>
    </w:p>
    <w:p w:rsidR="00D57363" w:rsidRPr="00D57363" w:rsidRDefault="00D57363" w:rsidP="00D57363">
      <w:pPr>
        <w:spacing w:after="0" w:line="240" w:lineRule="auto"/>
        <w:jc w:val="center"/>
        <w:rPr>
          <w:rFonts w:ascii="Times New Roman" w:hAnsi="Times New Roman"/>
          <w:noProof/>
          <w:sz w:val="20"/>
          <w:szCs w:val="20"/>
          <w:lang w:bidi="ar-SA"/>
        </w:rPr>
      </w:pPr>
    </w:p>
    <w:p w:rsidR="00D57363" w:rsidRPr="00D57363" w:rsidRDefault="00D57363" w:rsidP="00D57363">
      <w:pPr>
        <w:spacing w:after="0" w:line="240" w:lineRule="auto"/>
        <w:jc w:val="center"/>
        <w:rPr>
          <w:rFonts w:ascii="Times New Roman" w:hAnsi="Times New Roman"/>
          <w:i/>
          <w:color w:val="000000"/>
          <w:sz w:val="20"/>
          <w:szCs w:val="20"/>
          <w:lang w:eastAsia="en-MY"/>
        </w:rPr>
      </w:pPr>
      <w:r w:rsidRPr="00D57363">
        <w:rPr>
          <w:rFonts w:ascii="Times New Roman" w:hAnsi="Times New Roman"/>
          <w:i/>
          <w:color w:val="000000"/>
          <w:sz w:val="20"/>
          <w:szCs w:val="20"/>
          <w:vertAlign w:val="superscript"/>
          <w:lang w:eastAsia="en-MY"/>
        </w:rPr>
        <w:t>1</w:t>
      </w:r>
      <w:r w:rsidRPr="00D57363">
        <w:rPr>
          <w:rFonts w:ascii="Times New Roman" w:hAnsi="Times New Roman"/>
          <w:i/>
          <w:color w:val="000000"/>
          <w:sz w:val="20"/>
          <w:szCs w:val="20"/>
          <w:lang w:eastAsia="en-MY"/>
        </w:rPr>
        <w:t xml:space="preserve">Institute of Bioproduct Development </w:t>
      </w:r>
    </w:p>
    <w:p w:rsidR="00D57363" w:rsidRPr="00D57363" w:rsidRDefault="00D57363" w:rsidP="00D57363">
      <w:pPr>
        <w:spacing w:after="0" w:line="240" w:lineRule="auto"/>
        <w:jc w:val="center"/>
        <w:rPr>
          <w:rFonts w:ascii="Times New Roman" w:hAnsi="Times New Roman"/>
          <w:i/>
          <w:sz w:val="20"/>
          <w:szCs w:val="20"/>
        </w:rPr>
      </w:pPr>
      <w:r w:rsidRPr="00D57363">
        <w:rPr>
          <w:rFonts w:ascii="Times New Roman" w:hAnsi="Times New Roman"/>
          <w:i/>
          <w:sz w:val="20"/>
          <w:szCs w:val="20"/>
          <w:vertAlign w:val="superscript"/>
        </w:rPr>
        <w:t>2</w:t>
      </w:r>
      <w:r w:rsidRPr="00D57363">
        <w:rPr>
          <w:rFonts w:ascii="Times New Roman" w:hAnsi="Times New Roman"/>
          <w:i/>
          <w:sz w:val="20"/>
          <w:szCs w:val="20"/>
        </w:rPr>
        <w:t>Faculty of Chemical Engineering</w:t>
      </w:r>
    </w:p>
    <w:p w:rsidR="00D57363" w:rsidRPr="00D57363" w:rsidRDefault="00D57363" w:rsidP="00D57363">
      <w:pPr>
        <w:spacing w:after="0" w:line="240" w:lineRule="auto"/>
        <w:jc w:val="center"/>
        <w:rPr>
          <w:rFonts w:ascii="Times New Roman" w:hAnsi="Times New Roman"/>
          <w:i/>
          <w:sz w:val="20"/>
          <w:szCs w:val="20"/>
        </w:rPr>
      </w:pPr>
      <w:r w:rsidRPr="00D57363">
        <w:rPr>
          <w:rFonts w:ascii="Times New Roman" w:hAnsi="Times New Roman"/>
          <w:i/>
          <w:sz w:val="20"/>
          <w:szCs w:val="20"/>
        </w:rPr>
        <w:t>Universiti Teknologi Malaysia 81310 UTM Johor Bahru, Johor, Malaysia</w:t>
      </w:r>
    </w:p>
    <w:p w:rsidR="00D57363" w:rsidRPr="00D57363" w:rsidRDefault="00D57363" w:rsidP="00D57363">
      <w:pPr>
        <w:spacing w:after="0" w:line="240" w:lineRule="auto"/>
        <w:jc w:val="center"/>
        <w:rPr>
          <w:rFonts w:ascii="Times New Roman" w:hAnsi="Times New Roman"/>
          <w:noProof/>
          <w:sz w:val="20"/>
          <w:szCs w:val="20"/>
          <w:lang w:bidi="ar-SA"/>
        </w:rPr>
      </w:pPr>
    </w:p>
    <w:p w:rsidR="00D57363" w:rsidRPr="00D57363" w:rsidRDefault="00D57363" w:rsidP="00D57363">
      <w:pPr>
        <w:spacing w:after="0" w:line="240" w:lineRule="auto"/>
        <w:jc w:val="center"/>
        <w:rPr>
          <w:rFonts w:ascii="Times New Roman" w:hAnsi="Times New Roman"/>
          <w:i/>
          <w:noProof/>
          <w:sz w:val="20"/>
          <w:szCs w:val="20"/>
          <w:lang w:bidi="ar-SA"/>
        </w:rPr>
      </w:pPr>
      <w:r w:rsidRPr="00D57363">
        <w:rPr>
          <w:rFonts w:ascii="Times New Roman" w:hAnsi="Times New Roman"/>
          <w:i/>
          <w:noProof/>
          <w:sz w:val="20"/>
          <w:szCs w:val="20"/>
          <w:lang w:bidi="ar-SA"/>
        </w:rPr>
        <w:t xml:space="preserve">*Corresponding author:  </w:t>
      </w:r>
      <w:r w:rsidRPr="00D57363">
        <w:rPr>
          <w:rFonts w:ascii="Times New Roman" w:hAnsi="Times New Roman"/>
          <w:i/>
          <w:sz w:val="20"/>
          <w:szCs w:val="20"/>
        </w:rPr>
        <w:t>azwani@ibd.utm.my</w:t>
      </w:r>
    </w:p>
    <w:p w:rsidR="00D57363" w:rsidRPr="00D57363" w:rsidRDefault="00D57363" w:rsidP="00D57363">
      <w:pPr>
        <w:spacing w:after="0" w:line="240" w:lineRule="auto"/>
        <w:jc w:val="center"/>
        <w:rPr>
          <w:rFonts w:ascii="Times New Roman" w:hAnsi="Times New Roman"/>
          <w:noProof/>
          <w:sz w:val="20"/>
          <w:szCs w:val="20"/>
          <w:lang w:bidi="ar-SA"/>
        </w:rPr>
      </w:pPr>
    </w:p>
    <w:p w:rsidR="00D57363" w:rsidRPr="00D57363" w:rsidRDefault="00D57363" w:rsidP="00D57363">
      <w:pPr>
        <w:spacing w:after="0" w:line="240" w:lineRule="auto"/>
        <w:jc w:val="center"/>
        <w:rPr>
          <w:rFonts w:ascii="Times New Roman" w:hAnsi="Times New Roman"/>
          <w:noProof/>
          <w:sz w:val="20"/>
          <w:szCs w:val="20"/>
          <w:lang w:bidi="ar-SA"/>
        </w:rPr>
      </w:pPr>
    </w:p>
    <w:p w:rsidR="00D57363" w:rsidRPr="00D57363" w:rsidRDefault="00D57363" w:rsidP="00D57363">
      <w:pPr>
        <w:spacing w:after="0" w:line="240" w:lineRule="auto"/>
        <w:jc w:val="center"/>
        <w:rPr>
          <w:rFonts w:ascii="Times New Roman" w:hAnsi="Times New Roman"/>
          <w:noProof/>
          <w:sz w:val="20"/>
          <w:szCs w:val="20"/>
          <w:lang w:bidi="ar-SA"/>
        </w:rPr>
      </w:pPr>
      <w:r w:rsidRPr="00D57363">
        <w:rPr>
          <w:rFonts w:ascii="Times New Roman" w:hAnsi="Times New Roman"/>
          <w:noProof/>
          <w:sz w:val="20"/>
          <w:szCs w:val="20"/>
          <w:lang w:bidi="ar-SA"/>
        </w:rPr>
        <w:t>Received: 7 November 2016; Accepted: 18 September 2017</w:t>
      </w:r>
    </w:p>
    <w:p w:rsidR="00D57363" w:rsidRPr="00D57363" w:rsidRDefault="00D57363" w:rsidP="00D57363">
      <w:pPr>
        <w:spacing w:after="0" w:line="240" w:lineRule="auto"/>
        <w:jc w:val="center"/>
        <w:rPr>
          <w:rFonts w:ascii="Times New Roman" w:hAnsi="Times New Roman"/>
          <w:noProof/>
          <w:sz w:val="20"/>
          <w:szCs w:val="20"/>
          <w:lang w:bidi="ar-SA"/>
        </w:rPr>
      </w:pPr>
    </w:p>
    <w:p w:rsidR="00D57363" w:rsidRPr="00D57363" w:rsidRDefault="00D57363" w:rsidP="00D57363">
      <w:pPr>
        <w:spacing w:after="0" w:line="240" w:lineRule="auto"/>
        <w:jc w:val="center"/>
        <w:rPr>
          <w:rFonts w:ascii="Times New Roman" w:hAnsi="Times New Roman"/>
          <w:noProof/>
          <w:sz w:val="20"/>
          <w:szCs w:val="20"/>
          <w:lang w:bidi="ar-SA"/>
        </w:rPr>
      </w:pPr>
    </w:p>
    <w:p w:rsidR="00D57363" w:rsidRPr="00D57363" w:rsidRDefault="00D57363" w:rsidP="00D57363">
      <w:pPr>
        <w:spacing w:after="0" w:line="240" w:lineRule="auto"/>
        <w:jc w:val="center"/>
        <w:rPr>
          <w:rFonts w:ascii="Times New Roman" w:hAnsi="Times New Roman"/>
          <w:b/>
          <w:noProof/>
          <w:sz w:val="20"/>
          <w:szCs w:val="20"/>
          <w:lang w:bidi="ar-SA"/>
        </w:rPr>
      </w:pPr>
      <w:r w:rsidRPr="00D57363">
        <w:rPr>
          <w:rFonts w:ascii="Times New Roman" w:hAnsi="Times New Roman"/>
          <w:b/>
          <w:noProof/>
          <w:sz w:val="20"/>
          <w:szCs w:val="20"/>
          <w:lang w:bidi="ar-SA"/>
        </w:rPr>
        <w:t>Abstract</w:t>
      </w: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sz w:val="20"/>
          <w:szCs w:val="20"/>
        </w:rPr>
      </w:pPr>
      <w:r w:rsidRPr="00D57363">
        <w:rPr>
          <w:rFonts w:ascii="Times New Roman" w:hAnsi="Times New Roman"/>
          <w:sz w:val="20"/>
          <w:szCs w:val="20"/>
        </w:rPr>
        <w:t xml:space="preserve">Calories-dense products promote weight gain through its healthy ingredients. The incorporation of herbs increased the product’s benefit with antioxidant, </w:t>
      </w:r>
      <w:r w:rsidRPr="00D57363">
        <w:rPr>
          <w:rFonts w:ascii="Times New Roman" w:hAnsi="Times New Roman"/>
          <w:noProof/>
          <w:sz w:val="20"/>
          <w:szCs w:val="20"/>
        </w:rPr>
        <w:t>anti-cancer</w:t>
      </w:r>
      <w:r w:rsidRPr="00D57363">
        <w:rPr>
          <w:rFonts w:ascii="Times New Roman" w:hAnsi="Times New Roman"/>
          <w:sz w:val="20"/>
          <w:szCs w:val="20"/>
        </w:rPr>
        <w:t xml:space="preserve"> and anti-aging properties. In this study, the comparison between herbal and non-herbal (commercial products) protein supplements were determined. The sensory evaluation of the protein supplements </w:t>
      </w:r>
      <w:r w:rsidRPr="00D57363">
        <w:rPr>
          <w:rFonts w:ascii="Times New Roman" w:hAnsi="Times New Roman"/>
          <w:noProof/>
          <w:sz w:val="20"/>
          <w:szCs w:val="20"/>
        </w:rPr>
        <w:t>were</w:t>
      </w:r>
      <w:r w:rsidRPr="00D57363">
        <w:rPr>
          <w:rFonts w:ascii="Times New Roman" w:hAnsi="Times New Roman"/>
          <w:sz w:val="20"/>
          <w:szCs w:val="20"/>
        </w:rPr>
        <w:t xml:space="preserve"> done via 9-point hedonic scale. The mineral contents and </w:t>
      </w:r>
      <w:r w:rsidRPr="00D57363">
        <w:rPr>
          <w:rFonts w:ascii="Times New Roman" w:hAnsi="Times New Roman"/>
          <w:color w:val="000000"/>
          <w:sz w:val="20"/>
          <w:szCs w:val="20"/>
        </w:rPr>
        <w:t xml:space="preserve">undesirable toxic metals in the </w:t>
      </w:r>
      <w:r w:rsidRPr="00D57363">
        <w:rPr>
          <w:rFonts w:ascii="Times New Roman" w:hAnsi="Times New Roman"/>
          <w:noProof/>
          <w:color w:val="000000"/>
          <w:sz w:val="20"/>
          <w:szCs w:val="20"/>
        </w:rPr>
        <w:t>the product</w:t>
      </w:r>
      <w:r w:rsidRPr="00D57363">
        <w:rPr>
          <w:rFonts w:ascii="Times New Roman" w:hAnsi="Times New Roman"/>
          <w:color w:val="000000"/>
          <w:sz w:val="20"/>
          <w:szCs w:val="20"/>
        </w:rPr>
        <w:t xml:space="preserve"> were also </w:t>
      </w:r>
      <w:r w:rsidRPr="00D57363">
        <w:rPr>
          <w:rFonts w:ascii="Times New Roman" w:hAnsi="Times New Roman"/>
          <w:noProof/>
          <w:color w:val="000000"/>
          <w:sz w:val="20"/>
          <w:szCs w:val="20"/>
        </w:rPr>
        <w:t>analysed</w:t>
      </w:r>
      <w:r w:rsidRPr="00D57363">
        <w:rPr>
          <w:rFonts w:ascii="Times New Roman" w:hAnsi="Times New Roman"/>
          <w:color w:val="000000"/>
          <w:sz w:val="20"/>
          <w:szCs w:val="20"/>
        </w:rPr>
        <w:t xml:space="preserve"> using Inductively Coupled Plasma-Mass Spectrometry (ICP-MS).</w:t>
      </w:r>
      <w:r w:rsidRPr="00D57363">
        <w:rPr>
          <w:rFonts w:ascii="Times New Roman" w:hAnsi="Times New Roman"/>
          <w:sz w:val="20"/>
          <w:szCs w:val="20"/>
        </w:rPr>
        <w:t xml:space="preserve"> The score of hedonic scale indicated that the sweetness and bitterness of the herbal protein supplement were significantly different compared to the commercial products. All samples showed differences in the mineral contents </w:t>
      </w:r>
      <w:r w:rsidRPr="00D57363">
        <w:rPr>
          <w:rFonts w:ascii="Times New Roman" w:hAnsi="Times New Roman"/>
          <w:noProof/>
          <w:sz w:val="20"/>
          <w:szCs w:val="20"/>
        </w:rPr>
        <w:t xml:space="preserve">where </w:t>
      </w:r>
      <w:r w:rsidRPr="00D57363">
        <w:rPr>
          <w:rFonts w:ascii="Times New Roman" w:hAnsi="Times New Roman"/>
          <w:sz w:val="20"/>
          <w:szCs w:val="20"/>
        </w:rPr>
        <w:t xml:space="preserve">the herbal protein supplement contributed the highest content of magnesium (Mg) 3643.7 µg/kg, sodium (Na) 8192.3µg/kg and </w:t>
      </w:r>
      <w:r w:rsidRPr="00D57363">
        <w:rPr>
          <w:rFonts w:ascii="Times New Roman" w:hAnsi="Times New Roman"/>
          <w:noProof/>
          <w:sz w:val="20"/>
          <w:szCs w:val="20"/>
        </w:rPr>
        <w:t>ferum</w:t>
      </w:r>
      <w:r w:rsidRPr="00D57363">
        <w:rPr>
          <w:rFonts w:ascii="Times New Roman" w:hAnsi="Times New Roman"/>
          <w:sz w:val="20"/>
          <w:szCs w:val="20"/>
        </w:rPr>
        <w:t xml:space="preserve"> (Fe) 180.7 µg/kg. </w:t>
      </w:r>
      <w:r w:rsidRPr="00D57363">
        <w:rPr>
          <w:rFonts w:ascii="Times New Roman" w:hAnsi="Times New Roman"/>
          <w:color w:val="000000"/>
          <w:sz w:val="20"/>
          <w:szCs w:val="20"/>
        </w:rPr>
        <w:t xml:space="preserve">The ICP-MS analysis result </w:t>
      </w:r>
      <w:r w:rsidRPr="00D57363">
        <w:rPr>
          <w:rFonts w:ascii="Times New Roman" w:hAnsi="Times New Roman"/>
          <w:noProof/>
          <w:color w:val="000000"/>
          <w:sz w:val="20"/>
          <w:szCs w:val="20"/>
        </w:rPr>
        <w:t>showed traces of</w:t>
      </w:r>
      <w:r w:rsidRPr="00D57363">
        <w:rPr>
          <w:rFonts w:ascii="Times New Roman" w:hAnsi="Times New Roman"/>
          <w:color w:val="000000"/>
          <w:sz w:val="20"/>
          <w:szCs w:val="20"/>
        </w:rPr>
        <w:t xml:space="preserve"> heavy metals (cadmium, arsenic, </w:t>
      </w:r>
      <w:r w:rsidRPr="00D57363">
        <w:rPr>
          <w:rFonts w:ascii="Times New Roman" w:hAnsi="Times New Roman"/>
          <w:noProof/>
          <w:color w:val="000000"/>
          <w:sz w:val="20"/>
          <w:szCs w:val="20"/>
        </w:rPr>
        <w:t>plumbum</w:t>
      </w:r>
      <w:r w:rsidRPr="00D57363">
        <w:rPr>
          <w:rFonts w:ascii="Times New Roman" w:hAnsi="Times New Roman"/>
          <w:color w:val="000000"/>
          <w:sz w:val="20"/>
          <w:szCs w:val="20"/>
        </w:rPr>
        <w:t>, mercury) were 1.10</w:t>
      </w:r>
      <w:r w:rsidRPr="00D57363">
        <w:rPr>
          <w:rFonts w:ascii="Times New Roman" w:hAnsi="Times New Roman"/>
          <w:sz w:val="20"/>
          <w:szCs w:val="20"/>
        </w:rPr>
        <w:t xml:space="preserve"> µ</w:t>
      </w:r>
      <w:r w:rsidRPr="00D57363">
        <w:rPr>
          <w:rFonts w:ascii="Times New Roman" w:hAnsi="Times New Roman"/>
          <w:color w:val="000000"/>
          <w:sz w:val="20"/>
          <w:szCs w:val="20"/>
        </w:rPr>
        <w:t xml:space="preserve">g/kg, 0.03 µg/kg, 3.00 µg/kg and 5.07 µg/kg, respectively. These results confirmed that the concentrations of heavy metals in the product </w:t>
      </w:r>
      <w:r w:rsidRPr="00D57363">
        <w:rPr>
          <w:rFonts w:ascii="Times New Roman" w:hAnsi="Times New Roman"/>
          <w:noProof/>
          <w:color w:val="000000"/>
          <w:sz w:val="20"/>
          <w:szCs w:val="20"/>
        </w:rPr>
        <w:t>has</w:t>
      </w:r>
      <w:r w:rsidRPr="00D57363">
        <w:rPr>
          <w:rFonts w:ascii="Times New Roman" w:hAnsi="Times New Roman"/>
          <w:color w:val="000000"/>
          <w:sz w:val="20"/>
          <w:szCs w:val="20"/>
        </w:rPr>
        <w:t xml:space="preserve"> not exceeded the maximum standard limit of regulation in Malaysia for Cd (0.3 mg/kg), As (5 mg/kg), Pb (10 mg/kg), and Hg (0.5 mg/kg). </w:t>
      </w:r>
      <w:r w:rsidRPr="00D57363">
        <w:rPr>
          <w:rFonts w:ascii="Times New Roman" w:hAnsi="Times New Roman"/>
          <w:sz w:val="20"/>
          <w:szCs w:val="20"/>
        </w:rPr>
        <w:t xml:space="preserve"> Hence, the results might be useful to define the new formulations of </w:t>
      </w:r>
      <w:r w:rsidRPr="00D57363">
        <w:rPr>
          <w:rFonts w:ascii="Times New Roman" w:hAnsi="Times New Roman"/>
          <w:noProof/>
          <w:sz w:val="20"/>
          <w:szCs w:val="20"/>
        </w:rPr>
        <w:t>these highly consumed protein supplement</w:t>
      </w:r>
      <w:r w:rsidRPr="00D57363">
        <w:rPr>
          <w:rFonts w:ascii="Times New Roman" w:hAnsi="Times New Roman"/>
          <w:sz w:val="20"/>
          <w:szCs w:val="20"/>
        </w:rPr>
        <w:t xml:space="preserve"> with health benefits for </w:t>
      </w:r>
      <w:r w:rsidRPr="00D57363">
        <w:rPr>
          <w:rFonts w:ascii="Times New Roman" w:hAnsi="Times New Roman"/>
          <w:noProof/>
          <w:sz w:val="20"/>
          <w:szCs w:val="20"/>
        </w:rPr>
        <w:t>atheletes</w:t>
      </w:r>
      <w:r w:rsidRPr="00D57363">
        <w:rPr>
          <w:rFonts w:ascii="Times New Roman" w:hAnsi="Times New Roman"/>
          <w:sz w:val="20"/>
          <w:szCs w:val="20"/>
        </w:rPr>
        <w:t>.</w:t>
      </w: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b/>
          <w:sz w:val="20"/>
          <w:szCs w:val="20"/>
        </w:rPr>
      </w:pP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sz w:val="20"/>
          <w:szCs w:val="20"/>
        </w:rPr>
      </w:pPr>
      <w:r w:rsidRPr="00D57363">
        <w:rPr>
          <w:rFonts w:ascii="Times New Roman" w:hAnsi="Times New Roman"/>
          <w:b/>
          <w:sz w:val="20"/>
          <w:szCs w:val="20"/>
        </w:rPr>
        <w:t>Keywords</w:t>
      </w:r>
      <w:r w:rsidRPr="00D57363">
        <w:rPr>
          <w:rFonts w:ascii="Times New Roman" w:hAnsi="Times New Roman"/>
          <w:bCs/>
          <w:sz w:val="20"/>
          <w:szCs w:val="20"/>
        </w:rPr>
        <w:t xml:space="preserve">:  </w:t>
      </w:r>
      <w:r w:rsidRPr="00D57363">
        <w:rPr>
          <w:rFonts w:ascii="Times New Roman" w:hAnsi="Times New Roman"/>
          <w:sz w:val="20"/>
          <w:szCs w:val="20"/>
        </w:rPr>
        <w:t>protein supplement, mineral content, heavy metal content, hedonic scale</w:t>
      </w: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
          <w:bCs/>
          <w:sz w:val="20"/>
          <w:szCs w:val="20"/>
        </w:rPr>
      </w:pP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center"/>
        <w:rPr>
          <w:rFonts w:ascii="Times New Roman" w:hAnsi="Times New Roman"/>
          <w:b/>
          <w:noProof/>
          <w:sz w:val="20"/>
          <w:szCs w:val="20"/>
          <w:lang w:val="ms-MY"/>
        </w:rPr>
      </w:pPr>
      <w:r w:rsidRPr="00D57363">
        <w:rPr>
          <w:rFonts w:ascii="Times New Roman" w:hAnsi="Times New Roman"/>
          <w:b/>
          <w:noProof/>
          <w:sz w:val="20"/>
          <w:szCs w:val="20"/>
          <w:lang w:val="ms-MY"/>
        </w:rPr>
        <w:t>Abstrak</w:t>
      </w: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color w:val="000000"/>
          <w:sz w:val="20"/>
          <w:szCs w:val="20"/>
          <w:lang w:val="ms-MY"/>
        </w:rPr>
      </w:pPr>
      <w:r w:rsidRPr="00D57363">
        <w:rPr>
          <w:rFonts w:ascii="Times New Roman" w:hAnsi="Times New Roman"/>
          <w:bCs/>
          <w:noProof/>
          <w:sz w:val="20"/>
          <w:szCs w:val="20"/>
          <w:lang w:val="ms-MY"/>
        </w:rPr>
        <w:t xml:space="preserve">Produk-produk padat kalori menggalakkan penambahan berat melalui ramuan-ramuan sihatnya. Penambahan herba  meningkatkan kebaikan produk seperti ciri-ciri antioksida,  anti-kanser dan anti-penuaan. </w:t>
      </w:r>
      <w:r w:rsidRPr="00D57363">
        <w:rPr>
          <w:rFonts w:ascii="Times New Roman" w:hAnsi="Times New Roman"/>
          <w:noProof/>
          <w:sz w:val="20"/>
          <w:szCs w:val="20"/>
          <w:lang w:val="ms-MY"/>
        </w:rPr>
        <w:t xml:space="preserve">Di dalam kajian ini, perbandingan di antara makanan tambahan protein berherba dan tidak berherba (produk komersil) telah diperolehi. Ujian rasa terhadap makan tambahan protin ini telah dilakukan melalui 9-titik skala hedonik. Kandungan mineral dan logam toksik yang tidak dikehendaki di dalam produk turut dianalisa menggunakan Spektrometri Jisim-Plasma Ganding Secara Aruhan (ICP-MS). Skor skala hedonik menujukkan kemanisan dan kepahitan makanan tambahan berprotin berbeza secara ketara berbanding produk-produk komersil. Semua sampel menunjukkan perbezaan di dalam kandungan mineral, di mana makanan tambahan protin berherba menyumbang kandungan tertinggi untuk </w:t>
      </w:r>
      <w:r w:rsidRPr="00D57363">
        <w:rPr>
          <w:rFonts w:ascii="Times New Roman" w:hAnsi="Times New Roman"/>
          <w:noProof/>
          <w:sz w:val="20"/>
          <w:szCs w:val="20"/>
          <w:lang w:val="ms-MY"/>
        </w:rPr>
        <w:lastRenderedPageBreak/>
        <w:t xml:space="preserve">magnesium (Mg) 3643.7 µg/kg, sodium (Na) 8192.3 µg/kg dan ferum (Fe) 180.7 µg/kg. Analisa keputusan ICP-MS menunjukkan kandungan logam berat </w:t>
      </w:r>
      <w:r w:rsidRPr="00D57363">
        <w:rPr>
          <w:rFonts w:ascii="Times New Roman" w:hAnsi="Times New Roman"/>
          <w:noProof/>
          <w:color w:val="000000"/>
          <w:sz w:val="20"/>
          <w:szCs w:val="20"/>
          <w:lang w:val="ms-MY"/>
        </w:rPr>
        <w:t>(kadmium,  arsenik, plumbum, merkuri) adalah</w:t>
      </w:r>
      <w:r w:rsidRPr="00D57363">
        <w:rPr>
          <w:rFonts w:ascii="Times New Roman" w:hAnsi="Times New Roman"/>
          <w:noProof/>
          <w:sz w:val="20"/>
          <w:szCs w:val="20"/>
          <w:lang w:val="ms-MY"/>
        </w:rPr>
        <w:t xml:space="preserve"> </w:t>
      </w:r>
      <w:r w:rsidRPr="00D57363">
        <w:rPr>
          <w:rFonts w:ascii="Times New Roman" w:hAnsi="Times New Roman"/>
          <w:noProof/>
          <w:color w:val="000000"/>
          <w:sz w:val="20"/>
          <w:szCs w:val="20"/>
          <w:lang w:val="ms-MY"/>
        </w:rPr>
        <w:t>1.10</w:t>
      </w:r>
      <w:r w:rsidRPr="00D57363">
        <w:rPr>
          <w:rFonts w:ascii="Times New Roman" w:hAnsi="Times New Roman"/>
          <w:noProof/>
          <w:sz w:val="20"/>
          <w:szCs w:val="20"/>
          <w:lang w:val="ms-MY"/>
        </w:rPr>
        <w:t xml:space="preserve"> µ</w:t>
      </w:r>
      <w:r w:rsidRPr="00D57363">
        <w:rPr>
          <w:rFonts w:ascii="Times New Roman" w:hAnsi="Times New Roman"/>
          <w:noProof/>
          <w:color w:val="000000"/>
          <w:sz w:val="20"/>
          <w:szCs w:val="20"/>
          <w:lang w:val="ms-MY"/>
        </w:rPr>
        <w:t>g/kg, 0.03 µg/kg, 3.00 µg/kg dan 5.07 µg/kg setiap satunya. Hasil ini mengesahkan kepekatan logam berat tidak melebihi</w:t>
      </w:r>
      <w:r w:rsidRPr="00D57363">
        <w:rPr>
          <w:rFonts w:ascii="Times New Roman" w:hAnsi="Times New Roman"/>
          <w:noProof/>
          <w:sz w:val="20"/>
          <w:szCs w:val="20"/>
          <w:lang w:val="ms-MY"/>
        </w:rPr>
        <w:t xml:space="preserve"> </w:t>
      </w:r>
      <w:r w:rsidRPr="00D57363">
        <w:rPr>
          <w:rFonts w:ascii="Times New Roman" w:hAnsi="Times New Roman"/>
          <w:noProof/>
          <w:color w:val="000000"/>
          <w:sz w:val="20"/>
          <w:szCs w:val="20"/>
          <w:lang w:val="ms-MY"/>
        </w:rPr>
        <w:t>piawaian kadar maksimum peraturan Malaysia untuk Cd(0.3 mg/kg), As (5 mg/kg), Pb(10 mg/kg), and Hg (0.5 mg/kg). Oleh itu, keputusan yang diperolehi mungkin berguna untuk menterjemah formulasi-formulasi baru yang banyak digunakan bagi makanan tambahan protin yang bermanfaat kepada kesihatan untuk atlet</w:t>
      </w:r>
      <w:r w:rsidRPr="00D57363">
        <w:rPr>
          <w:rFonts w:ascii="Times New Roman" w:hAnsi="Times New Roman"/>
          <w:color w:val="000000"/>
          <w:sz w:val="20"/>
          <w:szCs w:val="20"/>
          <w:lang w:val="ms-MY"/>
        </w:rPr>
        <w:t>.</w:t>
      </w: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color w:val="000000"/>
          <w:sz w:val="20"/>
          <w:szCs w:val="20"/>
          <w:lang w:val="ms-MY"/>
        </w:rPr>
      </w:pPr>
    </w:p>
    <w:p w:rsidR="00B971A5"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noProof/>
          <w:color w:val="000000"/>
          <w:sz w:val="20"/>
          <w:szCs w:val="20"/>
          <w:lang w:val="ms-MY"/>
        </w:rPr>
      </w:pPr>
      <w:r w:rsidRPr="00D57363">
        <w:rPr>
          <w:rFonts w:ascii="Times New Roman" w:hAnsi="Times New Roman"/>
          <w:b/>
          <w:noProof/>
          <w:color w:val="000000"/>
          <w:sz w:val="20"/>
          <w:szCs w:val="20"/>
          <w:lang w:val="ms-MY"/>
        </w:rPr>
        <w:t xml:space="preserve">Kata kunci:  </w:t>
      </w:r>
      <w:r w:rsidRPr="00D57363">
        <w:rPr>
          <w:rFonts w:ascii="Times New Roman" w:hAnsi="Times New Roman"/>
          <w:noProof/>
          <w:color w:val="000000"/>
          <w:sz w:val="20"/>
          <w:szCs w:val="20"/>
          <w:lang w:val="ms-MY"/>
        </w:rPr>
        <w:t>makanan tambahan protin, kandungan mineral, kandungan logam berat, skala hedonik</w:t>
      </w:r>
    </w:p>
    <w:p w:rsid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noProof/>
          <w:color w:val="000000"/>
          <w:sz w:val="20"/>
          <w:szCs w:val="20"/>
          <w:lang w:val="ms-MY"/>
        </w:rPr>
      </w:pPr>
    </w:p>
    <w:p w:rsidR="00D57363" w:rsidRPr="00F447A7" w:rsidRDefault="00D57363" w:rsidP="00D5736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iCs/>
          <w:sz w:val="20"/>
          <w:szCs w:val="20"/>
        </w:rPr>
        <w:t xml:space="preserve">Euromonitor. (2006). Sports nutrition in Malaysia. Retrieved from </w:t>
      </w:r>
      <w:r w:rsidRPr="008220B6">
        <w:rPr>
          <w:rFonts w:ascii="Times New Roman" w:hAnsi="Times New Roman"/>
          <w:bCs/>
          <w:sz w:val="20"/>
          <w:szCs w:val="20"/>
        </w:rPr>
        <w:t>www.utm.my/psz\</w:t>
      </w:r>
      <w:r w:rsidRPr="00EE54B5">
        <w:rPr>
          <w:rFonts w:ascii="Times New Roman" w:hAnsi="Times New Roman"/>
          <w:bCs/>
          <w:iCs/>
          <w:sz w:val="20"/>
          <w:szCs w:val="20"/>
        </w:rPr>
        <w:t xml:space="preserve"> on 14 January 2017.</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Barnes, J. (2003). Efficacy and safety of complementary medicines: Fashions, </w:t>
      </w:r>
      <w:r w:rsidRPr="00EE54B5">
        <w:rPr>
          <w:rFonts w:ascii="Times New Roman" w:hAnsi="Times New Roman"/>
          <w:noProof/>
          <w:sz w:val="20"/>
          <w:szCs w:val="20"/>
        </w:rPr>
        <w:t>facts</w:t>
      </w:r>
      <w:r w:rsidRPr="00EE54B5">
        <w:rPr>
          <w:rFonts w:ascii="Times New Roman" w:hAnsi="Times New Roman"/>
          <w:sz w:val="20"/>
          <w:szCs w:val="20"/>
        </w:rPr>
        <w:t xml:space="preserve"> and </w:t>
      </w:r>
      <w:r w:rsidRPr="00EE54B5">
        <w:rPr>
          <w:rFonts w:ascii="Times New Roman" w:hAnsi="Times New Roman"/>
          <w:noProof/>
          <w:sz w:val="20"/>
          <w:szCs w:val="20"/>
        </w:rPr>
        <w:t>the future</w:t>
      </w:r>
      <w:r w:rsidRPr="00EE54B5">
        <w:rPr>
          <w:rFonts w:ascii="Times New Roman" w:hAnsi="Times New Roman"/>
          <w:sz w:val="20"/>
          <w:szCs w:val="20"/>
        </w:rPr>
        <w:t>. Part 1. Regulation and quality</w:t>
      </w:r>
      <w:r w:rsidRPr="00EE54B5">
        <w:rPr>
          <w:rFonts w:ascii="Times New Roman" w:hAnsi="Times New Roman"/>
          <w:i/>
          <w:sz w:val="20"/>
          <w:szCs w:val="20"/>
        </w:rPr>
        <w:t>, British Journal of Clinical Pharmacology</w:t>
      </w:r>
      <w:r w:rsidRPr="00EE54B5">
        <w:rPr>
          <w:rFonts w:ascii="Times New Roman" w:hAnsi="Times New Roman"/>
          <w:i/>
          <w:iCs/>
          <w:sz w:val="20"/>
          <w:szCs w:val="20"/>
        </w:rPr>
        <w:t>,</w:t>
      </w:r>
      <w:r w:rsidRPr="00EE54B5">
        <w:rPr>
          <w:rFonts w:ascii="Times New Roman" w:hAnsi="Times New Roman"/>
          <w:sz w:val="20"/>
          <w:szCs w:val="20"/>
        </w:rPr>
        <w:t xml:space="preserve"> </w:t>
      </w:r>
      <w:r w:rsidRPr="00EE54B5">
        <w:rPr>
          <w:rFonts w:ascii="Times New Roman" w:hAnsi="Times New Roman"/>
          <w:i/>
          <w:iCs/>
          <w:sz w:val="20"/>
          <w:szCs w:val="20"/>
        </w:rPr>
        <w:t>55</w:t>
      </w:r>
      <w:r w:rsidRPr="00EE54B5">
        <w:rPr>
          <w:rFonts w:ascii="Times New Roman" w:hAnsi="Times New Roman"/>
          <w:sz w:val="20"/>
          <w:szCs w:val="20"/>
        </w:rPr>
        <w:t>: 226 – 233.</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lang w:val="es-ES"/>
        </w:rPr>
        <w:t xml:space="preserve">Ohtani, M., Sugita, M. and Maruyama, K. (2006). </w:t>
      </w:r>
      <w:r w:rsidRPr="00EE54B5">
        <w:rPr>
          <w:rFonts w:ascii="Times New Roman" w:hAnsi="Times New Roman"/>
          <w:sz w:val="20"/>
          <w:szCs w:val="20"/>
        </w:rPr>
        <w:t xml:space="preserve">Amino acid mixture improves training efficiency in athletes. </w:t>
      </w:r>
      <w:r w:rsidRPr="00EE54B5">
        <w:rPr>
          <w:rFonts w:ascii="Times New Roman" w:hAnsi="Times New Roman"/>
          <w:i/>
          <w:sz w:val="20"/>
          <w:szCs w:val="20"/>
        </w:rPr>
        <w:t>Journal of Nutrition</w:t>
      </w:r>
      <w:r w:rsidRPr="00EE54B5">
        <w:rPr>
          <w:rFonts w:ascii="Times New Roman" w:hAnsi="Times New Roman"/>
          <w:sz w:val="20"/>
          <w:szCs w:val="20"/>
        </w:rPr>
        <w:t>, 136: 538 –</w:t>
      </w:r>
      <w:r w:rsidRPr="00EE54B5">
        <w:rPr>
          <w:rFonts w:ascii="Times New Roman" w:hAnsi="Times New Roman"/>
          <w:bCs/>
          <w:iCs/>
          <w:sz w:val="20"/>
          <w:szCs w:val="20"/>
        </w:rPr>
        <w:t xml:space="preserve"> 5</w:t>
      </w:r>
      <w:r w:rsidRPr="00EE54B5">
        <w:rPr>
          <w:rFonts w:ascii="Times New Roman" w:hAnsi="Times New Roman"/>
          <w:sz w:val="20"/>
          <w:szCs w:val="20"/>
        </w:rPr>
        <w:t>43S</w:t>
      </w:r>
      <w:r w:rsidRPr="00EE54B5">
        <w:rPr>
          <w:rFonts w:ascii="Times New Roman" w:hAnsi="Times New Roman"/>
          <w:bCs/>
          <w:iCs/>
          <w:sz w:val="20"/>
          <w:szCs w:val="20"/>
        </w:rPr>
        <w:t>.</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lang w:eastAsia="en-MY"/>
        </w:rPr>
        <w:t xml:space="preserve">Sugita, M., Ohtani, M., Ishii, N., Maruyama, K. and Kobayashi K. (2003). Effect of a selected amino acid mixture on the recovery from muscle fatigue during and after eccentric contraction exercise training.  </w:t>
      </w:r>
      <w:r w:rsidRPr="00EE54B5">
        <w:rPr>
          <w:rFonts w:ascii="Times New Roman" w:hAnsi="Times New Roman"/>
          <w:i/>
          <w:sz w:val="20"/>
          <w:szCs w:val="20"/>
          <w:lang w:eastAsia="en-MY"/>
        </w:rPr>
        <w:t>Bioscience, Biotechnology and Biochemistry</w:t>
      </w:r>
      <w:r w:rsidRPr="00EE54B5">
        <w:rPr>
          <w:rFonts w:ascii="Times New Roman" w:hAnsi="Times New Roman"/>
          <w:sz w:val="20"/>
          <w:szCs w:val="20"/>
          <w:lang w:eastAsia="en-MY"/>
        </w:rPr>
        <w:t>, 67: 372 – 375</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World Health Organization (2004). </w:t>
      </w:r>
      <w:r w:rsidRPr="00EE54B5">
        <w:rPr>
          <w:rFonts w:ascii="Times New Roman" w:hAnsi="Times New Roman"/>
          <w:i/>
          <w:iCs/>
          <w:sz w:val="20"/>
          <w:szCs w:val="20"/>
        </w:rPr>
        <w:t>WHO traditional medicine strategy 2002–2005</w:t>
      </w:r>
      <w:r w:rsidRPr="00EE54B5">
        <w:rPr>
          <w:rFonts w:ascii="Times New Roman" w:hAnsi="Times New Roman"/>
          <w:sz w:val="20"/>
          <w:szCs w:val="20"/>
        </w:rPr>
        <w:t xml:space="preserve">; WHO: Geneva, Switzerland.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Carol B. (2010). Whey protein: A functional food. </w:t>
      </w:r>
      <w:r w:rsidRPr="00EE54B5">
        <w:rPr>
          <w:rFonts w:ascii="Times New Roman" w:hAnsi="Times New Roman"/>
          <w:bCs/>
          <w:i/>
          <w:sz w:val="20"/>
          <w:szCs w:val="20"/>
        </w:rPr>
        <w:t xml:space="preserve">The Nutrition Practitioner, </w:t>
      </w:r>
      <w:r w:rsidRPr="00EE54B5">
        <w:rPr>
          <w:rFonts w:ascii="Times New Roman" w:hAnsi="Times New Roman"/>
          <w:bCs/>
          <w:sz w:val="20"/>
          <w:szCs w:val="20"/>
        </w:rPr>
        <w:t>1-8.</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Haussinger, D., Lang, F. and Gerok, W. (1994). Regulation of cell function by the cellular hydration state. </w:t>
      </w:r>
      <w:r w:rsidRPr="00EE54B5">
        <w:rPr>
          <w:rFonts w:ascii="Times New Roman" w:hAnsi="Times New Roman"/>
          <w:bCs/>
          <w:i/>
          <w:sz w:val="20"/>
          <w:szCs w:val="20"/>
        </w:rPr>
        <w:t>American Journal of Physiology</w:t>
      </w:r>
      <w:r w:rsidRPr="00EE54B5">
        <w:rPr>
          <w:rFonts w:ascii="Times New Roman" w:hAnsi="Times New Roman"/>
          <w:bCs/>
          <w:sz w:val="20"/>
          <w:szCs w:val="20"/>
        </w:rPr>
        <w:t>, 267: 343 –</w:t>
      </w:r>
      <w:r w:rsidRPr="00EE54B5">
        <w:rPr>
          <w:rFonts w:ascii="Times New Roman" w:hAnsi="Times New Roman"/>
          <w:bCs/>
          <w:iCs/>
          <w:sz w:val="20"/>
          <w:szCs w:val="20"/>
        </w:rPr>
        <w:t xml:space="preserve"> </w:t>
      </w:r>
      <w:r w:rsidRPr="00EE54B5">
        <w:rPr>
          <w:rFonts w:ascii="Times New Roman" w:hAnsi="Times New Roman"/>
          <w:bCs/>
          <w:sz w:val="20"/>
          <w:szCs w:val="20"/>
        </w:rPr>
        <w:t>355.</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Newsholme, E. A. (2001). Why is L-glutamine metabolism important to cells of the immune 55 system in health, post-injury, surgery, or infection. </w:t>
      </w:r>
      <w:r w:rsidRPr="00EE54B5">
        <w:rPr>
          <w:rFonts w:ascii="Times New Roman" w:hAnsi="Times New Roman"/>
          <w:i/>
          <w:sz w:val="20"/>
          <w:szCs w:val="20"/>
        </w:rPr>
        <w:t>Journal of Nutrition</w:t>
      </w:r>
      <w:r w:rsidRPr="00EE54B5">
        <w:rPr>
          <w:rFonts w:ascii="Times New Roman" w:hAnsi="Times New Roman"/>
          <w:bCs/>
          <w:sz w:val="20"/>
          <w:szCs w:val="20"/>
        </w:rPr>
        <w:t>, 131: 2515 –</w:t>
      </w:r>
      <w:r w:rsidRPr="00EE54B5">
        <w:rPr>
          <w:rFonts w:ascii="Times New Roman" w:hAnsi="Times New Roman"/>
          <w:bCs/>
          <w:iCs/>
          <w:sz w:val="20"/>
          <w:szCs w:val="20"/>
        </w:rPr>
        <w:t xml:space="preserve"> </w:t>
      </w:r>
      <w:r w:rsidRPr="00EE54B5">
        <w:rPr>
          <w:rFonts w:ascii="Times New Roman" w:hAnsi="Times New Roman"/>
          <w:bCs/>
          <w:sz w:val="20"/>
          <w:szCs w:val="20"/>
        </w:rPr>
        <w:t>2522.</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Antonio, J. and Street, C. (1999). Glutamine: A potentially useful supplement for athletes. </w:t>
      </w:r>
      <w:r w:rsidRPr="00EE54B5">
        <w:rPr>
          <w:rFonts w:ascii="Times New Roman" w:hAnsi="Times New Roman"/>
          <w:bCs/>
          <w:i/>
          <w:sz w:val="20"/>
          <w:szCs w:val="20"/>
        </w:rPr>
        <w:t>Canadian Journal of Applied Physiology</w:t>
      </w:r>
      <w:r w:rsidRPr="00EE54B5">
        <w:rPr>
          <w:rFonts w:ascii="Times New Roman" w:hAnsi="Times New Roman"/>
          <w:bCs/>
          <w:sz w:val="20"/>
          <w:szCs w:val="20"/>
        </w:rPr>
        <w:t>, 24(1): 1 –</w:t>
      </w:r>
      <w:r w:rsidRPr="00EE54B5">
        <w:rPr>
          <w:rFonts w:ascii="Times New Roman" w:hAnsi="Times New Roman"/>
          <w:bCs/>
          <w:iCs/>
          <w:sz w:val="20"/>
          <w:szCs w:val="20"/>
        </w:rPr>
        <w:t xml:space="preserve"> </w:t>
      </w:r>
      <w:r w:rsidRPr="00EE54B5">
        <w:rPr>
          <w:rFonts w:ascii="Times New Roman" w:hAnsi="Times New Roman"/>
          <w:bCs/>
          <w:sz w:val="20"/>
          <w:szCs w:val="20"/>
        </w:rPr>
        <w:t>14.</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iCs/>
          <w:sz w:val="20"/>
          <w:szCs w:val="20"/>
        </w:rPr>
        <w:t xml:space="preserve">Food and Drug Administration (2009). Public health advisory: the FDA recommends that consumers should not use body building products marketed as containing steroids or steroid-like substances. Retrieved from  </w:t>
      </w:r>
      <w:r w:rsidRPr="00EE54B5">
        <w:rPr>
          <w:rFonts w:ascii="Times New Roman" w:hAnsi="Times New Roman"/>
          <w:bCs/>
          <w:sz w:val="20"/>
          <w:szCs w:val="20"/>
        </w:rPr>
        <w:t>http://www.fda.gov/Drugs/DrugSafety on 17 January 2017</w:t>
      </w:r>
      <w:r w:rsidRPr="00EE54B5">
        <w:rPr>
          <w:rStyle w:val="Hyperlink"/>
          <w:rFonts w:ascii="Times New Roman" w:hAnsi="Times New Roman"/>
          <w:bCs/>
          <w:iCs/>
          <w:sz w:val="20"/>
          <w:szCs w:val="20"/>
        </w:rPr>
        <w:t>.</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Marshall, K. (2004). Therapeutic applications of whey protein. </w:t>
      </w:r>
      <w:r w:rsidRPr="00EE54B5">
        <w:rPr>
          <w:rFonts w:ascii="Times New Roman" w:hAnsi="Times New Roman"/>
          <w:bCs/>
          <w:i/>
          <w:sz w:val="20"/>
          <w:szCs w:val="20"/>
        </w:rPr>
        <w:t xml:space="preserve">Alternative Medicine Review, </w:t>
      </w:r>
      <w:r w:rsidRPr="00EE54B5">
        <w:rPr>
          <w:rFonts w:ascii="Times New Roman" w:hAnsi="Times New Roman"/>
          <w:bCs/>
          <w:sz w:val="20"/>
          <w:szCs w:val="20"/>
        </w:rPr>
        <w:t>9(2): 136 –</w:t>
      </w:r>
      <w:r w:rsidRPr="00EE54B5">
        <w:rPr>
          <w:rFonts w:ascii="Times New Roman" w:hAnsi="Times New Roman"/>
          <w:bCs/>
          <w:iCs/>
          <w:sz w:val="20"/>
          <w:szCs w:val="20"/>
        </w:rPr>
        <w:t xml:space="preserve"> </w:t>
      </w:r>
      <w:r w:rsidRPr="00EE54B5">
        <w:rPr>
          <w:rFonts w:ascii="Times New Roman" w:hAnsi="Times New Roman"/>
          <w:bCs/>
          <w:sz w:val="20"/>
          <w:szCs w:val="20"/>
        </w:rPr>
        <w:t xml:space="preserve">156.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Islam, M. S., Ali, S., Rahman, M., Islam, R., Ali, A., Azad, A. K. and Islam, M. R. (2011). Antidiabetic, cytotoxic activities and phytochemical screening of </w:t>
      </w:r>
      <w:r w:rsidRPr="00EE54B5">
        <w:rPr>
          <w:rFonts w:ascii="Times New Roman" w:hAnsi="Times New Roman"/>
          <w:i/>
          <w:sz w:val="20"/>
          <w:szCs w:val="20"/>
        </w:rPr>
        <w:t>Peltophorum pterocarpum</w:t>
      </w:r>
      <w:r w:rsidRPr="00EE54B5">
        <w:rPr>
          <w:rFonts w:ascii="Times New Roman" w:hAnsi="Times New Roman"/>
          <w:sz w:val="20"/>
          <w:szCs w:val="20"/>
        </w:rPr>
        <w:t xml:space="preserve"> (DC) K. Heyne root. </w:t>
      </w:r>
      <w:r w:rsidRPr="00EE54B5">
        <w:rPr>
          <w:rFonts w:ascii="Times New Roman" w:hAnsi="Times New Roman"/>
          <w:i/>
          <w:sz w:val="20"/>
          <w:szCs w:val="20"/>
        </w:rPr>
        <w:t>Journal of Medicinal Plants Research</w:t>
      </w:r>
      <w:r w:rsidRPr="00EE54B5">
        <w:rPr>
          <w:rFonts w:ascii="Times New Roman" w:hAnsi="Times New Roman"/>
          <w:sz w:val="20"/>
          <w:szCs w:val="20"/>
        </w:rPr>
        <w:t>, 5(16): 3745 – 3750.</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Pokrywka, A., Obminski, Z., Fijalek, Z., Turek-Lepa, E., Grucza, R. and Malczewska L. (2014).  Insights into supplements with </w:t>
      </w:r>
      <w:r w:rsidRPr="00EE54B5">
        <w:rPr>
          <w:rFonts w:ascii="Times New Roman" w:hAnsi="Times New Roman"/>
          <w:i/>
          <w:sz w:val="20"/>
          <w:szCs w:val="20"/>
        </w:rPr>
        <w:t>Tribulus terrestris</w:t>
      </w:r>
      <w:r w:rsidRPr="00EE54B5">
        <w:rPr>
          <w:rFonts w:ascii="Times New Roman" w:hAnsi="Times New Roman"/>
          <w:sz w:val="20"/>
          <w:szCs w:val="20"/>
        </w:rPr>
        <w:t xml:space="preserve"> used by Athletes.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Vibhute, B. P., Bhide, D. R., Karadbhajne, V. Y., Kulkarni, A. S. and Khotpal, R. R. (2013). Fatty acid profile of pumpkin and bael seed lipids of Central India Region. </w:t>
      </w:r>
      <w:r w:rsidRPr="00EE54B5">
        <w:rPr>
          <w:rFonts w:ascii="Times New Roman" w:hAnsi="Times New Roman"/>
          <w:i/>
          <w:iCs/>
          <w:sz w:val="20"/>
          <w:szCs w:val="20"/>
        </w:rPr>
        <w:t>Research and Reviews Journal of Botanical Sciences</w:t>
      </w:r>
      <w:r w:rsidRPr="00EE54B5">
        <w:rPr>
          <w:rFonts w:ascii="Times New Roman" w:hAnsi="Times New Roman"/>
          <w:sz w:val="20"/>
          <w:szCs w:val="20"/>
        </w:rPr>
        <w:t>, 2(2): 1 –</w:t>
      </w:r>
      <w:r w:rsidRPr="00EE54B5">
        <w:rPr>
          <w:rFonts w:ascii="Times New Roman" w:hAnsi="Times New Roman"/>
          <w:bCs/>
          <w:iCs/>
          <w:sz w:val="20"/>
          <w:szCs w:val="20"/>
        </w:rPr>
        <w:t xml:space="preserve"> </w:t>
      </w:r>
      <w:r w:rsidRPr="00EE54B5">
        <w:rPr>
          <w:rFonts w:ascii="Times New Roman" w:hAnsi="Times New Roman"/>
          <w:sz w:val="20"/>
          <w:szCs w:val="20"/>
        </w:rPr>
        <w:t>3.</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Stitch, S. R. (1957). Trace elements in human tissue. 1. A semi-quantitative </w:t>
      </w:r>
      <w:r>
        <w:rPr>
          <w:rFonts w:ascii="Times New Roman" w:hAnsi="Times New Roman"/>
          <w:sz w:val="20"/>
          <w:szCs w:val="20"/>
        </w:rPr>
        <w:t xml:space="preserve">spectrographic </w:t>
      </w:r>
      <w:r w:rsidRPr="00EE54B5">
        <w:rPr>
          <w:rFonts w:ascii="Times New Roman" w:hAnsi="Times New Roman"/>
          <w:sz w:val="20"/>
          <w:szCs w:val="20"/>
        </w:rPr>
        <w:t xml:space="preserve">survey. </w:t>
      </w:r>
      <w:r w:rsidRPr="00EE54B5">
        <w:rPr>
          <w:rFonts w:ascii="Times New Roman" w:hAnsi="Times New Roman"/>
          <w:i/>
          <w:sz w:val="20"/>
          <w:szCs w:val="20"/>
        </w:rPr>
        <w:t>B</w:t>
      </w:r>
      <w:r w:rsidRPr="00EE54B5">
        <w:rPr>
          <w:rFonts w:ascii="Times New Roman" w:hAnsi="Times New Roman"/>
          <w:i/>
          <w:iCs/>
          <w:sz w:val="20"/>
          <w:szCs w:val="20"/>
        </w:rPr>
        <w:t>iochemical Journal,</w:t>
      </w:r>
      <w:r w:rsidRPr="00EE54B5">
        <w:rPr>
          <w:rFonts w:ascii="Times New Roman" w:hAnsi="Times New Roman"/>
          <w:sz w:val="20"/>
          <w:szCs w:val="20"/>
        </w:rPr>
        <w:t xml:space="preserve"> 67: 97 – 103.</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Ajasa, M. A., Bello, O. M., Ibrahim, O. M., Ogunwande, A. I. and Olawore, O. N. (2004). Heavy              metals and macronutrients status in herbal plants of Nigeria. </w:t>
      </w:r>
      <w:r w:rsidRPr="00EE54B5">
        <w:rPr>
          <w:rFonts w:ascii="Times New Roman" w:hAnsi="Times New Roman"/>
          <w:i/>
          <w:iCs/>
          <w:sz w:val="20"/>
          <w:szCs w:val="20"/>
        </w:rPr>
        <w:t xml:space="preserve">Food Chemistry., </w:t>
      </w:r>
      <w:r w:rsidRPr="00EE54B5">
        <w:rPr>
          <w:rFonts w:ascii="Times New Roman" w:hAnsi="Times New Roman"/>
          <w:sz w:val="20"/>
          <w:szCs w:val="20"/>
        </w:rPr>
        <w:t>85: 67 – 71.</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Gosslim, R. E., Smith, R. P., Hodge, H. C. and Braddock, J. E. (1984). </w:t>
      </w:r>
      <w:r w:rsidRPr="00EE54B5">
        <w:rPr>
          <w:rFonts w:ascii="Times New Roman" w:hAnsi="Times New Roman"/>
          <w:i/>
          <w:iCs/>
          <w:sz w:val="20"/>
          <w:szCs w:val="20"/>
        </w:rPr>
        <w:t>Clinical Toxicology of Commercial Products</w:t>
      </w:r>
      <w:r w:rsidRPr="00EE54B5">
        <w:rPr>
          <w:rFonts w:ascii="Times New Roman" w:hAnsi="Times New Roman"/>
          <w:sz w:val="20"/>
          <w:szCs w:val="20"/>
        </w:rPr>
        <w:t>, 5</w:t>
      </w:r>
      <w:r w:rsidRPr="00EE54B5">
        <w:rPr>
          <w:rFonts w:ascii="Times New Roman" w:hAnsi="Times New Roman"/>
          <w:sz w:val="20"/>
          <w:szCs w:val="20"/>
          <w:vertAlign w:val="superscript"/>
        </w:rPr>
        <w:t>th</w:t>
      </w:r>
      <w:r w:rsidRPr="00EE54B5">
        <w:rPr>
          <w:rFonts w:ascii="Times New Roman" w:hAnsi="Times New Roman"/>
          <w:sz w:val="20"/>
          <w:szCs w:val="20"/>
        </w:rPr>
        <w:t xml:space="preserve"> edition; Willians &amp; Wilkins: Baltimore, MD, USA, pp. 437.</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Schilcher, H. (1987). Possibilities and limitations of phytotherapy. </w:t>
      </w:r>
      <w:r w:rsidRPr="00EE54B5">
        <w:rPr>
          <w:rFonts w:ascii="Times New Roman" w:hAnsi="Times New Roman"/>
          <w:i/>
          <w:iCs/>
          <w:sz w:val="20"/>
          <w:szCs w:val="20"/>
        </w:rPr>
        <w:t xml:space="preserve">Pharmaceutish Weekblad – Scientific Edition, </w:t>
      </w:r>
      <w:r w:rsidRPr="00EE54B5">
        <w:rPr>
          <w:rFonts w:ascii="Times New Roman" w:hAnsi="Times New Roman"/>
          <w:sz w:val="20"/>
          <w:szCs w:val="20"/>
        </w:rPr>
        <w:t xml:space="preserve">9(4): 215.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Andrew, A. S., Warren, A. J., Barchowsky, A., Temple, K. A., Klei, L., Soucy, N. V., O’Hara, K. A.  and Hamilton, J. W. (2003). Genomic and proteomic profiling of responses to toxic metals in human lung cells. </w:t>
      </w:r>
      <w:r w:rsidRPr="00EE54B5">
        <w:rPr>
          <w:rFonts w:ascii="Times New Roman" w:hAnsi="Times New Roman"/>
          <w:i/>
          <w:iCs/>
          <w:sz w:val="20"/>
          <w:szCs w:val="20"/>
        </w:rPr>
        <w:t>Environmental Health Perspective</w:t>
      </w:r>
      <w:r w:rsidRPr="00EE54B5">
        <w:rPr>
          <w:rFonts w:ascii="Times New Roman" w:hAnsi="Times New Roman"/>
          <w:sz w:val="20"/>
          <w:szCs w:val="20"/>
        </w:rPr>
        <w:t>, 111: 825 – 835.</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Shaw, D. Leon, C. Kolev, S. and Murray, V. (1997). Traditional remedies and food supplements. A 5-year toxicological study (1991–1995). </w:t>
      </w:r>
      <w:r w:rsidRPr="00EE54B5">
        <w:rPr>
          <w:rFonts w:ascii="Times New Roman" w:hAnsi="Times New Roman"/>
          <w:i/>
          <w:iCs/>
          <w:sz w:val="20"/>
          <w:szCs w:val="20"/>
        </w:rPr>
        <w:t xml:space="preserve">Drug Safety, </w:t>
      </w:r>
      <w:r w:rsidRPr="00EE54B5">
        <w:rPr>
          <w:rFonts w:ascii="Times New Roman" w:hAnsi="Times New Roman"/>
          <w:sz w:val="20"/>
          <w:szCs w:val="20"/>
        </w:rPr>
        <w:t>17: 342 – 356.</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Kreider R. (1999). Dietary supplements and the promotion of muscle growth with resistance exercise. </w:t>
      </w:r>
      <w:r w:rsidRPr="00EE54B5">
        <w:rPr>
          <w:rFonts w:ascii="Times New Roman" w:hAnsi="Times New Roman"/>
          <w:i/>
          <w:sz w:val="20"/>
          <w:szCs w:val="20"/>
        </w:rPr>
        <w:t>Sports Medicine</w:t>
      </w:r>
      <w:r w:rsidRPr="00EE54B5">
        <w:rPr>
          <w:rFonts w:ascii="Times New Roman" w:hAnsi="Times New Roman"/>
          <w:sz w:val="20"/>
          <w:szCs w:val="20"/>
        </w:rPr>
        <w:t>, 27: 97 –</w:t>
      </w:r>
      <w:r w:rsidRPr="00EE54B5">
        <w:rPr>
          <w:rFonts w:ascii="Times New Roman" w:hAnsi="Times New Roman"/>
          <w:bCs/>
          <w:iCs/>
          <w:sz w:val="20"/>
          <w:szCs w:val="20"/>
        </w:rPr>
        <w:t xml:space="preserve"> </w:t>
      </w:r>
      <w:r w:rsidRPr="00EE54B5">
        <w:rPr>
          <w:rFonts w:ascii="Times New Roman" w:hAnsi="Times New Roman"/>
          <w:sz w:val="20"/>
          <w:szCs w:val="20"/>
        </w:rPr>
        <w:t xml:space="preserve">110.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Macfie, H. J., Bratchell, N., Grenhoff, K. and Valis, L.V. (1989). Designs to balance the effect of order of presentation and first-order carry-over in hall tests. </w:t>
      </w:r>
      <w:r w:rsidRPr="00EE54B5">
        <w:rPr>
          <w:rFonts w:ascii="Times New Roman" w:hAnsi="Times New Roman"/>
          <w:bCs/>
          <w:i/>
          <w:sz w:val="20"/>
          <w:szCs w:val="20"/>
        </w:rPr>
        <w:t>Journal of Sensory Studies</w:t>
      </w:r>
      <w:r w:rsidRPr="00EE54B5">
        <w:rPr>
          <w:rFonts w:ascii="Times New Roman" w:hAnsi="Times New Roman"/>
          <w:bCs/>
          <w:sz w:val="20"/>
          <w:szCs w:val="20"/>
        </w:rPr>
        <w:t>, 4: 129 –</w:t>
      </w:r>
      <w:r w:rsidRPr="00EE54B5">
        <w:rPr>
          <w:rFonts w:ascii="Times New Roman" w:hAnsi="Times New Roman"/>
          <w:bCs/>
          <w:iCs/>
          <w:sz w:val="20"/>
          <w:szCs w:val="20"/>
        </w:rPr>
        <w:t xml:space="preserve"> </w:t>
      </w:r>
      <w:r w:rsidRPr="00EE54B5">
        <w:rPr>
          <w:rFonts w:ascii="Times New Roman" w:hAnsi="Times New Roman"/>
          <w:bCs/>
          <w:sz w:val="20"/>
          <w:szCs w:val="20"/>
        </w:rPr>
        <w:t>132.</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Kramer, A. and Twigg, B. A. (1970). Quality control for the food industry (3</w:t>
      </w:r>
      <w:r w:rsidRPr="00EE54B5">
        <w:rPr>
          <w:rFonts w:ascii="Times New Roman" w:hAnsi="Times New Roman"/>
          <w:bCs/>
          <w:sz w:val="20"/>
          <w:szCs w:val="20"/>
          <w:vertAlign w:val="superscript"/>
        </w:rPr>
        <w:t>rd</w:t>
      </w:r>
      <w:r w:rsidRPr="00EE54B5">
        <w:rPr>
          <w:rFonts w:ascii="Times New Roman" w:hAnsi="Times New Roman"/>
          <w:bCs/>
          <w:sz w:val="20"/>
          <w:szCs w:val="20"/>
        </w:rPr>
        <w:t xml:space="preserve"> Edition). </w:t>
      </w:r>
      <w:r w:rsidRPr="00EE54B5">
        <w:rPr>
          <w:rFonts w:ascii="Times New Roman" w:hAnsi="Times New Roman"/>
          <w:bCs/>
          <w:iCs/>
          <w:sz w:val="20"/>
          <w:szCs w:val="20"/>
        </w:rPr>
        <w:t xml:space="preserve">Westport: AVI Publishing Company Incorporation.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Larmond, E. (1977). Laboratory methods for sensory evaluation of food. </w:t>
      </w:r>
      <w:r w:rsidRPr="00EE54B5">
        <w:rPr>
          <w:rFonts w:ascii="Times New Roman" w:hAnsi="Times New Roman"/>
          <w:bCs/>
          <w:iCs/>
          <w:sz w:val="20"/>
          <w:szCs w:val="20"/>
        </w:rPr>
        <w:t>Canadian Government Publishing Centre.</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lang w:val="es-ES"/>
        </w:rPr>
        <w:t xml:space="preserve">Soetan, O. K, Olaiya, C. O and Oyewole O. E. </w:t>
      </w:r>
      <w:r w:rsidRPr="00EE54B5">
        <w:rPr>
          <w:rFonts w:ascii="Times New Roman" w:hAnsi="Times New Roman"/>
          <w:bCs/>
          <w:sz w:val="20"/>
          <w:szCs w:val="20"/>
        </w:rPr>
        <w:t>(2010). The importance of</w:t>
      </w:r>
      <w:r>
        <w:rPr>
          <w:rFonts w:ascii="Times New Roman" w:hAnsi="Times New Roman"/>
          <w:bCs/>
          <w:sz w:val="20"/>
          <w:szCs w:val="20"/>
        </w:rPr>
        <w:t xml:space="preserve"> mineral elements for </w:t>
      </w:r>
      <w:r w:rsidRPr="00EE54B5">
        <w:rPr>
          <w:rFonts w:ascii="Times New Roman" w:hAnsi="Times New Roman"/>
          <w:bCs/>
          <w:sz w:val="20"/>
          <w:szCs w:val="20"/>
        </w:rPr>
        <w:t xml:space="preserve">humans, domestic animals and plant: A review. </w:t>
      </w:r>
      <w:r w:rsidRPr="00EE54B5">
        <w:rPr>
          <w:rFonts w:ascii="Times New Roman" w:hAnsi="Times New Roman"/>
          <w:bCs/>
          <w:i/>
          <w:sz w:val="20"/>
          <w:szCs w:val="20"/>
        </w:rPr>
        <w:t>African Journal of Food Science</w:t>
      </w:r>
      <w:r w:rsidRPr="00EE54B5">
        <w:rPr>
          <w:rFonts w:ascii="Times New Roman" w:hAnsi="Times New Roman"/>
          <w:bCs/>
          <w:sz w:val="20"/>
          <w:szCs w:val="20"/>
        </w:rPr>
        <w:t>, 4(5): 200 –</w:t>
      </w:r>
      <w:r w:rsidRPr="00EE54B5">
        <w:rPr>
          <w:rFonts w:ascii="Times New Roman" w:hAnsi="Times New Roman"/>
          <w:bCs/>
          <w:iCs/>
          <w:sz w:val="20"/>
          <w:szCs w:val="20"/>
        </w:rPr>
        <w:t xml:space="preserve"> </w:t>
      </w:r>
      <w:r w:rsidRPr="00EE54B5">
        <w:rPr>
          <w:rFonts w:ascii="Times New Roman" w:hAnsi="Times New Roman"/>
          <w:bCs/>
          <w:sz w:val="20"/>
          <w:szCs w:val="20"/>
        </w:rPr>
        <w:t xml:space="preserve">222. </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National Academy Press. (2001). Institute of Medicine. iron. In: </w:t>
      </w:r>
      <w:r w:rsidRPr="00EE54B5">
        <w:rPr>
          <w:rFonts w:ascii="Times New Roman" w:hAnsi="Times New Roman"/>
          <w:bCs/>
          <w:iCs/>
          <w:sz w:val="20"/>
          <w:szCs w:val="20"/>
        </w:rPr>
        <w:t>dietary reference intakes for vitamin a, vitamin k, arsenic, boron, chromium, copper, iodine, iron, manganese, molybdenum, nickel, silicon, vanadium, and zinc</w:t>
      </w:r>
      <w:r w:rsidRPr="00EE54B5">
        <w:rPr>
          <w:rFonts w:ascii="Times New Roman" w:hAnsi="Times New Roman"/>
          <w:bCs/>
          <w:sz w:val="20"/>
          <w:szCs w:val="20"/>
        </w:rPr>
        <w:t>; pp. 290 – 393.</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Hathcock, J. N. (2004). Vitamin and mineral safety, 2</w:t>
      </w:r>
      <w:r w:rsidRPr="00EE54B5">
        <w:rPr>
          <w:rFonts w:ascii="Times New Roman" w:hAnsi="Times New Roman"/>
          <w:bCs/>
          <w:sz w:val="20"/>
          <w:szCs w:val="20"/>
          <w:vertAlign w:val="superscript"/>
        </w:rPr>
        <w:t>nd</w:t>
      </w:r>
      <w:r w:rsidRPr="00EE54B5">
        <w:rPr>
          <w:rFonts w:ascii="Times New Roman" w:hAnsi="Times New Roman"/>
          <w:bCs/>
          <w:sz w:val="20"/>
          <w:szCs w:val="20"/>
        </w:rPr>
        <w:t xml:space="preserve"> (Edition). Council for responsible nutrition. Washington. pp 169.</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bCs/>
          <w:sz w:val="20"/>
          <w:szCs w:val="20"/>
        </w:rPr>
        <w:t xml:space="preserve">Bharathi, A., Yan-Hong, W., Duzgoren-Aydin, N. S. and Khan, I. A. (2011). Inorganic elemental           compositions of commercial multivitamin/mineral dietary supplements: Application of  collision/reaction cell inductively coupled-mass spectroscopy. </w:t>
      </w:r>
      <w:r w:rsidRPr="00EE54B5">
        <w:rPr>
          <w:rFonts w:ascii="Times New Roman" w:hAnsi="Times New Roman"/>
          <w:bCs/>
          <w:i/>
          <w:sz w:val="20"/>
          <w:szCs w:val="20"/>
        </w:rPr>
        <w:t>Food Chemistry</w:t>
      </w:r>
      <w:r w:rsidRPr="00EE54B5">
        <w:rPr>
          <w:rFonts w:ascii="Times New Roman" w:hAnsi="Times New Roman"/>
          <w:bCs/>
          <w:sz w:val="20"/>
          <w:szCs w:val="20"/>
        </w:rPr>
        <w:t>, 127: 54 –</w:t>
      </w:r>
      <w:r w:rsidRPr="00EE54B5">
        <w:rPr>
          <w:rFonts w:ascii="Times New Roman" w:hAnsi="Times New Roman"/>
          <w:bCs/>
          <w:iCs/>
          <w:sz w:val="20"/>
          <w:szCs w:val="20"/>
        </w:rPr>
        <w:t xml:space="preserve"> </w:t>
      </w:r>
      <w:r w:rsidRPr="00EE54B5">
        <w:rPr>
          <w:rFonts w:ascii="Times New Roman" w:hAnsi="Times New Roman"/>
          <w:bCs/>
          <w:sz w:val="20"/>
          <w:szCs w:val="20"/>
        </w:rPr>
        <w:t>62.</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Hall, W. L., Millward, D. J., Long, S. J. and Morgan, L. M. (2003). Casein and whey exert different effects on plasma amino acid profiles, gastrointestinal hormone secretion and appetite. </w:t>
      </w:r>
      <w:r w:rsidRPr="00EE54B5">
        <w:rPr>
          <w:rFonts w:ascii="Times New Roman" w:hAnsi="Times New Roman"/>
          <w:i/>
          <w:sz w:val="20"/>
          <w:szCs w:val="20"/>
        </w:rPr>
        <w:t>British Journal of Nutrition</w:t>
      </w:r>
      <w:r w:rsidRPr="00EE54B5">
        <w:rPr>
          <w:rFonts w:ascii="Times New Roman" w:hAnsi="Times New Roman"/>
          <w:sz w:val="20"/>
          <w:szCs w:val="20"/>
        </w:rPr>
        <w:t>, 89: 239 – 248.</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Batterham, R. L., Heffron, H., Kapoor, S., Chivers J. E., Chandarana, K. and Herzog, H. (2006). Critical role for peptide YY in protein-mediated satiation and body-weight regulation</w:t>
      </w:r>
      <w:r w:rsidRPr="00EE54B5">
        <w:rPr>
          <w:rFonts w:ascii="Times New Roman" w:hAnsi="Times New Roman"/>
          <w:i/>
          <w:sz w:val="20"/>
          <w:szCs w:val="20"/>
        </w:rPr>
        <w:t>. Cell Metabolism</w:t>
      </w:r>
      <w:r w:rsidRPr="00EE54B5">
        <w:rPr>
          <w:rFonts w:ascii="Times New Roman" w:hAnsi="Times New Roman"/>
          <w:sz w:val="20"/>
          <w:szCs w:val="20"/>
        </w:rPr>
        <w:t>, 4: 223 – 233</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 xml:space="preserve">Kuhn, C., Bufe, B., Winnig, M., Hofmann, T., Frank, O., Behrens, M., Lewtschenko, T., Slack, J. P., Ward, C. D. and Meyerhof, W. (2004). Bitter taste receptors for saccharin and acesulfame-K. </w:t>
      </w:r>
      <w:r w:rsidRPr="00EE54B5">
        <w:rPr>
          <w:rFonts w:ascii="Times New Roman" w:hAnsi="Times New Roman"/>
          <w:i/>
          <w:sz w:val="20"/>
          <w:szCs w:val="20"/>
        </w:rPr>
        <w:t>Journal of Neuroscience,</w:t>
      </w:r>
      <w:r w:rsidRPr="00EE54B5">
        <w:rPr>
          <w:rFonts w:ascii="Times New Roman" w:hAnsi="Times New Roman"/>
          <w:sz w:val="20"/>
          <w:szCs w:val="20"/>
        </w:rPr>
        <w:t xml:space="preserve"> 24(45): 10260 –</w:t>
      </w:r>
      <w:r w:rsidRPr="00EE54B5">
        <w:rPr>
          <w:rFonts w:ascii="Times New Roman" w:hAnsi="Times New Roman"/>
          <w:bCs/>
          <w:iCs/>
          <w:sz w:val="20"/>
          <w:szCs w:val="20"/>
        </w:rPr>
        <w:t xml:space="preserve"> </w:t>
      </w:r>
      <w:r w:rsidRPr="00EE54B5">
        <w:rPr>
          <w:rFonts w:ascii="Times New Roman" w:hAnsi="Times New Roman"/>
          <w:sz w:val="20"/>
          <w:szCs w:val="20"/>
        </w:rPr>
        <w:t>10265.</w:t>
      </w:r>
    </w:p>
    <w:p w:rsidR="00D57363" w:rsidRPr="00EE54B5" w:rsidRDefault="00D57363" w:rsidP="00D57363">
      <w:pPr>
        <w:numPr>
          <w:ilvl w:val="0"/>
          <w:numId w:val="1"/>
        </w:numPr>
        <w:autoSpaceDE w:val="0"/>
        <w:autoSpaceDN w:val="0"/>
        <w:adjustRightInd w:val="0"/>
        <w:spacing w:after="0" w:line="240" w:lineRule="auto"/>
        <w:ind w:left="360"/>
        <w:jc w:val="both"/>
        <w:rPr>
          <w:rFonts w:ascii="Times New Roman" w:hAnsi="Times New Roman"/>
          <w:bCs/>
          <w:iCs/>
          <w:sz w:val="20"/>
          <w:szCs w:val="20"/>
        </w:rPr>
      </w:pPr>
      <w:r w:rsidRPr="00EE54B5">
        <w:rPr>
          <w:rFonts w:ascii="Times New Roman" w:hAnsi="Times New Roman"/>
          <w:sz w:val="20"/>
          <w:szCs w:val="20"/>
        </w:rPr>
        <w:t>Low, B. S., Choi, S. B</w:t>
      </w:r>
      <w:r w:rsidRPr="00EE54B5">
        <w:rPr>
          <w:rFonts w:ascii="Times New Roman" w:hAnsi="Times New Roman"/>
          <w:color w:val="000000" w:themeColor="text1"/>
          <w:sz w:val="20"/>
          <w:szCs w:val="20"/>
        </w:rPr>
        <w:t>., </w:t>
      </w:r>
      <w:r w:rsidRPr="00EE54B5">
        <w:rPr>
          <w:rFonts w:ascii="Times New Roman" w:hAnsi="Times New Roman"/>
          <w:sz w:val="20"/>
          <w:szCs w:val="20"/>
        </w:rPr>
        <w:t>Abdul Wahab, H</w:t>
      </w:r>
      <w:r w:rsidRPr="00EE54B5">
        <w:rPr>
          <w:rFonts w:ascii="Times New Roman" w:hAnsi="Times New Roman"/>
          <w:color w:val="000000" w:themeColor="text1"/>
          <w:sz w:val="20"/>
          <w:szCs w:val="20"/>
        </w:rPr>
        <w:t>., </w:t>
      </w:r>
      <w:r w:rsidRPr="00EE54B5">
        <w:rPr>
          <w:rFonts w:ascii="Times New Roman" w:hAnsi="Times New Roman"/>
          <w:sz w:val="20"/>
          <w:szCs w:val="20"/>
        </w:rPr>
        <w:t>Das, P. K</w:t>
      </w:r>
      <w:r w:rsidRPr="00EE54B5">
        <w:rPr>
          <w:rFonts w:ascii="Times New Roman" w:hAnsi="Times New Roman"/>
          <w:color w:val="000000" w:themeColor="text1"/>
          <w:sz w:val="20"/>
          <w:szCs w:val="20"/>
        </w:rPr>
        <w:t xml:space="preserve">. and </w:t>
      </w:r>
      <w:r w:rsidRPr="00EE54B5">
        <w:rPr>
          <w:rFonts w:ascii="Times New Roman" w:hAnsi="Times New Roman"/>
          <w:sz w:val="20"/>
          <w:szCs w:val="20"/>
        </w:rPr>
        <w:t>Chan, K. L</w:t>
      </w:r>
      <w:r w:rsidRPr="00EE54B5">
        <w:rPr>
          <w:rFonts w:ascii="Times New Roman" w:hAnsi="Times New Roman"/>
          <w:color w:val="000000" w:themeColor="text1"/>
          <w:sz w:val="20"/>
          <w:szCs w:val="20"/>
        </w:rPr>
        <w:t xml:space="preserve"> (2013)</w:t>
      </w:r>
      <w:r w:rsidRPr="00EE54B5">
        <w:rPr>
          <w:rFonts w:ascii="Times New Roman" w:hAnsi="Times New Roman"/>
          <w:sz w:val="20"/>
          <w:szCs w:val="20"/>
        </w:rPr>
        <w:t xml:space="preserve">. Eurycomanone, the major quassinoid in </w:t>
      </w:r>
      <w:r w:rsidRPr="00EE54B5">
        <w:rPr>
          <w:rFonts w:ascii="Times New Roman" w:hAnsi="Times New Roman"/>
          <w:i/>
          <w:iCs/>
          <w:sz w:val="20"/>
          <w:szCs w:val="20"/>
        </w:rPr>
        <w:t>Eurycoma longifolia</w:t>
      </w:r>
      <w:r w:rsidRPr="00EE54B5">
        <w:rPr>
          <w:rFonts w:ascii="Times New Roman" w:hAnsi="Times New Roman"/>
          <w:sz w:val="20"/>
          <w:szCs w:val="20"/>
        </w:rPr>
        <w:t xml:space="preserve"> root extract increases spermatogenesis by inhibiting the activity of phosphodiesterase and aromatase in steroidogenesis. </w:t>
      </w:r>
      <w:r w:rsidRPr="00EE54B5">
        <w:rPr>
          <w:rFonts w:ascii="Times New Roman" w:hAnsi="Times New Roman"/>
          <w:i/>
          <w:iCs/>
          <w:sz w:val="20"/>
          <w:szCs w:val="20"/>
        </w:rPr>
        <w:t xml:space="preserve">Journal of Ethnopharmacology, </w:t>
      </w:r>
      <w:r w:rsidRPr="00EE54B5">
        <w:rPr>
          <w:rFonts w:ascii="Times New Roman" w:hAnsi="Times New Roman"/>
          <w:sz w:val="20"/>
          <w:szCs w:val="20"/>
        </w:rPr>
        <w:t>149(1): 201 –</w:t>
      </w:r>
      <w:r w:rsidRPr="00EE54B5">
        <w:rPr>
          <w:rFonts w:ascii="Times New Roman" w:hAnsi="Times New Roman"/>
          <w:bCs/>
          <w:iCs/>
          <w:sz w:val="20"/>
          <w:szCs w:val="20"/>
        </w:rPr>
        <w:t xml:space="preserve"> 20</w:t>
      </w:r>
      <w:r w:rsidRPr="00EE54B5">
        <w:rPr>
          <w:rFonts w:ascii="Times New Roman" w:hAnsi="Times New Roman"/>
          <w:sz w:val="20"/>
          <w:szCs w:val="20"/>
        </w:rPr>
        <w:t xml:space="preserve">7. </w:t>
      </w:r>
    </w:p>
    <w:p w:rsidR="00D57363" w:rsidRPr="00D57363" w:rsidRDefault="00D57363" w:rsidP="00D57363">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autoSpaceDE w:val="0"/>
        <w:autoSpaceDN w:val="0"/>
        <w:adjustRightInd w:val="0"/>
        <w:spacing w:after="0" w:line="240" w:lineRule="auto"/>
        <w:jc w:val="both"/>
        <w:rPr>
          <w:rFonts w:ascii="Times New Roman" w:hAnsi="Times New Roman"/>
          <w:noProof/>
          <w:color w:val="000000"/>
          <w:sz w:val="20"/>
          <w:szCs w:val="20"/>
          <w:lang w:val="ms-MY"/>
        </w:rPr>
      </w:pPr>
    </w:p>
    <w:sectPr w:rsidR="00D57363" w:rsidRPr="00D57363" w:rsidSect="00D5736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0C1E"/>
    <w:multiLevelType w:val="hybridMultilevel"/>
    <w:tmpl w:val="C8B20F3C"/>
    <w:lvl w:ilvl="0" w:tplc="ACF4BF66">
      <w:start w:val="1"/>
      <w:numFmt w:val="decimal"/>
      <w:lvlText w:val="%1."/>
      <w:lvlJc w:val="left"/>
      <w:pPr>
        <w:ind w:left="720" w:hanging="360"/>
      </w:pPr>
      <w:rPr>
        <w:rFonts w:hint="default"/>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363"/>
    <w:rsid w:val="007E5773"/>
    <w:rsid w:val="00B528E0"/>
    <w:rsid w:val="00B971A5"/>
    <w:rsid w:val="00D0718B"/>
    <w:rsid w:val="00D40B1F"/>
    <w:rsid w:val="00D57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36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73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36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73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1471</Words>
  <Characters>8284</Characters>
  <Application>Microsoft Office Word</Application>
  <DocSecurity>0</DocSecurity>
  <Lines>159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2017-11-23T01:52:00Z</dcterms:created>
  <dcterms:modified xsi:type="dcterms:W3CDTF">2017-12-19T03:11:00Z</dcterms:modified>
</cp:coreProperties>
</file>