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7BEC" w:rsidRDefault="004F7BEC" w:rsidP="004F7BEC">
      <w:pPr>
        <w:pStyle w:val="Default"/>
        <w:rPr>
          <w:color w:val="auto"/>
        </w:rPr>
      </w:pPr>
      <w:r>
        <w:rPr>
          <w:color w:val="auto"/>
        </w:rPr>
        <w:t>Malaysian Journal of Analytical Sciences Vol 21 No 6 (2017): 1327 - 1334</w:t>
      </w:r>
    </w:p>
    <w:p w:rsidR="004F7BEC" w:rsidRDefault="004F7BEC" w:rsidP="004F7BEC">
      <w:pPr>
        <w:pStyle w:val="Default"/>
        <w:rPr>
          <w:color w:val="auto"/>
        </w:rPr>
      </w:pPr>
    </w:p>
    <w:p w:rsidR="004F7BEC" w:rsidRDefault="004F7BEC" w:rsidP="004F7BEC">
      <w:pPr>
        <w:pStyle w:val="Default"/>
        <w:rPr>
          <w:color w:val="auto"/>
        </w:rPr>
      </w:pPr>
    </w:p>
    <w:p w:rsidR="004F7BEC" w:rsidRPr="004F7BEC" w:rsidRDefault="004F7BEC" w:rsidP="004F7BEC">
      <w:pPr>
        <w:pStyle w:val="Default"/>
        <w:rPr>
          <w:color w:val="auto"/>
        </w:rPr>
      </w:pPr>
    </w:p>
    <w:p w:rsidR="004F7BEC" w:rsidRPr="00E4513F" w:rsidRDefault="004F7BEC" w:rsidP="004F7BEC">
      <w:pPr>
        <w:pStyle w:val="Default"/>
        <w:jc w:val="center"/>
        <w:rPr>
          <w:color w:val="auto"/>
          <w:sz w:val="28"/>
          <w:szCs w:val="28"/>
        </w:rPr>
      </w:pPr>
      <w:r w:rsidRPr="00E4513F">
        <w:rPr>
          <w:color w:val="auto"/>
          <w:sz w:val="28"/>
          <w:szCs w:val="28"/>
        </w:rPr>
        <w:t>MOLECULARLY IMPRINTED POLYMER-COATED QUARTZ CRYSTAL MICROBALANCE FOR DETECTION OF PARATHION</w:t>
      </w:r>
    </w:p>
    <w:p w:rsidR="004F7BEC" w:rsidRPr="00E923DA" w:rsidRDefault="004F7BEC" w:rsidP="004F7BEC">
      <w:pPr>
        <w:pStyle w:val="Default"/>
        <w:jc w:val="center"/>
        <w:rPr>
          <w:color w:val="auto"/>
        </w:rPr>
      </w:pPr>
    </w:p>
    <w:p w:rsidR="004F7BEC" w:rsidRPr="00E923DA" w:rsidRDefault="004F7BEC" w:rsidP="004F7BEC">
      <w:pPr>
        <w:pStyle w:val="Default"/>
        <w:jc w:val="center"/>
        <w:rPr>
          <w:noProof/>
          <w:color w:val="auto"/>
          <w:lang w:val="es-ES"/>
        </w:rPr>
      </w:pPr>
      <w:r w:rsidRPr="00E923DA">
        <w:rPr>
          <w:noProof/>
          <w:color w:val="auto"/>
          <w:lang w:val="es-ES"/>
        </w:rPr>
        <w:t>(Polimer Molekul Tercetak Saduran Kristal Kuarza Penimbang Mikro bagi Penentuan Parathion)</w:t>
      </w:r>
    </w:p>
    <w:p w:rsidR="004F7BEC" w:rsidRPr="00E923DA" w:rsidRDefault="004F7BEC" w:rsidP="004F7BEC">
      <w:pPr>
        <w:pStyle w:val="Default"/>
        <w:jc w:val="center"/>
        <w:rPr>
          <w:color w:val="auto"/>
          <w:sz w:val="20"/>
          <w:szCs w:val="20"/>
          <w:lang w:val="es-ES"/>
        </w:rPr>
      </w:pPr>
      <w:r w:rsidRPr="00E4513F" w:rsidDel="0045522A">
        <w:rPr>
          <w:color w:val="auto"/>
          <w:sz w:val="28"/>
          <w:szCs w:val="28"/>
          <w:lang w:val="es-ES"/>
        </w:rPr>
        <w:t xml:space="preserve"> </w:t>
      </w:r>
    </w:p>
    <w:p w:rsidR="004F7BEC" w:rsidRPr="00AE7E0D" w:rsidRDefault="004F7BEC" w:rsidP="004F7BEC">
      <w:pPr>
        <w:pStyle w:val="Default"/>
        <w:jc w:val="center"/>
        <w:rPr>
          <w:color w:val="auto"/>
          <w:sz w:val="20"/>
          <w:szCs w:val="20"/>
          <w:lang w:val="es-ES"/>
        </w:rPr>
      </w:pPr>
      <w:r w:rsidRPr="00AE7E0D">
        <w:rPr>
          <w:color w:val="auto"/>
          <w:sz w:val="20"/>
          <w:szCs w:val="20"/>
          <w:lang w:val="es-ES"/>
        </w:rPr>
        <w:t>Xiamin Cheng</w:t>
      </w:r>
      <w:r w:rsidRPr="00AE7E0D">
        <w:rPr>
          <w:color w:val="auto"/>
          <w:sz w:val="20"/>
          <w:szCs w:val="20"/>
          <w:vertAlign w:val="superscript"/>
          <w:lang w:val="es-ES"/>
        </w:rPr>
        <w:t>1, 3</w:t>
      </w:r>
      <w:r w:rsidRPr="00AE7E0D">
        <w:rPr>
          <w:color w:val="auto"/>
          <w:sz w:val="20"/>
          <w:szCs w:val="20"/>
          <w:lang w:val="es-ES"/>
        </w:rPr>
        <w:t>, Qihui Zhang</w:t>
      </w:r>
      <w:r w:rsidRPr="00AE7E0D">
        <w:rPr>
          <w:color w:val="auto"/>
          <w:sz w:val="20"/>
          <w:szCs w:val="20"/>
          <w:vertAlign w:val="superscript"/>
          <w:lang w:val="es-ES"/>
        </w:rPr>
        <w:t>2</w:t>
      </w:r>
      <w:r w:rsidRPr="00AE7E0D">
        <w:rPr>
          <w:color w:val="auto"/>
          <w:sz w:val="20"/>
          <w:szCs w:val="20"/>
          <w:lang w:val="es-ES"/>
        </w:rPr>
        <w:t>, Sam Fong Yau Li</w:t>
      </w:r>
      <w:r w:rsidRPr="00AE7E0D">
        <w:rPr>
          <w:color w:val="auto"/>
          <w:sz w:val="20"/>
          <w:szCs w:val="20"/>
          <w:vertAlign w:val="superscript"/>
          <w:lang w:val="es-ES"/>
        </w:rPr>
        <w:t>1, 2</w:t>
      </w:r>
      <w:r w:rsidRPr="00AE7E0D">
        <w:rPr>
          <w:color w:val="auto"/>
          <w:sz w:val="20"/>
          <w:szCs w:val="20"/>
          <w:lang w:val="es-ES"/>
        </w:rPr>
        <w:t>*, Bin Liu</w:t>
      </w:r>
      <w:r w:rsidRPr="00AE7E0D">
        <w:rPr>
          <w:color w:val="auto"/>
          <w:sz w:val="20"/>
          <w:szCs w:val="20"/>
          <w:vertAlign w:val="superscript"/>
          <w:lang w:val="es-ES"/>
        </w:rPr>
        <w:t>3</w:t>
      </w:r>
    </w:p>
    <w:p w:rsidR="004F7BEC" w:rsidRPr="004F7BEC" w:rsidRDefault="004F7BEC" w:rsidP="004F7BEC">
      <w:pPr>
        <w:spacing w:after="0" w:line="240" w:lineRule="auto"/>
        <w:jc w:val="center"/>
        <w:rPr>
          <w:rFonts w:ascii="Times New Roman" w:hAnsi="Times New Roman"/>
          <w:noProof/>
          <w:sz w:val="20"/>
          <w:szCs w:val="20"/>
          <w:lang w:bidi="ar-SA"/>
        </w:rPr>
      </w:pPr>
    </w:p>
    <w:p w:rsidR="004F7BEC" w:rsidRPr="004F7BEC" w:rsidRDefault="004F7BEC" w:rsidP="004F7BEC">
      <w:pPr>
        <w:pStyle w:val="Default"/>
        <w:jc w:val="center"/>
        <w:rPr>
          <w:i/>
          <w:color w:val="auto"/>
          <w:sz w:val="20"/>
          <w:szCs w:val="20"/>
        </w:rPr>
      </w:pPr>
      <w:r w:rsidRPr="004F7BEC">
        <w:rPr>
          <w:i/>
          <w:color w:val="auto"/>
          <w:sz w:val="20"/>
          <w:szCs w:val="20"/>
          <w:vertAlign w:val="superscript"/>
        </w:rPr>
        <w:t>1</w:t>
      </w:r>
      <w:r w:rsidRPr="004F7BEC">
        <w:rPr>
          <w:i/>
          <w:color w:val="auto"/>
          <w:sz w:val="20"/>
          <w:szCs w:val="20"/>
        </w:rPr>
        <w:t>NUS Environmental Research Institute,</w:t>
      </w:r>
    </w:p>
    <w:p w:rsidR="004F7BEC" w:rsidRPr="004F7BEC" w:rsidRDefault="004F7BEC" w:rsidP="004F7BEC">
      <w:pPr>
        <w:pStyle w:val="Default"/>
        <w:jc w:val="center"/>
        <w:rPr>
          <w:i/>
          <w:color w:val="auto"/>
          <w:sz w:val="20"/>
          <w:szCs w:val="20"/>
        </w:rPr>
      </w:pPr>
      <w:r w:rsidRPr="004F7BEC">
        <w:rPr>
          <w:i/>
          <w:color w:val="auto"/>
          <w:sz w:val="20"/>
          <w:szCs w:val="20"/>
        </w:rPr>
        <w:t>5A Engineering Drive 1, T-Lab Building, 117411, Singapore</w:t>
      </w:r>
    </w:p>
    <w:p w:rsidR="004F7BEC" w:rsidRPr="004F7BEC" w:rsidRDefault="004F7BEC" w:rsidP="004F7BEC">
      <w:pPr>
        <w:pStyle w:val="Default"/>
        <w:jc w:val="center"/>
        <w:rPr>
          <w:i/>
          <w:color w:val="auto"/>
          <w:sz w:val="20"/>
          <w:szCs w:val="20"/>
        </w:rPr>
      </w:pPr>
      <w:r w:rsidRPr="004F7BEC">
        <w:rPr>
          <w:i/>
          <w:color w:val="auto"/>
          <w:sz w:val="20"/>
          <w:szCs w:val="20"/>
          <w:vertAlign w:val="superscript"/>
        </w:rPr>
        <w:t>2</w:t>
      </w:r>
      <w:r w:rsidRPr="004F7BEC">
        <w:rPr>
          <w:i/>
          <w:color w:val="auto"/>
          <w:sz w:val="20"/>
          <w:szCs w:val="20"/>
        </w:rPr>
        <w:t xml:space="preserve">Department of Chemistry, </w:t>
      </w:r>
    </w:p>
    <w:p w:rsidR="004F7BEC" w:rsidRPr="004F7BEC" w:rsidRDefault="004F7BEC" w:rsidP="004F7BEC">
      <w:pPr>
        <w:pStyle w:val="Default"/>
        <w:jc w:val="center"/>
        <w:rPr>
          <w:i/>
          <w:color w:val="auto"/>
          <w:sz w:val="20"/>
          <w:szCs w:val="20"/>
        </w:rPr>
      </w:pPr>
      <w:r w:rsidRPr="004F7BEC">
        <w:rPr>
          <w:i/>
          <w:color w:val="auto"/>
          <w:sz w:val="20"/>
          <w:szCs w:val="20"/>
        </w:rPr>
        <w:t>National University of Singapore, 3 Science Drive 3, 117543, Singapore</w:t>
      </w:r>
    </w:p>
    <w:p w:rsidR="004F7BEC" w:rsidRPr="004F7BEC" w:rsidRDefault="004F7BEC" w:rsidP="004F7BEC">
      <w:pPr>
        <w:pStyle w:val="Default"/>
        <w:jc w:val="center"/>
        <w:rPr>
          <w:i/>
          <w:color w:val="auto"/>
          <w:sz w:val="20"/>
          <w:szCs w:val="20"/>
        </w:rPr>
      </w:pPr>
      <w:r w:rsidRPr="004F7BEC">
        <w:rPr>
          <w:i/>
          <w:color w:val="auto"/>
          <w:sz w:val="20"/>
          <w:szCs w:val="20"/>
          <w:vertAlign w:val="superscript"/>
        </w:rPr>
        <w:t>3</w:t>
      </w:r>
      <w:r w:rsidRPr="004F7BEC">
        <w:rPr>
          <w:i/>
          <w:color w:val="auto"/>
          <w:sz w:val="20"/>
          <w:szCs w:val="20"/>
        </w:rPr>
        <w:t xml:space="preserve">Department of Chemical &amp; Biomolecular Engineering, </w:t>
      </w:r>
    </w:p>
    <w:p w:rsidR="004F7BEC" w:rsidRPr="004F7BEC" w:rsidRDefault="004F7BEC" w:rsidP="004F7BEC">
      <w:pPr>
        <w:pStyle w:val="Default"/>
        <w:jc w:val="center"/>
        <w:rPr>
          <w:i/>
          <w:color w:val="auto"/>
          <w:sz w:val="20"/>
          <w:szCs w:val="20"/>
        </w:rPr>
      </w:pPr>
      <w:r w:rsidRPr="004F7BEC">
        <w:rPr>
          <w:i/>
          <w:color w:val="auto"/>
          <w:sz w:val="20"/>
          <w:szCs w:val="20"/>
        </w:rPr>
        <w:t>National University of Singapore, Engineering Drive 4, Blk E5 #02-17, 117585, Singapore</w:t>
      </w:r>
    </w:p>
    <w:p w:rsidR="004F7BEC" w:rsidRPr="004F7BEC" w:rsidRDefault="004F7BEC" w:rsidP="004F7BEC">
      <w:pPr>
        <w:spacing w:after="0" w:line="240" w:lineRule="auto"/>
        <w:jc w:val="center"/>
        <w:rPr>
          <w:rFonts w:ascii="Times New Roman" w:hAnsi="Times New Roman"/>
          <w:noProof/>
          <w:sz w:val="20"/>
          <w:szCs w:val="20"/>
          <w:lang w:bidi="ar-SA"/>
        </w:rPr>
      </w:pPr>
    </w:p>
    <w:p w:rsidR="004F7BEC" w:rsidRPr="004F7BEC" w:rsidRDefault="004F7BEC" w:rsidP="004F7BEC">
      <w:pPr>
        <w:spacing w:after="0" w:line="240" w:lineRule="auto"/>
        <w:jc w:val="center"/>
        <w:rPr>
          <w:rFonts w:ascii="Times New Roman" w:hAnsi="Times New Roman"/>
          <w:i/>
          <w:noProof/>
          <w:sz w:val="20"/>
          <w:szCs w:val="20"/>
          <w:lang w:bidi="ar-SA"/>
        </w:rPr>
      </w:pPr>
      <w:r w:rsidRPr="004F7BEC">
        <w:rPr>
          <w:rFonts w:ascii="Times New Roman" w:hAnsi="Times New Roman"/>
          <w:i/>
          <w:noProof/>
          <w:sz w:val="20"/>
          <w:szCs w:val="20"/>
          <w:lang w:bidi="ar-SA"/>
        </w:rPr>
        <w:t xml:space="preserve">*Corresponding author:  </w:t>
      </w:r>
      <w:r w:rsidRPr="004F7BEC">
        <w:rPr>
          <w:rFonts w:ascii="Times New Roman" w:hAnsi="Times New Roman"/>
          <w:i/>
          <w:sz w:val="20"/>
          <w:szCs w:val="20"/>
        </w:rPr>
        <w:t>chmlifys@nus.edu.sg</w:t>
      </w:r>
    </w:p>
    <w:p w:rsidR="004F7BEC" w:rsidRPr="004F7BEC" w:rsidRDefault="004F7BEC" w:rsidP="004F7BEC">
      <w:pPr>
        <w:spacing w:after="0" w:line="240" w:lineRule="auto"/>
        <w:jc w:val="center"/>
        <w:rPr>
          <w:rFonts w:ascii="Times New Roman" w:hAnsi="Times New Roman"/>
          <w:noProof/>
          <w:sz w:val="20"/>
          <w:szCs w:val="20"/>
          <w:lang w:bidi="ar-SA"/>
        </w:rPr>
      </w:pPr>
    </w:p>
    <w:p w:rsidR="004F7BEC" w:rsidRPr="004F7BEC" w:rsidRDefault="004F7BEC" w:rsidP="004F7BEC">
      <w:pPr>
        <w:spacing w:after="0" w:line="240" w:lineRule="auto"/>
        <w:jc w:val="center"/>
        <w:rPr>
          <w:rFonts w:ascii="Times New Roman" w:hAnsi="Times New Roman"/>
          <w:noProof/>
          <w:sz w:val="20"/>
          <w:szCs w:val="20"/>
          <w:lang w:bidi="ar-SA"/>
        </w:rPr>
      </w:pPr>
    </w:p>
    <w:p w:rsidR="004F7BEC" w:rsidRPr="004F7BEC" w:rsidRDefault="004F7BEC" w:rsidP="004F7BEC">
      <w:pPr>
        <w:spacing w:after="0" w:line="240" w:lineRule="auto"/>
        <w:jc w:val="center"/>
        <w:rPr>
          <w:rFonts w:ascii="Times New Roman" w:hAnsi="Times New Roman"/>
          <w:noProof/>
          <w:sz w:val="20"/>
          <w:szCs w:val="20"/>
          <w:lang w:bidi="ar-SA"/>
        </w:rPr>
      </w:pPr>
      <w:r w:rsidRPr="004F7BEC">
        <w:rPr>
          <w:rFonts w:ascii="Times New Roman" w:hAnsi="Times New Roman"/>
          <w:noProof/>
          <w:sz w:val="20"/>
          <w:szCs w:val="20"/>
          <w:lang w:bidi="ar-SA"/>
        </w:rPr>
        <w:t>Received: 7 November 2016; Accepted: 18 September 2017</w:t>
      </w:r>
    </w:p>
    <w:p w:rsidR="004F7BEC" w:rsidRPr="004F7BEC" w:rsidRDefault="004F7BEC" w:rsidP="004F7BEC">
      <w:pPr>
        <w:spacing w:after="0" w:line="240" w:lineRule="auto"/>
        <w:jc w:val="center"/>
        <w:rPr>
          <w:rFonts w:ascii="Times New Roman" w:hAnsi="Times New Roman"/>
          <w:noProof/>
          <w:sz w:val="20"/>
          <w:szCs w:val="20"/>
          <w:lang w:bidi="ar-SA"/>
        </w:rPr>
      </w:pPr>
    </w:p>
    <w:p w:rsidR="004F7BEC" w:rsidRPr="004F7BEC" w:rsidRDefault="004F7BEC" w:rsidP="004F7BEC">
      <w:pPr>
        <w:spacing w:after="0" w:line="240" w:lineRule="auto"/>
        <w:jc w:val="center"/>
        <w:rPr>
          <w:rFonts w:ascii="Times New Roman" w:hAnsi="Times New Roman"/>
          <w:noProof/>
          <w:sz w:val="20"/>
          <w:szCs w:val="20"/>
          <w:lang w:bidi="ar-SA"/>
        </w:rPr>
      </w:pPr>
    </w:p>
    <w:p w:rsidR="004F7BEC" w:rsidRPr="004F7BEC" w:rsidRDefault="004F7BEC" w:rsidP="004F7BEC">
      <w:pPr>
        <w:spacing w:after="0" w:line="240" w:lineRule="auto"/>
        <w:jc w:val="center"/>
        <w:rPr>
          <w:rFonts w:ascii="Times New Roman" w:hAnsi="Times New Roman"/>
          <w:b/>
          <w:noProof/>
          <w:sz w:val="20"/>
          <w:szCs w:val="20"/>
          <w:lang w:bidi="ar-SA"/>
        </w:rPr>
      </w:pPr>
      <w:r w:rsidRPr="004F7BEC">
        <w:rPr>
          <w:rFonts w:ascii="Times New Roman" w:hAnsi="Times New Roman"/>
          <w:b/>
          <w:noProof/>
          <w:sz w:val="20"/>
          <w:szCs w:val="20"/>
          <w:lang w:bidi="ar-SA"/>
        </w:rPr>
        <w:t>Abstract</w:t>
      </w:r>
    </w:p>
    <w:p w:rsidR="004F7BEC" w:rsidRPr="004F7BEC" w:rsidRDefault="004F7BEC" w:rsidP="004F7BEC">
      <w:pPr>
        <w:pStyle w:val="Default"/>
        <w:jc w:val="both"/>
        <w:rPr>
          <w:color w:val="auto"/>
          <w:sz w:val="20"/>
          <w:szCs w:val="20"/>
        </w:rPr>
      </w:pPr>
      <w:r w:rsidRPr="004F7BEC">
        <w:rPr>
          <w:color w:val="auto"/>
          <w:sz w:val="20"/>
          <w:szCs w:val="20"/>
        </w:rPr>
        <w:t>Organophosphorus compounds (OPs) as important components of insecticides, pesticides, and chemical threat agents (CTA), have become more and more serious threats to the environment. Real-time monitoring of the threats is an urgent demand for environmental safety. The molecular imprinting polymer (MIP) technique is an attractive method for the generation of polymer-based molecular “memory” for a present target or group of target molecules. In this work, we integrate a novel MIP with quartz crystal microbalance (QCM) to build a simple sensor to selectively monitor OP in water samples in real-time. The MIP system was built up by polymerization of methacryalic acid</w:t>
      </w:r>
      <w:r w:rsidRPr="004F7BEC" w:rsidDel="006B54BF">
        <w:rPr>
          <w:color w:val="auto"/>
          <w:sz w:val="20"/>
          <w:szCs w:val="20"/>
        </w:rPr>
        <w:t xml:space="preserve"> </w:t>
      </w:r>
      <w:r w:rsidRPr="004F7BEC">
        <w:rPr>
          <w:color w:val="auto"/>
          <w:sz w:val="20"/>
          <w:szCs w:val="20"/>
        </w:rPr>
        <w:t>(MAA) with divinylbenzene (DVB), initiated with 2,2’-azobis(2-methylpropionitrile) (AIBN) in presence of target. The polymer was characterized with FT-IR. Using parathion as a representative template, the MIP was coated on QCM by casting a semi-polymerized solution. The sensor could detect parathion in wide range from 290 ppb to 29 ppm. This sensor is stable, easy to prepare which can be reused and has the potential to be applied other analytes, which are threats to the environment.</w:t>
      </w:r>
    </w:p>
    <w:p w:rsidR="004F7BEC" w:rsidRPr="004F7BEC" w:rsidRDefault="004F7BEC" w:rsidP="004F7BEC">
      <w:pPr>
        <w:pStyle w:val="Default"/>
        <w:jc w:val="both"/>
        <w:rPr>
          <w:color w:val="auto"/>
          <w:sz w:val="20"/>
          <w:szCs w:val="20"/>
        </w:rPr>
      </w:pPr>
    </w:p>
    <w:p w:rsidR="004F7BEC" w:rsidRPr="004F7BEC" w:rsidRDefault="004F7BEC" w:rsidP="004F7BEC">
      <w:pPr>
        <w:pStyle w:val="Default"/>
        <w:jc w:val="both"/>
        <w:rPr>
          <w:color w:val="auto"/>
          <w:sz w:val="20"/>
          <w:szCs w:val="20"/>
        </w:rPr>
      </w:pPr>
      <w:r w:rsidRPr="004F7BEC">
        <w:rPr>
          <w:b/>
          <w:bCs/>
          <w:color w:val="auto"/>
          <w:sz w:val="20"/>
          <w:szCs w:val="20"/>
        </w:rPr>
        <w:t xml:space="preserve">Keywords: </w:t>
      </w:r>
      <w:r w:rsidRPr="004F7BEC">
        <w:rPr>
          <w:color w:val="auto"/>
          <w:sz w:val="20"/>
          <w:szCs w:val="20"/>
        </w:rPr>
        <w:t xml:space="preserve"> organophosphorus compounds, molecular imprinting polymer, quartz crystal microbalance, parathion </w:t>
      </w:r>
    </w:p>
    <w:p w:rsidR="004F7BEC" w:rsidRPr="004F7BEC" w:rsidRDefault="004F7BEC" w:rsidP="004F7BEC">
      <w:pPr>
        <w:pStyle w:val="Default"/>
        <w:jc w:val="center"/>
        <w:rPr>
          <w:color w:val="auto"/>
          <w:sz w:val="20"/>
          <w:szCs w:val="20"/>
        </w:rPr>
      </w:pPr>
    </w:p>
    <w:p w:rsidR="004F7BEC" w:rsidRPr="004F7BEC" w:rsidRDefault="004F7BEC" w:rsidP="004F7BEC">
      <w:pPr>
        <w:pStyle w:val="Default"/>
        <w:jc w:val="center"/>
        <w:rPr>
          <w:b/>
          <w:bCs/>
          <w:noProof/>
          <w:color w:val="auto"/>
          <w:sz w:val="20"/>
          <w:szCs w:val="20"/>
        </w:rPr>
      </w:pPr>
      <w:r w:rsidRPr="004F7BEC">
        <w:rPr>
          <w:b/>
          <w:bCs/>
          <w:noProof/>
          <w:color w:val="auto"/>
          <w:sz w:val="20"/>
          <w:szCs w:val="20"/>
        </w:rPr>
        <w:t>Abstrak</w:t>
      </w:r>
    </w:p>
    <w:p w:rsidR="004F7BEC" w:rsidRPr="004F7BEC" w:rsidRDefault="004F7BEC" w:rsidP="004F7BEC">
      <w:pPr>
        <w:pStyle w:val="Default"/>
        <w:jc w:val="both"/>
        <w:rPr>
          <w:noProof/>
          <w:color w:val="auto"/>
          <w:sz w:val="20"/>
          <w:szCs w:val="20"/>
        </w:rPr>
      </w:pPr>
      <w:r w:rsidRPr="004F7BEC">
        <w:rPr>
          <w:noProof/>
          <w:color w:val="auto"/>
          <w:sz w:val="20"/>
          <w:szCs w:val="20"/>
        </w:rPr>
        <w:t xml:space="preserve">Sebatian organofosforus (OPs) adalah kompenen penting bagi racun serangga, racun mahkluk perosak dan agen kimia berbahaya yang telah menjadi ancaman kepada alam sekitar. Pemantauan terhadap ancaman ini telah meningkat berdasarkan kepada keselamatan alam sekitar. Teknik polimer molekul tercetak (MIP) adalah kaedah yang menarik molekul berasaskan polimer yang mempunyai sasaran terhadap molekul tertentu. Dalam kajian ini, MIP tulen bersama penimbang mikro kristal kuarza (QCM) telah disepadu untuk menghasilkan sensor mudah bagi pemantauan terpilih kehadiran OP di dalam sampel air bagi siutuasi sebenar. Sistem MIP telah dibangunkan berdasarkan pempolimeran asid metakrialik (MAA) dan divinilbenzena (DVD), dimulakan dengan kehadiran 2,2’-azobis(2-metilpropionitril)(AIBN) sebagai sasaran. Polimer telah dicirikan menggunakan FT-IR. Menggunakan parathion sebagai templat, MIP disadur ke atas QCM melalui teknik saduran larutan separa polimer. Sensor berupaya mengesan parathio pada julat yang besar dari 290 ppb hingga 29 ppm. Sensor ini adalah stabil, mudah </w:t>
      </w:r>
      <w:r w:rsidRPr="004F7BEC">
        <w:rPr>
          <w:noProof/>
          <w:color w:val="auto"/>
          <w:sz w:val="20"/>
          <w:szCs w:val="20"/>
        </w:rPr>
        <w:lastRenderedPageBreak/>
        <w:t>disediakan, dimana boleh diguna semula dan berpotensi untuk diaplikasi terhadap analit lain yang mengancam alam sekitar.</w:t>
      </w:r>
    </w:p>
    <w:p w:rsidR="004F7BEC" w:rsidRPr="004F7BEC" w:rsidRDefault="004F7BEC" w:rsidP="004F7BEC">
      <w:pPr>
        <w:pStyle w:val="Default"/>
        <w:jc w:val="both"/>
        <w:rPr>
          <w:noProof/>
          <w:color w:val="auto"/>
          <w:sz w:val="20"/>
          <w:szCs w:val="20"/>
        </w:rPr>
      </w:pPr>
    </w:p>
    <w:p w:rsidR="00756508" w:rsidRDefault="004F7BEC" w:rsidP="004F7BEC">
      <w:pPr>
        <w:pStyle w:val="Default"/>
        <w:jc w:val="both"/>
        <w:rPr>
          <w:noProof/>
          <w:color w:val="auto"/>
          <w:sz w:val="20"/>
          <w:szCs w:val="20"/>
        </w:rPr>
      </w:pPr>
      <w:r w:rsidRPr="004F7BEC">
        <w:rPr>
          <w:b/>
          <w:bCs/>
          <w:noProof/>
          <w:color w:val="auto"/>
          <w:sz w:val="20"/>
          <w:szCs w:val="20"/>
        </w:rPr>
        <w:t xml:space="preserve">Kata kunci: </w:t>
      </w:r>
      <w:r w:rsidRPr="004F7BEC">
        <w:rPr>
          <w:noProof/>
          <w:color w:val="auto"/>
          <w:sz w:val="20"/>
          <w:szCs w:val="20"/>
        </w:rPr>
        <w:t xml:space="preserve"> sebatian organofosforus, polimer molekul tercetak, penimbang mikro kristal kuarza, parathion </w:t>
      </w:r>
    </w:p>
    <w:p w:rsidR="004F7BEC" w:rsidRDefault="004F7BEC" w:rsidP="004F7BEC">
      <w:pPr>
        <w:pStyle w:val="Default"/>
        <w:jc w:val="both"/>
        <w:rPr>
          <w:noProof/>
          <w:color w:val="auto"/>
          <w:sz w:val="20"/>
          <w:szCs w:val="20"/>
        </w:rPr>
      </w:pPr>
    </w:p>
    <w:p w:rsidR="004F7BEC" w:rsidRPr="00F447A7" w:rsidRDefault="004F7BEC" w:rsidP="004F7BEC">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4F7BEC" w:rsidRPr="0076015B" w:rsidRDefault="004F7BEC" w:rsidP="004F7BEC">
      <w:pPr>
        <w:pStyle w:val="ListParagraph"/>
        <w:numPr>
          <w:ilvl w:val="0"/>
          <w:numId w:val="1"/>
        </w:numPr>
        <w:spacing w:after="0" w:line="240" w:lineRule="auto"/>
        <w:ind w:left="360"/>
        <w:contextualSpacing w:val="0"/>
        <w:jc w:val="both"/>
        <w:rPr>
          <w:rFonts w:ascii="Times New Roman" w:hAnsi="Times New Roman"/>
          <w:sz w:val="20"/>
          <w:szCs w:val="20"/>
        </w:rPr>
      </w:pPr>
      <w:r w:rsidRPr="0076015B">
        <w:rPr>
          <w:rFonts w:ascii="Times New Roman" w:hAnsi="Times New Roman"/>
          <w:sz w:val="20"/>
          <w:szCs w:val="20"/>
        </w:rPr>
        <w:t xml:space="preserve">Colovic, M. B., Krstic, D. Z., Lazarevic-Pasti, T. D., Bondzic, A. M. and Vasic, V. M. (2013). Acetylcholinesterase inhibitors: Pharmacology and toxicology. </w:t>
      </w:r>
      <w:r w:rsidRPr="0076015B">
        <w:rPr>
          <w:rFonts w:ascii="Times New Roman" w:hAnsi="Times New Roman"/>
          <w:i/>
          <w:iCs/>
          <w:sz w:val="20"/>
          <w:szCs w:val="20"/>
        </w:rPr>
        <w:t>Current Neuropharmacology</w:t>
      </w:r>
      <w:r w:rsidRPr="0076015B">
        <w:rPr>
          <w:rFonts w:ascii="Times New Roman" w:hAnsi="Times New Roman"/>
          <w:sz w:val="20"/>
          <w:szCs w:val="20"/>
        </w:rPr>
        <w:t>, 11(3): 315 – 335.</w:t>
      </w:r>
    </w:p>
    <w:p w:rsidR="004F7BEC" w:rsidRPr="0076015B" w:rsidRDefault="004F7BEC" w:rsidP="004F7BEC">
      <w:pPr>
        <w:pStyle w:val="ListParagraph"/>
        <w:numPr>
          <w:ilvl w:val="0"/>
          <w:numId w:val="1"/>
        </w:numPr>
        <w:spacing w:after="0" w:line="240" w:lineRule="auto"/>
        <w:ind w:left="360"/>
        <w:contextualSpacing w:val="0"/>
        <w:jc w:val="both"/>
        <w:rPr>
          <w:rFonts w:ascii="Times New Roman" w:hAnsi="Times New Roman"/>
          <w:sz w:val="20"/>
          <w:szCs w:val="20"/>
        </w:rPr>
      </w:pPr>
      <w:r w:rsidRPr="0076015B">
        <w:rPr>
          <w:rFonts w:ascii="Times New Roman" w:hAnsi="Times New Roman"/>
          <w:sz w:val="20"/>
          <w:szCs w:val="20"/>
        </w:rPr>
        <w:t xml:space="preserve">Namba, T. (1971). Cholinesterase inhibition by organophosphorus compounds and its clinical effects. </w:t>
      </w:r>
      <w:r w:rsidRPr="0076015B">
        <w:rPr>
          <w:rFonts w:ascii="Times New Roman" w:hAnsi="Times New Roman"/>
          <w:i/>
          <w:iCs/>
          <w:sz w:val="20"/>
          <w:szCs w:val="20"/>
        </w:rPr>
        <w:t>Bulletin World Health Organization,</w:t>
      </w:r>
      <w:r w:rsidRPr="0076015B">
        <w:rPr>
          <w:rFonts w:ascii="Times New Roman" w:hAnsi="Times New Roman"/>
          <w:sz w:val="20"/>
          <w:szCs w:val="20"/>
        </w:rPr>
        <w:t xml:space="preserve"> 44(1-3): 289 – 307.</w:t>
      </w:r>
    </w:p>
    <w:p w:rsidR="004F7BEC" w:rsidRPr="0076015B" w:rsidRDefault="004F7BEC" w:rsidP="004F7BEC">
      <w:pPr>
        <w:pStyle w:val="ListParagraph"/>
        <w:numPr>
          <w:ilvl w:val="0"/>
          <w:numId w:val="1"/>
        </w:numPr>
        <w:spacing w:after="0" w:line="240" w:lineRule="auto"/>
        <w:ind w:left="360"/>
        <w:contextualSpacing w:val="0"/>
        <w:jc w:val="both"/>
        <w:rPr>
          <w:rFonts w:ascii="Times New Roman" w:hAnsi="Times New Roman"/>
          <w:sz w:val="20"/>
          <w:szCs w:val="20"/>
        </w:rPr>
      </w:pPr>
      <w:r w:rsidRPr="0076015B">
        <w:rPr>
          <w:rFonts w:ascii="Times New Roman" w:hAnsi="Times New Roman"/>
          <w:sz w:val="20"/>
          <w:szCs w:val="20"/>
        </w:rPr>
        <w:t xml:space="preserve">Delfino, R. T., Ribeiro, T. S. and Figueroa-Villar, J. D. (2009). Organophosphorus compounds as chemical warfare agents: A review. </w:t>
      </w:r>
      <w:r w:rsidRPr="0076015B">
        <w:rPr>
          <w:rFonts w:ascii="Times New Roman" w:hAnsi="Times New Roman"/>
          <w:i/>
          <w:iCs/>
          <w:sz w:val="20"/>
          <w:szCs w:val="20"/>
        </w:rPr>
        <w:t>Journal of the Brazilian Chemical Society</w:t>
      </w:r>
      <w:r w:rsidRPr="0076015B">
        <w:rPr>
          <w:rFonts w:ascii="Times New Roman" w:hAnsi="Times New Roman"/>
          <w:sz w:val="20"/>
          <w:szCs w:val="20"/>
        </w:rPr>
        <w:t>, 20(3): 407 – 428.</w:t>
      </w:r>
    </w:p>
    <w:p w:rsidR="004F7BEC" w:rsidRPr="0076015B" w:rsidRDefault="004F7BEC" w:rsidP="004F7BEC">
      <w:pPr>
        <w:pStyle w:val="ListParagraph"/>
        <w:numPr>
          <w:ilvl w:val="0"/>
          <w:numId w:val="1"/>
        </w:numPr>
        <w:spacing w:after="0" w:line="240" w:lineRule="auto"/>
        <w:ind w:left="360"/>
        <w:contextualSpacing w:val="0"/>
        <w:jc w:val="both"/>
        <w:rPr>
          <w:rFonts w:ascii="Times New Roman" w:hAnsi="Times New Roman"/>
          <w:sz w:val="20"/>
          <w:szCs w:val="20"/>
        </w:rPr>
      </w:pPr>
      <w:r w:rsidRPr="0076015B">
        <w:rPr>
          <w:rFonts w:ascii="Times New Roman" w:hAnsi="Times New Roman"/>
          <w:sz w:val="20"/>
          <w:szCs w:val="20"/>
        </w:rPr>
        <w:t xml:space="preserve">Obare, S. O., De, C., Guo, W., Haywood, T. L., Samuels, T. A., Adams, C. P., Masika, N. O., Murray, D. H., Anderson, G. A., Campbell, K. and Fletcher, K. (2010). Fluorescent chemosensors for toxic organophosphorus pesticides: A review. </w:t>
      </w:r>
      <w:r w:rsidRPr="0076015B">
        <w:rPr>
          <w:rFonts w:ascii="Times New Roman" w:hAnsi="Times New Roman"/>
          <w:i/>
          <w:iCs/>
          <w:sz w:val="20"/>
          <w:szCs w:val="20"/>
        </w:rPr>
        <w:t>Sensors</w:t>
      </w:r>
      <w:r w:rsidRPr="0076015B">
        <w:rPr>
          <w:rFonts w:ascii="Times New Roman" w:hAnsi="Times New Roman"/>
          <w:sz w:val="20"/>
          <w:szCs w:val="20"/>
        </w:rPr>
        <w:t>, 10(7): 7018 – 7043.</w:t>
      </w:r>
    </w:p>
    <w:p w:rsidR="004F7BEC" w:rsidRPr="0076015B" w:rsidRDefault="004F7BEC" w:rsidP="004F7BEC">
      <w:pPr>
        <w:pStyle w:val="ListParagraph"/>
        <w:numPr>
          <w:ilvl w:val="0"/>
          <w:numId w:val="1"/>
        </w:numPr>
        <w:spacing w:after="0" w:line="240" w:lineRule="auto"/>
        <w:ind w:left="360"/>
        <w:contextualSpacing w:val="0"/>
        <w:jc w:val="both"/>
        <w:rPr>
          <w:rFonts w:ascii="Times New Roman" w:hAnsi="Times New Roman"/>
          <w:sz w:val="20"/>
          <w:szCs w:val="20"/>
        </w:rPr>
      </w:pPr>
      <w:r w:rsidRPr="0076015B">
        <w:rPr>
          <w:rFonts w:ascii="Times New Roman" w:hAnsi="Times New Roman"/>
          <w:sz w:val="20"/>
          <w:szCs w:val="20"/>
        </w:rPr>
        <w:t xml:space="preserve">Chang, P. L., Hsieh, M. M. and Chiu, T. C. (2016). Recent advances in the determination of pesticides in environmental samples by capillary electrophoresis. </w:t>
      </w:r>
      <w:r w:rsidRPr="0076015B">
        <w:rPr>
          <w:rFonts w:ascii="Times New Roman" w:hAnsi="Times New Roman"/>
          <w:i/>
          <w:iCs/>
          <w:sz w:val="20"/>
          <w:szCs w:val="20"/>
        </w:rPr>
        <w:t>International Journal of Environmental Research and Public Health</w:t>
      </w:r>
      <w:r w:rsidRPr="0076015B">
        <w:rPr>
          <w:rFonts w:ascii="Times New Roman" w:hAnsi="Times New Roman"/>
          <w:sz w:val="20"/>
          <w:szCs w:val="20"/>
        </w:rPr>
        <w:t>, 13(4), 409.</w:t>
      </w:r>
    </w:p>
    <w:p w:rsidR="004F7BEC" w:rsidRPr="0076015B" w:rsidRDefault="004F7BEC" w:rsidP="004F7BEC">
      <w:pPr>
        <w:pStyle w:val="ListParagraph"/>
        <w:numPr>
          <w:ilvl w:val="0"/>
          <w:numId w:val="1"/>
        </w:numPr>
        <w:spacing w:after="0" w:line="240" w:lineRule="auto"/>
        <w:ind w:left="360"/>
        <w:contextualSpacing w:val="0"/>
        <w:jc w:val="both"/>
        <w:rPr>
          <w:rFonts w:ascii="Times New Roman" w:hAnsi="Times New Roman"/>
          <w:sz w:val="20"/>
          <w:szCs w:val="20"/>
        </w:rPr>
      </w:pPr>
      <w:r w:rsidRPr="0076015B">
        <w:rPr>
          <w:rFonts w:ascii="Times New Roman" w:hAnsi="Times New Roman"/>
          <w:sz w:val="20"/>
          <w:szCs w:val="20"/>
        </w:rPr>
        <w:t xml:space="preserve">Hiramatsu, K., Miura, H., Kamei, S., Iwasaki, K. and Kawakita, M. (1998). Development of a sensitive and accurate enzyme-linked immunosorbent assay (ELISA) system that can replace HPLC analysis for the determination of N 1, N 12-diacetylspermine in human urine. </w:t>
      </w:r>
      <w:r w:rsidRPr="0076015B">
        <w:rPr>
          <w:rFonts w:ascii="Times New Roman" w:hAnsi="Times New Roman"/>
          <w:i/>
          <w:sz w:val="20"/>
          <w:szCs w:val="20"/>
        </w:rPr>
        <w:t>Journal of Biochemistry</w:t>
      </w:r>
      <w:r w:rsidRPr="0076015B">
        <w:rPr>
          <w:rFonts w:ascii="Times New Roman" w:hAnsi="Times New Roman"/>
          <w:sz w:val="20"/>
          <w:szCs w:val="20"/>
        </w:rPr>
        <w:t>, 124(1): 231 – 236.</w:t>
      </w:r>
    </w:p>
    <w:p w:rsidR="004F7BEC" w:rsidRPr="0076015B" w:rsidRDefault="004F7BEC" w:rsidP="004F7BEC">
      <w:pPr>
        <w:pStyle w:val="ListParagraph"/>
        <w:numPr>
          <w:ilvl w:val="0"/>
          <w:numId w:val="1"/>
        </w:numPr>
        <w:spacing w:after="0" w:line="240" w:lineRule="auto"/>
        <w:ind w:left="360"/>
        <w:contextualSpacing w:val="0"/>
        <w:jc w:val="both"/>
        <w:rPr>
          <w:rFonts w:ascii="Times New Roman" w:hAnsi="Times New Roman"/>
          <w:sz w:val="20"/>
          <w:szCs w:val="20"/>
        </w:rPr>
      </w:pPr>
      <w:r w:rsidRPr="0076015B">
        <w:rPr>
          <w:rFonts w:ascii="Times New Roman" w:hAnsi="Times New Roman"/>
          <w:sz w:val="20"/>
          <w:szCs w:val="20"/>
        </w:rPr>
        <w:t xml:space="preserve">Wang, X., Qiao, X., Ma, Y., Zhao, T. and Xu, Z. (2013). Simultaneous determination of nine trace organophosphorous pesticide residues in fruit samples using molecularly imprinted matrix solid-phase dispersion followed by gas chromatography. </w:t>
      </w:r>
      <w:r w:rsidRPr="0076015B">
        <w:rPr>
          <w:rFonts w:ascii="Times New Roman" w:hAnsi="Times New Roman"/>
          <w:i/>
          <w:sz w:val="20"/>
          <w:szCs w:val="20"/>
        </w:rPr>
        <w:t>Journal of Agricultural and Food Chemistry</w:t>
      </w:r>
      <w:r w:rsidRPr="0076015B">
        <w:rPr>
          <w:rFonts w:ascii="Times New Roman" w:hAnsi="Times New Roman"/>
          <w:sz w:val="20"/>
          <w:szCs w:val="20"/>
        </w:rPr>
        <w:t>, 61(16): 3821 – 3827.</w:t>
      </w:r>
    </w:p>
    <w:p w:rsidR="004F7BEC" w:rsidRPr="0076015B" w:rsidRDefault="004F7BEC" w:rsidP="004F7BEC">
      <w:pPr>
        <w:pStyle w:val="ListParagraph"/>
        <w:numPr>
          <w:ilvl w:val="0"/>
          <w:numId w:val="1"/>
        </w:numPr>
        <w:spacing w:after="0" w:line="240" w:lineRule="auto"/>
        <w:ind w:left="360"/>
        <w:contextualSpacing w:val="0"/>
        <w:jc w:val="both"/>
        <w:rPr>
          <w:rFonts w:ascii="Times New Roman" w:hAnsi="Times New Roman"/>
          <w:sz w:val="20"/>
          <w:szCs w:val="20"/>
        </w:rPr>
      </w:pPr>
      <w:r w:rsidRPr="0076015B">
        <w:rPr>
          <w:rFonts w:ascii="Times New Roman" w:hAnsi="Times New Roman"/>
          <w:sz w:val="20"/>
          <w:szCs w:val="20"/>
        </w:rPr>
        <w:t xml:space="preserve">Pico, Y., Louter, A. J., Vreuls, J. J. and Udo, A. T. (1994). On-line trace-level enrichment gas chromatography of triazine herbicides, organophosphorus pesticides, and organosulfur compounds from drinking and surface waters. </w:t>
      </w:r>
      <w:r w:rsidRPr="0076015B">
        <w:rPr>
          <w:rFonts w:ascii="Times New Roman" w:hAnsi="Times New Roman"/>
          <w:i/>
          <w:sz w:val="20"/>
          <w:szCs w:val="20"/>
        </w:rPr>
        <w:t>Analyst</w:t>
      </w:r>
      <w:r w:rsidRPr="0076015B">
        <w:rPr>
          <w:rFonts w:ascii="Times New Roman" w:hAnsi="Times New Roman"/>
          <w:sz w:val="20"/>
          <w:szCs w:val="20"/>
        </w:rPr>
        <w:t>, 119(9): 2025 – 2031.</w:t>
      </w:r>
    </w:p>
    <w:p w:rsidR="004F7BEC" w:rsidRPr="0076015B" w:rsidRDefault="004F7BEC" w:rsidP="004F7BEC">
      <w:pPr>
        <w:pStyle w:val="ListParagraph"/>
        <w:numPr>
          <w:ilvl w:val="0"/>
          <w:numId w:val="1"/>
        </w:numPr>
        <w:spacing w:after="0" w:line="240" w:lineRule="auto"/>
        <w:ind w:left="360"/>
        <w:contextualSpacing w:val="0"/>
        <w:jc w:val="both"/>
        <w:rPr>
          <w:rFonts w:ascii="Times New Roman" w:hAnsi="Times New Roman"/>
          <w:sz w:val="20"/>
          <w:szCs w:val="20"/>
        </w:rPr>
      </w:pPr>
      <w:r w:rsidRPr="0076015B">
        <w:rPr>
          <w:rFonts w:ascii="Times New Roman" w:hAnsi="Times New Roman"/>
          <w:sz w:val="20"/>
          <w:szCs w:val="20"/>
        </w:rPr>
        <w:t xml:space="preserve">Cheong, W. J., Yang, S. H. and Ali, F. (2013). Molecular imprinted polymers for separation science: A review of reviews. </w:t>
      </w:r>
      <w:r w:rsidRPr="0076015B">
        <w:rPr>
          <w:rFonts w:ascii="Times New Roman" w:hAnsi="Times New Roman"/>
          <w:i/>
          <w:sz w:val="20"/>
          <w:szCs w:val="20"/>
        </w:rPr>
        <w:t>Journal of Separation Science</w:t>
      </w:r>
      <w:r w:rsidRPr="0076015B">
        <w:rPr>
          <w:rFonts w:ascii="Times New Roman" w:hAnsi="Times New Roman"/>
          <w:sz w:val="20"/>
          <w:szCs w:val="20"/>
        </w:rPr>
        <w:t>, 36(3): 609 – 628.</w:t>
      </w:r>
    </w:p>
    <w:p w:rsidR="004F7BEC" w:rsidRPr="0076015B" w:rsidRDefault="004F7BEC" w:rsidP="004F7BEC">
      <w:pPr>
        <w:pStyle w:val="ListParagraph"/>
        <w:numPr>
          <w:ilvl w:val="0"/>
          <w:numId w:val="1"/>
        </w:numPr>
        <w:spacing w:after="0" w:line="240" w:lineRule="auto"/>
        <w:ind w:left="360"/>
        <w:contextualSpacing w:val="0"/>
        <w:jc w:val="both"/>
        <w:rPr>
          <w:rFonts w:ascii="Times New Roman" w:hAnsi="Times New Roman"/>
          <w:sz w:val="20"/>
          <w:szCs w:val="20"/>
        </w:rPr>
      </w:pPr>
      <w:r w:rsidRPr="0076015B">
        <w:rPr>
          <w:rFonts w:ascii="Times New Roman" w:hAnsi="Times New Roman"/>
          <w:sz w:val="20"/>
          <w:szCs w:val="20"/>
        </w:rPr>
        <w:t xml:space="preserve">Algieri, C., Drioli, E., Guzzo, L. and Donato, L. (2014). Bio-mimetic sensors based on molecularly imprinted membranes. </w:t>
      </w:r>
      <w:r w:rsidRPr="0076015B">
        <w:rPr>
          <w:rFonts w:ascii="Times New Roman" w:hAnsi="Times New Roman"/>
          <w:i/>
          <w:sz w:val="20"/>
          <w:szCs w:val="20"/>
        </w:rPr>
        <w:t>Sensors</w:t>
      </w:r>
      <w:r w:rsidRPr="0076015B">
        <w:rPr>
          <w:rFonts w:ascii="Times New Roman" w:hAnsi="Times New Roman"/>
          <w:sz w:val="20"/>
          <w:szCs w:val="20"/>
        </w:rPr>
        <w:t>, 14(8): 13863 – 13912.</w:t>
      </w:r>
    </w:p>
    <w:p w:rsidR="004F7BEC" w:rsidRPr="0076015B" w:rsidRDefault="004F7BEC" w:rsidP="004F7BEC">
      <w:pPr>
        <w:pStyle w:val="ListParagraph"/>
        <w:numPr>
          <w:ilvl w:val="0"/>
          <w:numId w:val="1"/>
        </w:numPr>
        <w:spacing w:after="0" w:line="240" w:lineRule="auto"/>
        <w:ind w:left="360"/>
        <w:contextualSpacing w:val="0"/>
        <w:jc w:val="both"/>
        <w:rPr>
          <w:rFonts w:ascii="Times New Roman" w:hAnsi="Times New Roman"/>
          <w:sz w:val="20"/>
          <w:szCs w:val="20"/>
        </w:rPr>
      </w:pPr>
      <w:r w:rsidRPr="0076015B">
        <w:rPr>
          <w:rFonts w:ascii="Times New Roman" w:hAnsi="Times New Roman"/>
          <w:sz w:val="20"/>
          <w:szCs w:val="20"/>
        </w:rPr>
        <w:t xml:space="preserve">Baggiani, C., Anfossi, L. and Giovannoli, C. (2013). MIP-based immunoassays: State of the art, limitations and perspectives. </w:t>
      </w:r>
      <w:r w:rsidRPr="0076015B">
        <w:rPr>
          <w:rFonts w:ascii="Times New Roman" w:hAnsi="Times New Roman"/>
          <w:i/>
          <w:sz w:val="20"/>
          <w:szCs w:val="20"/>
        </w:rPr>
        <w:t>Molecular Imprinting</w:t>
      </w:r>
      <w:r w:rsidRPr="0076015B">
        <w:rPr>
          <w:rFonts w:ascii="Times New Roman" w:hAnsi="Times New Roman"/>
          <w:sz w:val="20"/>
          <w:szCs w:val="20"/>
        </w:rPr>
        <w:t>, 1: 41 – 54.</w:t>
      </w:r>
    </w:p>
    <w:p w:rsidR="004F7BEC" w:rsidRPr="0076015B" w:rsidRDefault="004F7BEC" w:rsidP="004F7BEC">
      <w:pPr>
        <w:pStyle w:val="ListParagraph"/>
        <w:numPr>
          <w:ilvl w:val="0"/>
          <w:numId w:val="1"/>
        </w:numPr>
        <w:spacing w:after="0" w:line="240" w:lineRule="auto"/>
        <w:ind w:left="360"/>
        <w:contextualSpacing w:val="0"/>
        <w:jc w:val="both"/>
        <w:rPr>
          <w:rFonts w:ascii="Times New Roman" w:hAnsi="Times New Roman"/>
          <w:sz w:val="20"/>
          <w:szCs w:val="20"/>
        </w:rPr>
      </w:pPr>
      <w:r w:rsidRPr="0076015B">
        <w:rPr>
          <w:rFonts w:ascii="Times New Roman" w:hAnsi="Times New Roman"/>
          <w:sz w:val="20"/>
          <w:szCs w:val="20"/>
        </w:rPr>
        <w:t xml:space="preserve">Haginaka, J., Tabo, H. and Matsunaga, H. (2012). Preparation of molecularly imprinted polymers for organophosphates and their application to the recognition of organophosphorus compounds and phosphopeptides. </w:t>
      </w:r>
      <w:r w:rsidRPr="0076015B">
        <w:rPr>
          <w:rFonts w:ascii="Times New Roman" w:hAnsi="Times New Roman"/>
          <w:i/>
          <w:sz w:val="20"/>
          <w:szCs w:val="20"/>
        </w:rPr>
        <w:t>Analytica Chimica Acta</w:t>
      </w:r>
      <w:r w:rsidRPr="0076015B">
        <w:rPr>
          <w:rFonts w:ascii="Times New Roman" w:hAnsi="Times New Roman"/>
          <w:sz w:val="20"/>
          <w:szCs w:val="20"/>
        </w:rPr>
        <w:t>, 748: 1 – 8.</w:t>
      </w:r>
    </w:p>
    <w:p w:rsidR="004F7BEC" w:rsidRPr="0076015B" w:rsidRDefault="004F7BEC" w:rsidP="004F7BEC">
      <w:pPr>
        <w:pStyle w:val="ListParagraph"/>
        <w:numPr>
          <w:ilvl w:val="0"/>
          <w:numId w:val="1"/>
        </w:numPr>
        <w:spacing w:after="0" w:line="240" w:lineRule="auto"/>
        <w:ind w:left="360"/>
        <w:contextualSpacing w:val="0"/>
        <w:jc w:val="both"/>
        <w:rPr>
          <w:rFonts w:ascii="Times New Roman" w:hAnsi="Times New Roman"/>
          <w:sz w:val="20"/>
          <w:szCs w:val="20"/>
        </w:rPr>
      </w:pPr>
      <w:r w:rsidRPr="0076015B">
        <w:rPr>
          <w:rFonts w:ascii="Times New Roman" w:hAnsi="Times New Roman"/>
          <w:noProof/>
          <w:sz w:val="20"/>
          <w:szCs w:val="20"/>
        </w:rPr>
        <w:t>Xin, J., Qiao, X., Ma, Y. and Xu, Z. (2012). Simultaneous separation and determination of eight organophosphorous pesticide residues in vegetables through molecularly imprinted solid</w:t>
      </w:r>
      <w:r w:rsidRPr="0076015B">
        <w:rPr>
          <w:rFonts w:ascii="Cambria Math" w:hAnsi="Cambria Math" w:cs="Cambria Math"/>
          <w:noProof/>
          <w:sz w:val="20"/>
          <w:szCs w:val="20"/>
        </w:rPr>
        <w:t>‐</w:t>
      </w:r>
      <w:r w:rsidRPr="0076015B">
        <w:rPr>
          <w:rFonts w:ascii="Times New Roman" w:hAnsi="Times New Roman"/>
          <w:noProof/>
          <w:sz w:val="20"/>
          <w:szCs w:val="20"/>
        </w:rPr>
        <w:t xml:space="preserve">phase extraction coupled to gas chromatography. </w:t>
      </w:r>
      <w:r w:rsidRPr="0076015B">
        <w:rPr>
          <w:rFonts w:ascii="Times New Roman" w:hAnsi="Times New Roman"/>
          <w:i/>
          <w:noProof/>
          <w:sz w:val="20"/>
          <w:szCs w:val="20"/>
        </w:rPr>
        <w:t>Journal 0f Separation Science</w:t>
      </w:r>
      <w:r w:rsidRPr="0076015B">
        <w:rPr>
          <w:rFonts w:ascii="Times New Roman" w:hAnsi="Times New Roman"/>
          <w:noProof/>
          <w:sz w:val="20"/>
          <w:szCs w:val="20"/>
        </w:rPr>
        <w:t>, 35(24), 3501 – 3508.</w:t>
      </w:r>
    </w:p>
    <w:p w:rsidR="004F7BEC" w:rsidRPr="0076015B" w:rsidRDefault="004F7BEC" w:rsidP="004F7BEC">
      <w:pPr>
        <w:pStyle w:val="ListParagraph"/>
        <w:numPr>
          <w:ilvl w:val="0"/>
          <w:numId w:val="1"/>
        </w:numPr>
        <w:spacing w:after="0" w:line="240" w:lineRule="auto"/>
        <w:ind w:left="360"/>
        <w:contextualSpacing w:val="0"/>
        <w:jc w:val="both"/>
        <w:rPr>
          <w:rFonts w:ascii="Times New Roman" w:hAnsi="Times New Roman"/>
          <w:sz w:val="20"/>
          <w:szCs w:val="20"/>
        </w:rPr>
      </w:pPr>
      <w:r w:rsidRPr="0076015B">
        <w:rPr>
          <w:rFonts w:ascii="Times New Roman" w:hAnsi="Times New Roman"/>
          <w:noProof/>
          <w:sz w:val="20"/>
          <w:szCs w:val="20"/>
        </w:rPr>
        <w:t xml:space="preserve">Zhang, D., Yu, D., Zhao, W., Yang, Q., Kajiura, H., Li, Y., Zhou, T. and Shi, G. (2012). A molecularly imprinted polymer based on functionalized multiwalled carbon nanotubes for the electrochemical detection of parathion-methyl. </w:t>
      </w:r>
      <w:r w:rsidRPr="0076015B">
        <w:rPr>
          <w:rFonts w:ascii="Times New Roman" w:hAnsi="Times New Roman"/>
          <w:i/>
          <w:noProof/>
          <w:sz w:val="20"/>
          <w:szCs w:val="20"/>
        </w:rPr>
        <w:t>Analyst</w:t>
      </w:r>
      <w:r w:rsidRPr="0076015B">
        <w:rPr>
          <w:rFonts w:ascii="Times New Roman" w:hAnsi="Times New Roman"/>
          <w:noProof/>
          <w:sz w:val="20"/>
          <w:szCs w:val="20"/>
        </w:rPr>
        <w:t xml:space="preserve">, 137(11): 2629 – 2636. </w:t>
      </w:r>
    </w:p>
    <w:p w:rsidR="004F7BEC" w:rsidRPr="0076015B" w:rsidRDefault="004F7BEC" w:rsidP="004F7BEC">
      <w:pPr>
        <w:pStyle w:val="ListParagraph"/>
        <w:numPr>
          <w:ilvl w:val="0"/>
          <w:numId w:val="1"/>
        </w:numPr>
        <w:spacing w:after="0" w:line="240" w:lineRule="auto"/>
        <w:ind w:left="360"/>
        <w:contextualSpacing w:val="0"/>
        <w:jc w:val="both"/>
        <w:rPr>
          <w:rFonts w:ascii="Times New Roman" w:hAnsi="Times New Roman"/>
          <w:sz w:val="20"/>
          <w:szCs w:val="20"/>
        </w:rPr>
      </w:pPr>
      <w:r w:rsidRPr="0076015B">
        <w:rPr>
          <w:rFonts w:ascii="Times New Roman" w:hAnsi="Times New Roman"/>
          <w:noProof/>
          <w:sz w:val="20"/>
          <w:szCs w:val="20"/>
        </w:rPr>
        <w:t>Yan, M. (2004). Molecularly imprinted materials: Science and technology. CRC press.</w:t>
      </w:r>
    </w:p>
    <w:p w:rsidR="004F7BEC" w:rsidRPr="0076015B" w:rsidRDefault="004F7BEC" w:rsidP="004F7BEC">
      <w:pPr>
        <w:pStyle w:val="ListParagraph"/>
        <w:numPr>
          <w:ilvl w:val="0"/>
          <w:numId w:val="1"/>
        </w:numPr>
        <w:spacing w:after="0" w:line="240" w:lineRule="auto"/>
        <w:ind w:left="360"/>
        <w:contextualSpacing w:val="0"/>
        <w:jc w:val="both"/>
        <w:rPr>
          <w:rFonts w:ascii="Times New Roman" w:hAnsi="Times New Roman"/>
          <w:sz w:val="20"/>
          <w:szCs w:val="20"/>
        </w:rPr>
      </w:pPr>
      <w:r w:rsidRPr="0076015B">
        <w:rPr>
          <w:rFonts w:ascii="Times New Roman" w:hAnsi="Times New Roman"/>
          <w:noProof/>
          <w:sz w:val="20"/>
          <w:szCs w:val="20"/>
        </w:rPr>
        <w:t>Ye, L. (2013). Molecular imprinting: Principles and applications of micro-and nanostructure polymers. CRC press.</w:t>
      </w:r>
    </w:p>
    <w:p w:rsidR="004F7BEC" w:rsidRPr="0076015B" w:rsidRDefault="004F7BEC" w:rsidP="004F7BEC">
      <w:pPr>
        <w:pStyle w:val="ListParagraph"/>
        <w:numPr>
          <w:ilvl w:val="0"/>
          <w:numId w:val="1"/>
        </w:numPr>
        <w:spacing w:after="0" w:line="240" w:lineRule="auto"/>
        <w:ind w:left="360"/>
        <w:contextualSpacing w:val="0"/>
        <w:jc w:val="both"/>
        <w:rPr>
          <w:rFonts w:ascii="Times New Roman" w:hAnsi="Times New Roman"/>
          <w:sz w:val="20"/>
          <w:szCs w:val="20"/>
        </w:rPr>
      </w:pPr>
      <w:r w:rsidRPr="0076015B">
        <w:rPr>
          <w:rFonts w:ascii="Times New Roman" w:hAnsi="Times New Roman"/>
          <w:noProof/>
          <w:sz w:val="20"/>
          <w:szCs w:val="20"/>
        </w:rPr>
        <w:t xml:space="preserve">Ward, M. D. and Buttry, D. A. (1990). In situ interfacial mass detection wi piezoelectric transducers. </w:t>
      </w:r>
      <w:r w:rsidRPr="0076015B">
        <w:rPr>
          <w:rFonts w:ascii="Times New Roman" w:hAnsi="Times New Roman"/>
          <w:i/>
          <w:noProof/>
          <w:sz w:val="20"/>
          <w:szCs w:val="20"/>
        </w:rPr>
        <w:t>Science</w:t>
      </w:r>
      <w:r w:rsidRPr="0076015B">
        <w:rPr>
          <w:rFonts w:ascii="Times New Roman" w:hAnsi="Times New Roman"/>
          <w:noProof/>
          <w:sz w:val="20"/>
          <w:szCs w:val="20"/>
        </w:rPr>
        <w:t>, 249(4972): 1000 – 1007.</w:t>
      </w:r>
    </w:p>
    <w:p w:rsidR="004F7BEC" w:rsidRPr="0076015B" w:rsidRDefault="004F7BEC" w:rsidP="004F7BEC">
      <w:pPr>
        <w:pStyle w:val="ListParagraph"/>
        <w:numPr>
          <w:ilvl w:val="0"/>
          <w:numId w:val="1"/>
        </w:numPr>
        <w:spacing w:after="0" w:line="240" w:lineRule="auto"/>
        <w:ind w:left="360"/>
        <w:contextualSpacing w:val="0"/>
        <w:jc w:val="both"/>
        <w:rPr>
          <w:rFonts w:ascii="Times New Roman" w:hAnsi="Times New Roman"/>
          <w:sz w:val="20"/>
          <w:szCs w:val="20"/>
        </w:rPr>
      </w:pPr>
      <w:r w:rsidRPr="0076015B">
        <w:rPr>
          <w:rFonts w:ascii="Times New Roman" w:hAnsi="Times New Roman"/>
          <w:sz w:val="20"/>
          <w:szCs w:val="20"/>
        </w:rPr>
        <w:t xml:space="preserve">Cooper, M. A. and Singleton, V. T. (2007). A survey of the 2001 to 2005 quartz crystal microbalance biosensor literature: Applications of acoustic physics to the analysis of biomolecular interactions. </w:t>
      </w:r>
      <w:r w:rsidRPr="0076015B">
        <w:rPr>
          <w:rFonts w:ascii="Times New Roman" w:hAnsi="Times New Roman"/>
          <w:i/>
          <w:sz w:val="20"/>
          <w:szCs w:val="20"/>
        </w:rPr>
        <w:t>Journal of Molecular Recognition</w:t>
      </w:r>
      <w:r w:rsidRPr="0076015B">
        <w:rPr>
          <w:rFonts w:ascii="Times New Roman" w:hAnsi="Times New Roman"/>
          <w:sz w:val="20"/>
          <w:szCs w:val="20"/>
        </w:rPr>
        <w:t>, 20(3): 154 – 184.</w:t>
      </w:r>
    </w:p>
    <w:p w:rsidR="004F7BEC" w:rsidRPr="0076015B" w:rsidRDefault="004F7BEC" w:rsidP="004F7BEC">
      <w:pPr>
        <w:pStyle w:val="ListParagraph"/>
        <w:numPr>
          <w:ilvl w:val="0"/>
          <w:numId w:val="1"/>
        </w:numPr>
        <w:spacing w:after="0" w:line="240" w:lineRule="auto"/>
        <w:ind w:left="360"/>
        <w:contextualSpacing w:val="0"/>
        <w:jc w:val="both"/>
        <w:rPr>
          <w:rFonts w:ascii="Times New Roman" w:hAnsi="Times New Roman"/>
          <w:sz w:val="20"/>
          <w:szCs w:val="20"/>
        </w:rPr>
      </w:pPr>
      <w:r w:rsidRPr="0076015B">
        <w:rPr>
          <w:rFonts w:ascii="Times New Roman" w:hAnsi="Times New Roman"/>
          <w:noProof/>
          <w:sz w:val="20"/>
          <w:szCs w:val="20"/>
        </w:rPr>
        <w:t xml:space="preserve">Vashist, S. K. and Vashist, P. (2011). Recent advances in quartz crystal microbalance-based sensors. </w:t>
      </w:r>
      <w:r w:rsidRPr="0076015B">
        <w:rPr>
          <w:rFonts w:ascii="Times New Roman" w:hAnsi="Times New Roman"/>
          <w:i/>
          <w:noProof/>
          <w:sz w:val="20"/>
          <w:szCs w:val="20"/>
        </w:rPr>
        <w:t>Journal of Sensors</w:t>
      </w:r>
      <w:r w:rsidRPr="0076015B">
        <w:rPr>
          <w:rFonts w:ascii="Times New Roman" w:hAnsi="Times New Roman"/>
          <w:noProof/>
          <w:sz w:val="20"/>
          <w:szCs w:val="20"/>
        </w:rPr>
        <w:t>, 2011: 1 – 13.</w:t>
      </w:r>
    </w:p>
    <w:p w:rsidR="004F7BEC" w:rsidRPr="0076015B" w:rsidRDefault="004F7BEC" w:rsidP="004F7BEC">
      <w:pPr>
        <w:pStyle w:val="ListParagraph"/>
        <w:numPr>
          <w:ilvl w:val="0"/>
          <w:numId w:val="1"/>
        </w:numPr>
        <w:spacing w:after="0" w:line="240" w:lineRule="auto"/>
        <w:ind w:left="360"/>
        <w:contextualSpacing w:val="0"/>
        <w:jc w:val="both"/>
        <w:rPr>
          <w:rFonts w:ascii="Times New Roman" w:hAnsi="Times New Roman"/>
          <w:sz w:val="20"/>
          <w:szCs w:val="20"/>
        </w:rPr>
      </w:pPr>
      <w:r w:rsidRPr="0076015B">
        <w:rPr>
          <w:rFonts w:ascii="Times New Roman" w:hAnsi="Times New Roman"/>
          <w:noProof/>
          <w:sz w:val="20"/>
          <w:szCs w:val="20"/>
        </w:rPr>
        <w:t xml:space="preserve">Hong, S. R., Kim, M. S., Jeong, H. D. and Hong, S. (2017). Development of real - time and quantitative QCM immunosensor for the rapid diagnosis of Aeromonas hydrophila infection. </w:t>
      </w:r>
      <w:r w:rsidRPr="0076015B">
        <w:rPr>
          <w:rFonts w:ascii="Times New Roman" w:hAnsi="Times New Roman"/>
          <w:i/>
          <w:noProof/>
          <w:sz w:val="20"/>
          <w:szCs w:val="20"/>
        </w:rPr>
        <w:t>Aquaculture Research</w:t>
      </w:r>
      <w:r w:rsidRPr="0076015B">
        <w:rPr>
          <w:rFonts w:ascii="Times New Roman" w:hAnsi="Times New Roman"/>
          <w:noProof/>
          <w:sz w:val="20"/>
          <w:szCs w:val="20"/>
        </w:rPr>
        <w:t xml:space="preserve">, 48(5): 2055 – 2063. </w:t>
      </w:r>
    </w:p>
    <w:p w:rsidR="004F7BEC" w:rsidRPr="0076015B" w:rsidRDefault="004F7BEC" w:rsidP="004F7BEC">
      <w:pPr>
        <w:pStyle w:val="ListParagraph"/>
        <w:numPr>
          <w:ilvl w:val="0"/>
          <w:numId w:val="1"/>
        </w:numPr>
        <w:spacing w:after="0" w:line="240" w:lineRule="auto"/>
        <w:ind w:left="360"/>
        <w:contextualSpacing w:val="0"/>
        <w:jc w:val="both"/>
        <w:rPr>
          <w:rFonts w:ascii="Times New Roman" w:hAnsi="Times New Roman"/>
        </w:rPr>
      </w:pPr>
      <w:r w:rsidRPr="0076015B">
        <w:rPr>
          <w:rFonts w:ascii="Times New Roman" w:hAnsi="Times New Roman"/>
          <w:noProof/>
          <w:sz w:val="20"/>
          <w:szCs w:val="20"/>
        </w:rPr>
        <w:t xml:space="preserve">Vethanayagam, A. V. A. (1962). Folidol (parathion) poisoning. </w:t>
      </w:r>
      <w:r w:rsidRPr="0076015B">
        <w:rPr>
          <w:rFonts w:ascii="Times New Roman" w:hAnsi="Times New Roman"/>
          <w:i/>
          <w:noProof/>
          <w:sz w:val="20"/>
          <w:szCs w:val="20"/>
        </w:rPr>
        <w:t>British Medical Journal</w:t>
      </w:r>
      <w:r w:rsidRPr="0076015B">
        <w:rPr>
          <w:rFonts w:ascii="Times New Roman" w:hAnsi="Times New Roman"/>
          <w:noProof/>
          <w:sz w:val="20"/>
          <w:szCs w:val="20"/>
        </w:rPr>
        <w:t xml:space="preserve">, 1962): 986 – 987. </w:t>
      </w:r>
    </w:p>
    <w:p w:rsidR="004F7BEC" w:rsidRPr="004F7BEC" w:rsidRDefault="004F7BEC" w:rsidP="004F7BEC">
      <w:pPr>
        <w:pStyle w:val="Default"/>
        <w:jc w:val="both"/>
        <w:rPr>
          <w:noProof/>
          <w:color w:val="auto"/>
          <w:sz w:val="20"/>
          <w:szCs w:val="20"/>
        </w:rPr>
      </w:pPr>
      <w:bookmarkStart w:id="0" w:name="_GoBack"/>
      <w:bookmarkEnd w:id="0"/>
    </w:p>
    <w:sectPr w:rsidR="004F7BEC" w:rsidRPr="004F7BEC" w:rsidSect="004F7BEC">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A045F"/>
    <w:multiLevelType w:val="hybridMultilevel"/>
    <w:tmpl w:val="C0AC25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7BEC"/>
    <w:rsid w:val="004F7BEC"/>
    <w:rsid w:val="00756508"/>
    <w:rsid w:val="00D0718B"/>
    <w:rsid w:val="00D40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BEC"/>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rsid w:val="004F7BEC"/>
    <w:pPr>
      <w:autoSpaceDE w:val="0"/>
      <w:autoSpaceDN w:val="0"/>
      <w:adjustRightInd w:val="0"/>
      <w:spacing w:after="0" w:line="240" w:lineRule="auto"/>
    </w:pPr>
    <w:rPr>
      <w:rFonts w:ascii="Times New Roman" w:eastAsiaTheme="minorEastAsia" w:hAnsi="Times New Roman" w:cs="Times New Roman"/>
      <w:color w:val="000000"/>
      <w:sz w:val="24"/>
      <w:szCs w:val="24"/>
      <w:lang w:val="en-SG" w:eastAsia="zh-CN"/>
    </w:rPr>
  </w:style>
  <w:style w:type="character" w:customStyle="1" w:styleId="DefaultChar">
    <w:name w:val="Default Char"/>
    <w:basedOn w:val="DefaultParagraphFont"/>
    <w:link w:val="Default"/>
    <w:rsid w:val="004F7BEC"/>
    <w:rPr>
      <w:rFonts w:ascii="Times New Roman" w:eastAsiaTheme="minorEastAsia" w:hAnsi="Times New Roman" w:cs="Times New Roman"/>
      <w:color w:val="000000"/>
      <w:sz w:val="24"/>
      <w:szCs w:val="24"/>
      <w:lang w:val="en-SG" w:eastAsia="zh-CN"/>
    </w:rPr>
  </w:style>
  <w:style w:type="paragraph" w:styleId="ListParagraph">
    <w:name w:val="List Paragraph"/>
    <w:basedOn w:val="Normal"/>
    <w:uiPriority w:val="34"/>
    <w:qFormat/>
    <w:rsid w:val="004F7BE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BEC"/>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rsid w:val="004F7BEC"/>
    <w:pPr>
      <w:autoSpaceDE w:val="0"/>
      <w:autoSpaceDN w:val="0"/>
      <w:adjustRightInd w:val="0"/>
      <w:spacing w:after="0" w:line="240" w:lineRule="auto"/>
    </w:pPr>
    <w:rPr>
      <w:rFonts w:ascii="Times New Roman" w:eastAsiaTheme="minorEastAsia" w:hAnsi="Times New Roman" w:cs="Times New Roman"/>
      <w:color w:val="000000"/>
      <w:sz w:val="24"/>
      <w:szCs w:val="24"/>
      <w:lang w:val="en-SG" w:eastAsia="zh-CN"/>
    </w:rPr>
  </w:style>
  <w:style w:type="character" w:customStyle="1" w:styleId="DefaultChar">
    <w:name w:val="Default Char"/>
    <w:basedOn w:val="DefaultParagraphFont"/>
    <w:link w:val="Default"/>
    <w:rsid w:val="004F7BEC"/>
    <w:rPr>
      <w:rFonts w:ascii="Times New Roman" w:eastAsiaTheme="minorEastAsia" w:hAnsi="Times New Roman" w:cs="Times New Roman"/>
      <w:color w:val="000000"/>
      <w:sz w:val="24"/>
      <w:szCs w:val="24"/>
      <w:lang w:val="en-SG" w:eastAsia="zh-CN"/>
    </w:rPr>
  </w:style>
  <w:style w:type="paragraph" w:styleId="ListParagraph">
    <w:name w:val="List Paragraph"/>
    <w:basedOn w:val="Normal"/>
    <w:uiPriority w:val="34"/>
    <w:qFormat/>
    <w:rsid w:val="004F7B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1144</Words>
  <Characters>6447</Characters>
  <Application>Microsoft Office Word</Application>
  <DocSecurity>0</DocSecurity>
  <Lines>128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1</cp:revision>
  <dcterms:created xsi:type="dcterms:W3CDTF">2017-11-27T13:58:00Z</dcterms:created>
  <dcterms:modified xsi:type="dcterms:W3CDTF">2017-11-27T14:02:00Z</dcterms:modified>
</cp:coreProperties>
</file>