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E30" w:rsidRDefault="00E73E30" w:rsidP="00E73E30">
      <w:pPr>
        <w:pStyle w:val="Author"/>
        <w:jc w:val="left"/>
        <w:rPr>
          <w:caps w:val="0"/>
          <w:sz w:val="24"/>
          <w:szCs w:val="24"/>
        </w:rPr>
      </w:pPr>
      <w:r>
        <w:rPr>
          <w:caps w:val="0"/>
          <w:sz w:val="24"/>
          <w:szCs w:val="24"/>
        </w:rPr>
        <w:t>Malaysian Journal of Analytical Sciences Vol 21 No 6 (2017): 1352 - 1365</w:t>
      </w:r>
    </w:p>
    <w:p w:rsidR="00E73E30" w:rsidRDefault="00E73E30" w:rsidP="00E73E30">
      <w:pPr>
        <w:spacing w:after="0" w:line="240" w:lineRule="auto"/>
        <w:rPr>
          <w:lang w:bidi="ar-SA"/>
        </w:rPr>
      </w:pPr>
    </w:p>
    <w:p w:rsidR="00E73E30" w:rsidRDefault="00E73E30" w:rsidP="00E73E30">
      <w:pPr>
        <w:spacing w:after="0" w:line="240" w:lineRule="auto"/>
        <w:rPr>
          <w:lang w:bidi="ar-SA"/>
        </w:rPr>
      </w:pPr>
    </w:p>
    <w:p w:rsidR="00E73E30" w:rsidRPr="00E73E30" w:rsidRDefault="00E73E30" w:rsidP="00E73E30">
      <w:pPr>
        <w:spacing w:after="0" w:line="240" w:lineRule="auto"/>
        <w:rPr>
          <w:lang w:bidi="ar-SA"/>
        </w:rPr>
      </w:pPr>
    </w:p>
    <w:p w:rsidR="00E73E30" w:rsidRPr="0055305A" w:rsidRDefault="00E73E30" w:rsidP="00E73E30">
      <w:pPr>
        <w:pStyle w:val="Author"/>
        <w:rPr>
          <w:caps w:val="0"/>
          <w:color w:val="000000"/>
          <w:sz w:val="28"/>
          <w:szCs w:val="24"/>
        </w:rPr>
      </w:pPr>
      <w:r w:rsidRPr="00720AD7">
        <w:rPr>
          <w:caps w:val="0"/>
          <w:sz w:val="28"/>
          <w:szCs w:val="28"/>
        </w:rPr>
        <w:t>EFFECT OF BUFFER COMPOSITION ON THE ANALYSIS</w:t>
      </w:r>
      <w:r>
        <w:rPr>
          <w:caps w:val="0"/>
          <w:sz w:val="28"/>
          <w:szCs w:val="28"/>
        </w:rPr>
        <w:t xml:space="preserve"> OF </w:t>
      </w:r>
      <w:r w:rsidRPr="00720AD7">
        <w:rPr>
          <w:caps w:val="0"/>
          <w:sz w:val="28"/>
          <w:szCs w:val="28"/>
        </w:rPr>
        <w:t>LIPOPOLYSACCHARIDES FROM</w:t>
      </w:r>
      <w:r w:rsidRPr="00720AD7">
        <w:rPr>
          <w:caps w:val="0"/>
          <w:sz w:val="28"/>
          <w:szCs w:val="24"/>
        </w:rPr>
        <w:t xml:space="preserve"> </w:t>
      </w:r>
      <w:r w:rsidRPr="00720AD7">
        <w:rPr>
          <w:i/>
          <w:caps w:val="0"/>
          <w:sz w:val="28"/>
          <w:szCs w:val="24"/>
        </w:rPr>
        <w:t>Escherichia coli</w:t>
      </w:r>
      <w:r w:rsidRPr="00720AD7">
        <w:rPr>
          <w:caps w:val="0"/>
          <w:color w:val="000000"/>
          <w:sz w:val="28"/>
          <w:szCs w:val="24"/>
        </w:rPr>
        <w:t xml:space="preserve"> 055:B5 AND</w:t>
      </w:r>
      <w:r>
        <w:rPr>
          <w:caps w:val="0"/>
          <w:color w:val="000000"/>
          <w:sz w:val="28"/>
          <w:szCs w:val="24"/>
        </w:rPr>
        <w:t xml:space="preserve"> </w:t>
      </w:r>
      <w:r w:rsidRPr="00720AD7">
        <w:rPr>
          <w:caps w:val="0"/>
          <w:color w:val="000000"/>
          <w:sz w:val="28"/>
          <w:szCs w:val="24"/>
        </w:rPr>
        <w:t xml:space="preserve">UT189 </w:t>
      </w:r>
      <w:r w:rsidRPr="00720AD7">
        <w:rPr>
          <w:caps w:val="0"/>
          <w:sz w:val="28"/>
          <w:szCs w:val="28"/>
        </w:rPr>
        <w:t>BY CAPILLARY ELECTROPHORESIS WITH</w:t>
      </w:r>
      <w:r>
        <w:rPr>
          <w:caps w:val="0"/>
          <w:color w:val="000000"/>
          <w:sz w:val="28"/>
          <w:szCs w:val="24"/>
        </w:rPr>
        <w:t xml:space="preserve"> </w:t>
      </w:r>
      <w:r w:rsidRPr="00720AD7">
        <w:rPr>
          <w:caps w:val="0"/>
          <w:sz w:val="28"/>
          <w:szCs w:val="28"/>
        </w:rPr>
        <w:t>DIRECT UV DETECTION</w:t>
      </w:r>
    </w:p>
    <w:p w:rsidR="00E73E30" w:rsidRPr="00720AD7" w:rsidRDefault="00E73E30" w:rsidP="00E73E30">
      <w:pPr>
        <w:pStyle w:val="Author"/>
        <w:rPr>
          <w:caps w:val="0"/>
          <w:sz w:val="24"/>
          <w:szCs w:val="24"/>
        </w:rPr>
      </w:pPr>
    </w:p>
    <w:p w:rsidR="00E73E30" w:rsidRPr="00720AD7" w:rsidRDefault="00E73E30" w:rsidP="00E73E30">
      <w:pPr>
        <w:pStyle w:val="Author"/>
        <w:rPr>
          <w:caps w:val="0"/>
          <w:sz w:val="24"/>
          <w:szCs w:val="24"/>
        </w:rPr>
      </w:pPr>
      <w:r w:rsidRPr="00720AD7">
        <w:rPr>
          <w:noProof/>
          <w:sz w:val="24"/>
          <w:szCs w:val="24"/>
          <w:lang w:val="ms-MY"/>
        </w:rPr>
        <w:t>(</w:t>
      </w:r>
      <w:r w:rsidRPr="00720AD7">
        <w:rPr>
          <w:caps w:val="0"/>
          <w:noProof/>
          <w:sz w:val="24"/>
          <w:szCs w:val="24"/>
          <w:lang w:val="ms-MY"/>
        </w:rPr>
        <w:t xml:space="preserve">Kesan Komposisi Penimbal ke atas Analisis Lipopolisakarida dari </w:t>
      </w:r>
      <w:r w:rsidRPr="00720AD7">
        <w:rPr>
          <w:i/>
          <w:caps w:val="0"/>
          <w:noProof/>
          <w:sz w:val="24"/>
          <w:szCs w:val="24"/>
          <w:lang w:val="ms-MY"/>
        </w:rPr>
        <w:t>Escherichia coli</w:t>
      </w:r>
      <w:r w:rsidRPr="00720AD7">
        <w:rPr>
          <w:caps w:val="0"/>
          <w:noProof/>
          <w:sz w:val="24"/>
          <w:szCs w:val="24"/>
          <w:lang w:val="ms-MY"/>
        </w:rPr>
        <w:t xml:space="preserve"> </w:t>
      </w:r>
      <w:r w:rsidRPr="00720AD7">
        <w:rPr>
          <w:noProof/>
          <w:sz w:val="24"/>
          <w:szCs w:val="24"/>
          <w:lang w:val="ms-MY"/>
        </w:rPr>
        <w:t xml:space="preserve">055:B5 </w:t>
      </w:r>
      <w:r w:rsidRPr="00720AD7">
        <w:rPr>
          <w:caps w:val="0"/>
          <w:noProof/>
          <w:sz w:val="24"/>
          <w:szCs w:val="24"/>
          <w:lang w:val="ms-MY"/>
        </w:rPr>
        <w:t>dan</w:t>
      </w:r>
      <w:r w:rsidRPr="00720AD7">
        <w:rPr>
          <w:noProof/>
          <w:sz w:val="24"/>
          <w:szCs w:val="24"/>
          <w:lang w:val="ms-MY"/>
        </w:rPr>
        <w:t xml:space="preserve"> UT189 </w:t>
      </w:r>
      <w:r w:rsidRPr="00720AD7">
        <w:rPr>
          <w:caps w:val="0"/>
          <w:noProof/>
          <w:sz w:val="24"/>
          <w:szCs w:val="24"/>
          <w:lang w:val="ms-MY"/>
        </w:rPr>
        <w:t>oleh Elektroforesis Kapilari dengan Pengesan UV</w:t>
      </w:r>
      <w:r w:rsidRPr="00720AD7">
        <w:rPr>
          <w:noProof/>
          <w:sz w:val="24"/>
          <w:szCs w:val="24"/>
          <w:lang w:val="ms-MY"/>
        </w:rPr>
        <w:t>)</w:t>
      </w:r>
    </w:p>
    <w:p w:rsidR="00E73E30" w:rsidRPr="00720AD7" w:rsidRDefault="00E73E30" w:rsidP="00E73E30">
      <w:pPr>
        <w:spacing w:after="0" w:line="240" w:lineRule="auto"/>
        <w:jc w:val="center"/>
        <w:rPr>
          <w:rFonts w:ascii="Times New Roman" w:hAnsi="Times New Roman"/>
          <w:sz w:val="20"/>
          <w:szCs w:val="20"/>
        </w:rPr>
      </w:pPr>
    </w:p>
    <w:p w:rsidR="00E73E30" w:rsidRPr="00720AD7" w:rsidRDefault="00E73E30" w:rsidP="00E73E30">
      <w:pPr>
        <w:spacing w:after="0" w:line="240" w:lineRule="auto"/>
        <w:jc w:val="center"/>
        <w:rPr>
          <w:rFonts w:ascii="Times New Roman" w:hAnsi="Times New Roman"/>
          <w:sz w:val="20"/>
          <w:szCs w:val="20"/>
        </w:rPr>
      </w:pPr>
      <w:r w:rsidRPr="00720AD7">
        <w:rPr>
          <w:rFonts w:ascii="Times New Roman" w:hAnsi="Times New Roman"/>
          <w:sz w:val="20"/>
          <w:szCs w:val="20"/>
        </w:rPr>
        <w:t>Fun Man</w:t>
      </w:r>
      <w:r w:rsidR="00B01F1F">
        <w:rPr>
          <w:rFonts w:ascii="Times New Roman" w:hAnsi="Times New Roman"/>
          <w:sz w:val="20"/>
          <w:szCs w:val="20"/>
        </w:rPr>
        <w:t xml:space="preserve"> Fung</w:t>
      </w:r>
      <w:r w:rsidRPr="00720AD7">
        <w:rPr>
          <w:rFonts w:ascii="Times New Roman" w:hAnsi="Times New Roman"/>
          <w:sz w:val="20"/>
          <w:szCs w:val="20"/>
          <w:vertAlign w:val="superscript"/>
        </w:rPr>
        <w:t>1</w:t>
      </w:r>
      <w:r w:rsidR="00B01F1F">
        <w:rPr>
          <w:rFonts w:ascii="Times New Roman" w:hAnsi="Times New Roman"/>
          <w:sz w:val="20"/>
          <w:szCs w:val="20"/>
        </w:rPr>
        <w:t xml:space="preserve">, </w:t>
      </w:r>
      <w:r w:rsidRPr="00720AD7">
        <w:rPr>
          <w:rFonts w:ascii="Times New Roman" w:hAnsi="Times New Roman"/>
          <w:sz w:val="20"/>
          <w:szCs w:val="20"/>
        </w:rPr>
        <w:t>Min</w:t>
      </w:r>
      <w:r w:rsidR="00B01F1F">
        <w:rPr>
          <w:rFonts w:ascii="Times New Roman" w:hAnsi="Times New Roman"/>
          <w:sz w:val="20"/>
          <w:szCs w:val="20"/>
        </w:rPr>
        <w:t xml:space="preserve"> Su</w:t>
      </w:r>
      <w:r w:rsidRPr="00720AD7">
        <w:rPr>
          <w:rFonts w:ascii="Times New Roman" w:hAnsi="Times New Roman"/>
          <w:sz w:val="20"/>
          <w:szCs w:val="20"/>
          <w:vertAlign w:val="superscript"/>
        </w:rPr>
        <w:t>1</w:t>
      </w:r>
      <w:r w:rsidR="00B01F1F">
        <w:rPr>
          <w:rFonts w:ascii="Times New Roman" w:hAnsi="Times New Roman"/>
          <w:sz w:val="20"/>
          <w:szCs w:val="20"/>
        </w:rPr>
        <w:t>, Sam Fong Yau Li</w:t>
      </w:r>
      <w:bookmarkStart w:id="0" w:name="_GoBack"/>
      <w:bookmarkEnd w:id="0"/>
      <w:r w:rsidRPr="00720AD7">
        <w:rPr>
          <w:rFonts w:ascii="Times New Roman" w:hAnsi="Times New Roman"/>
          <w:sz w:val="20"/>
          <w:szCs w:val="20"/>
          <w:vertAlign w:val="superscript"/>
        </w:rPr>
        <w:t>1,2</w:t>
      </w:r>
      <w:r w:rsidRPr="00720AD7">
        <w:rPr>
          <w:rFonts w:ascii="Times New Roman" w:hAnsi="Times New Roman"/>
          <w:sz w:val="20"/>
          <w:szCs w:val="20"/>
        </w:rPr>
        <w:t>*</w:t>
      </w:r>
    </w:p>
    <w:p w:rsidR="00E73E30" w:rsidRPr="00E73E30" w:rsidRDefault="00E73E30" w:rsidP="00E73E30">
      <w:pPr>
        <w:spacing w:after="0" w:line="240" w:lineRule="auto"/>
        <w:jc w:val="center"/>
        <w:rPr>
          <w:rFonts w:ascii="Times New Roman" w:hAnsi="Times New Roman"/>
          <w:noProof/>
          <w:sz w:val="20"/>
          <w:szCs w:val="20"/>
          <w:lang w:bidi="ar-SA"/>
        </w:rPr>
      </w:pPr>
    </w:p>
    <w:p w:rsidR="00E73E30" w:rsidRPr="00E73E30" w:rsidRDefault="00E73E30" w:rsidP="00E73E30">
      <w:pPr>
        <w:pStyle w:val="Affiliation"/>
        <w:spacing w:before="0" w:after="0"/>
        <w:rPr>
          <w:sz w:val="20"/>
        </w:rPr>
      </w:pPr>
      <w:r w:rsidRPr="00E73E30">
        <w:rPr>
          <w:sz w:val="20"/>
          <w:vertAlign w:val="superscript"/>
        </w:rPr>
        <w:t>1</w:t>
      </w:r>
      <w:r w:rsidRPr="00E73E30">
        <w:rPr>
          <w:sz w:val="20"/>
        </w:rPr>
        <w:t xml:space="preserve">Department of Chemistry, </w:t>
      </w:r>
    </w:p>
    <w:p w:rsidR="00E73E30" w:rsidRPr="00E73E30" w:rsidRDefault="00E73E30" w:rsidP="00E73E30">
      <w:pPr>
        <w:pStyle w:val="Affiliation"/>
        <w:spacing w:before="0" w:after="0"/>
        <w:rPr>
          <w:sz w:val="20"/>
        </w:rPr>
      </w:pPr>
      <w:r w:rsidRPr="00E73E30">
        <w:rPr>
          <w:sz w:val="20"/>
        </w:rPr>
        <w:t>National University of Singapore, 3 Science Drive 3, Singapore 117543, Singapore</w:t>
      </w:r>
    </w:p>
    <w:p w:rsidR="00E73E30" w:rsidRPr="00E73E30" w:rsidRDefault="00E73E30" w:rsidP="00E73E30">
      <w:pPr>
        <w:pStyle w:val="Author"/>
        <w:rPr>
          <w:i/>
          <w:sz w:val="20"/>
          <w:lang w:val="en-GB"/>
        </w:rPr>
      </w:pPr>
      <w:r w:rsidRPr="00E73E30">
        <w:rPr>
          <w:i/>
          <w:sz w:val="20"/>
          <w:vertAlign w:val="superscript"/>
        </w:rPr>
        <w:t>2</w:t>
      </w:r>
      <w:r w:rsidRPr="00E73E30">
        <w:rPr>
          <w:i/>
          <w:iCs/>
          <w:caps w:val="0"/>
          <w:sz w:val="20"/>
        </w:rPr>
        <w:t>Singapore-Peking-Oxford Research Enterprise (SPORE) Programme,</w:t>
      </w:r>
    </w:p>
    <w:p w:rsidR="00E73E30" w:rsidRPr="00E73E30" w:rsidRDefault="00E73E30" w:rsidP="00E73E30">
      <w:pPr>
        <w:pStyle w:val="Author"/>
        <w:rPr>
          <w:i/>
          <w:iCs/>
          <w:caps w:val="0"/>
          <w:sz w:val="20"/>
        </w:rPr>
      </w:pPr>
      <w:r w:rsidRPr="00E73E30">
        <w:rPr>
          <w:i/>
          <w:iCs/>
          <w:caps w:val="0"/>
          <w:sz w:val="20"/>
        </w:rPr>
        <w:t>NUS Environmental Research Institute (NERI) #02-01, T-Lab Building (TL), 5a Engineering Drive1 1, Singapore 117411, Singapore</w:t>
      </w:r>
    </w:p>
    <w:p w:rsidR="00E73E30" w:rsidRPr="00E73E30" w:rsidRDefault="00E73E30" w:rsidP="00E73E30">
      <w:pPr>
        <w:spacing w:after="0" w:line="240" w:lineRule="auto"/>
        <w:jc w:val="center"/>
        <w:rPr>
          <w:rFonts w:ascii="Times New Roman" w:hAnsi="Times New Roman"/>
          <w:noProof/>
          <w:sz w:val="20"/>
          <w:szCs w:val="20"/>
          <w:lang w:bidi="ar-SA"/>
        </w:rPr>
      </w:pPr>
    </w:p>
    <w:p w:rsidR="00E73E30" w:rsidRPr="00E73E30" w:rsidRDefault="00E73E30" w:rsidP="00E73E30">
      <w:pPr>
        <w:spacing w:after="4" w:line="249" w:lineRule="auto"/>
        <w:ind w:right="-8"/>
        <w:jc w:val="center"/>
        <w:rPr>
          <w:rFonts w:ascii="Times New Roman" w:hAnsi="Times New Roman"/>
          <w:i/>
          <w:sz w:val="20"/>
          <w:szCs w:val="20"/>
        </w:rPr>
      </w:pPr>
      <w:r w:rsidRPr="00E73E30">
        <w:rPr>
          <w:rFonts w:ascii="Times New Roman" w:hAnsi="Times New Roman"/>
          <w:i/>
          <w:noProof/>
          <w:sz w:val="20"/>
          <w:szCs w:val="20"/>
          <w:lang w:bidi="ar-SA"/>
        </w:rPr>
        <w:t xml:space="preserve">*Corresponding author:  </w:t>
      </w:r>
      <w:r w:rsidRPr="00E73E30">
        <w:rPr>
          <w:rFonts w:ascii="Times New Roman" w:hAnsi="Times New Roman"/>
          <w:i/>
          <w:sz w:val="20"/>
          <w:szCs w:val="20"/>
        </w:rPr>
        <w:t>chmlifys@nus.edu.sg</w:t>
      </w:r>
    </w:p>
    <w:p w:rsidR="00E73E30" w:rsidRPr="00E73E30" w:rsidRDefault="00E73E30" w:rsidP="00E73E30">
      <w:pPr>
        <w:spacing w:after="0" w:line="240" w:lineRule="auto"/>
        <w:jc w:val="center"/>
        <w:rPr>
          <w:rFonts w:ascii="Times New Roman" w:hAnsi="Times New Roman"/>
          <w:noProof/>
          <w:sz w:val="20"/>
          <w:szCs w:val="20"/>
          <w:lang w:bidi="ar-SA"/>
        </w:rPr>
      </w:pPr>
    </w:p>
    <w:p w:rsidR="00E73E30" w:rsidRPr="00E73E30" w:rsidRDefault="00E73E30" w:rsidP="00E73E30">
      <w:pPr>
        <w:spacing w:after="0" w:line="240" w:lineRule="auto"/>
        <w:jc w:val="center"/>
        <w:rPr>
          <w:rFonts w:ascii="Times New Roman" w:hAnsi="Times New Roman"/>
          <w:noProof/>
          <w:sz w:val="20"/>
          <w:szCs w:val="20"/>
          <w:lang w:bidi="ar-SA"/>
        </w:rPr>
      </w:pPr>
    </w:p>
    <w:p w:rsidR="00E73E30" w:rsidRPr="00E73E30" w:rsidRDefault="00E73E30" w:rsidP="00E73E30">
      <w:pPr>
        <w:spacing w:after="0" w:line="240" w:lineRule="auto"/>
        <w:jc w:val="center"/>
        <w:rPr>
          <w:rFonts w:ascii="Times New Roman" w:hAnsi="Times New Roman"/>
          <w:noProof/>
          <w:sz w:val="20"/>
          <w:szCs w:val="20"/>
          <w:lang w:bidi="ar-SA"/>
        </w:rPr>
      </w:pPr>
      <w:r w:rsidRPr="00E73E30">
        <w:rPr>
          <w:rFonts w:ascii="Times New Roman" w:hAnsi="Times New Roman"/>
          <w:noProof/>
          <w:sz w:val="20"/>
          <w:szCs w:val="20"/>
          <w:lang w:bidi="ar-SA"/>
        </w:rPr>
        <w:t>Received: 7 November 2016; Accepted: 18 September 2017</w:t>
      </w:r>
    </w:p>
    <w:p w:rsidR="00E73E30" w:rsidRPr="00E73E30" w:rsidRDefault="00E73E30" w:rsidP="00E73E30">
      <w:pPr>
        <w:spacing w:after="0" w:line="240" w:lineRule="auto"/>
        <w:jc w:val="center"/>
        <w:rPr>
          <w:rFonts w:ascii="Times New Roman" w:hAnsi="Times New Roman"/>
          <w:noProof/>
          <w:sz w:val="20"/>
          <w:szCs w:val="20"/>
          <w:lang w:bidi="ar-SA"/>
        </w:rPr>
      </w:pPr>
    </w:p>
    <w:p w:rsidR="00E73E30" w:rsidRPr="00E73E30" w:rsidRDefault="00E73E30" w:rsidP="00E73E30">
      <w:pPr>
        <w:spacing w:after="0" w:line="240" w:lineRule="auto"/>
        <w:jc w:val="center"/>
        <w:rPr>
          <w:rFonts w:ascii="Times New Roman" w:hAnsi="Times New Roman"/>
          <w:noProof/>
          <w:sz w:val="20"/>
          <w:szCs w:val="20"/>
          <w:lang w:bidi="ar-SA"/>
        </w:rPr>
      </w:pPr>
    </w:p>
    <w:p w:rsidR="00E73E30" w:rsidRPr="00E73E30" w:rsidRDefault="00E73E30" w:rsidP="00E73E30">
      <w:pPr>
        <w:spacing w:after="0" w:line="240" w:lineRule="auto"/>
        <w:jc w:val="center"/>
        <w:rPr>
          <w:rFonts w:ascii="Times New Roman" w:hAnsi="Times New Roman"/>
          <w:b/>
          <w:noProof/>
          <w:sz w:val="20"/>
          <w:szCs w:val="20"/>
          <w:lang w:bidi="ar-SA"/>
        </w:rPr>
      </w:pPr>
      <w:r w:rsidRPr="00E73E30">
        <w:rPr>
          <w:rFonts w:ascii="Times New Roman" w:hAnsi="Times New Roman"/>
          <w:b/>
          <w:noProof/>
          <w:sz w:val="20"/>
          <w:szCs w:val="20"/>
          <w:lang w:bidi="ar-SA"/>
        </w:rPr>
        <w:t>Abstract</w:t>
      </w:r>
    </w:p>
    <w:p w:rsidR="00E73E30" w:rsidRPr="00E73E30" w:rsidRDefault="00E73E30" w:rsidP="00E73E30">
      <w:pPr>
        <w:pStyle w:val="Abstract"/>
        <w:spacing w:before="0" w:after="0" w:line="240" w:lineRule="auto"/>
        <w:ind w:left="0" w:right="24"/>
        <w:rPr>
          <w:sz w:val="20"/>
        </w:rPr>
      </w:pPr>
      <w:r w:rsidRPr="00E73E30">
        <w:rPr>
          <w:sz w:val="20"/>
          <w:shd w:val="clear" w:color="auto" w:fill="FFFFFF"/>
        </w:rPr>
        <w:t xml:space="preserve">Endotoxins are known to many as bacterial toxins. </w:t>
      </w:r>
      <w:r w:rsidRPr="00E73E30">
        <w:rPr>
          <w:sz w:val="20"/>
        </w:rPr>
        <w:t xml:space="preserve">Conventional analysis of endotoxins by capillary electrophoresis-mass spectrometry is laborious and time consuming. A faster capillary electrophoresis method using direct ultraviolet (UV) detection was performed to analyze endotoxins isolated from </w:t>
      </w:r>
      <w:r w:rsidRPr="00E73E30">
        <w:rPr>
          <w:i/>
          <w:sz w:val="20"/>
        </w:rPr>
        <w:t>Escherichia coli</w:t>
      </w:r>
      <w:r w:rsidRPr="00E73E30">
        <w:rPr>
          <w:sz w:val="20"/>
        </w:rPr>
        <w:t xml:space="preserve"> (</w:t>
      </w:r>
      <w:r w:rsidRPr="00E73E30">
        <w:rPr>
          <w:i/>
          <w:sz w:val="20"/>
        </w:rPr>
        <w:t>E. coli</w:t>
      </w:r>
      <w:r w:rsidRPr="00E73E30">
        <w:rPr>
          <w:sz w:val="20"/>
        </w:rPr>
        <w:t xml:space="preserve">) 055:B5 and UT189. In this study, we compared different running buffers and buffer additives to examine the effects of each on the electropherograms obtained. The optimum buffer system was then used to analyze of lipopolysaccharides (LPS) signals from the bacteria </w:t>
      </w:r>
      <w:r w:rsidRPr="00E73E30">
        <w:rPr>
          <w:i/>
          <w:sz w:val="20"/>
        </w:rPr>
        <w:t>E. coli</w:t>
      </w:r>
      <w:r w:rsidRPr="00E73E30">
        <w:rPr>
          <w:sz w:val="20"/>
        </w:rPr>
        <w:t xml:space="preserve"> 055:B5 (source strain CDC 1644-70), </w:t>
      </w:r>
      <w:r w:rsidRPr="00E73E30">
        <w:rPr>
          <w:i/>
          <w:sz w:val="20"/>
        </w:rPr>
        <w:t>E. coli</w:t>
      </w:r>
      <w:r w:rsidRPr="00E73E30">
        <w:rPr>
          <w:sz w:val="20"/>
        </w:rPr>
        <w:t xml:space="preserve"> K-235 (source strain ATCC 13027) and </w:t>
      </w:r>
      <w:r w:rsidRPr="00E73E30">
        <w:rPr>
          <w:i/>
          <w:sz w:val="20"/>
        </w:rPr>
        <w:t>Klebsiella pneumoniae</w:t>
      </w:r>
      <w:r w:rsidRPr="00E73E30">
        <w:rPr>
          <w:sz w:val="20"/>
        </w:rPr>
        <w:t xml:space="preserve"> (source strain ATCC 15380). The data generated for each variant peak showed very good precision and high reproducibility for migration time with percentage RSD values of ≤1.2% (n = 3). Similarly, the percentage RSD for peak areas were ≤5.3% (n = 3) across the three LPS.</w:t>
      </w:r>
    </w:p>
    <w:p w:rsidR="00E73E30" w:rsidRPr="00E73E30" w:rsidRDefault="00E73E30" w:rsidP="00E73E30">
      <w:pPr>
        <w:pStyle w:val="Abstract"/>
        <w:spacing w:before="0" w:after="0" w:line="240" w:lineRule="auto"/>
        <w:ind w:left="0" w:right="24"/>
        <w:rPr>
          <w:sz w:val="20"/>
        </w:rPr>
      </w:pPr>
      <w:r w:rsidRPr="00E73E30">
        <w:rPr>
          <w:sz w:val="20"/>
        </w:rPr>
        <w:t xml:space="preserve">  </w:t>
      </w:r>
    </w:p>
    <w:p w:rsidR="00E73E30" w:rsidRPr="00E73E30" w:rsidRDefault="00E73E30" w:rsidP="00E73E30">
      <w:pPr>
        <w:spacing w:after="0" w:line="240" w:lineRule="auto"/>
        <w:ind w:right="78"/>
        <w:jc w:val="both"/>
        <w:rPr>
          <w:rFonts w:ascii="Times New Roman" w:hAnsi="Times New Roman"/>
          <w:sz w:val="20"/>
          <w:szCs w:val="20"/>
        </w:rPr>
      </w:pPr>
      <w:r w:rsidRPr="00E73E30">
        <w:rPr>
          <w:rFonts w:ascii="Times New Roman" w:hAnsi="Times New Roman"/>
          <w:b/>
          <w:sz w:val="20"/>
          <w:szCs w:val="20"/>
        </w:rPr>
        <w:t>Keywords</w:t>
      </w:r>
      <w:r w:rsidRPr="00E73E30">
        <w:rPr>
          <w:rFonts w:ascii="Times New Roman" w:hAnsi="Times New Roman"/>
          <w:sz w:val="20"/>
          <w:szCs w:val="20"/>
        </w:rPr>
        <w:t>:  capillary electrophoresis, direct UV, endotoxin, lipopolysaccharides, buffer</w:t>
      </w:r>
    </w:p>
    <w:p w:rsidR="00E73E30" w:rsidRPr="00E73E30" w:rsidRDefault="00E73E30" w:rsidP="00E73E30">
      <w:pPr>
        <w:spacing w:after="0" w:line="240" w:lineRule="auto"/>
        <w:ind w:right="78"/>
        <w:jc w:val="center"/>
        <w:rPr>
          <w:rFonts w:ascii="Times New Roman" w:hAnsi="Times New Roman"/>
          <w:sz w:val="20"/>
          <w:szCs w:val="20"/>
        </w:rPr>
      </w:pPr>
    </w:p>
    <w:p w:rsidR="00E73E30" w:rsidRPr="00E73E30" w:rsidRDefault="00E73E30" w:rsidP="00E73E30">
      <w:pPr>
        <w:pStyle w:val="Abstract"/>
        <w:spacing w:before="0" w:after="0" w:line="240" w:lineRule="auto"/>
        <w:ind w:left="0" w:right="24"/>
        <w:jc w:val="center"/>
        <w:rPr>
          <w:b/>
          <w:sz w:val="20"/>
        </w:rPr>
      </w:pPr>
      <w:r w:rsidRPr="00E73E30">
        <w:rPr>
          <w:b/>
          <w:sz w:val="20"/>
        </w:rPr>
        <w:t>Abstrak</w:t>
      </w:r>
    </w:p>
    <w:p w:rsidR="00E73E30" w:rsidRPr="00E73E30" w:rsidRDefault="00E73E30" w:rsidP="00E73E30">
      <w:pPr>
        <w:pStyle w:val="Abstract"/>
        <w:spacing w:before="0" w:after="0" w:line="240" w:lineRule="auto"/>
        <w:ind w:left="0" w:right="24"/>
        <w:rPr>
          <w:sz w:val="20"/>
          <w:lang w:val="ms-MY"/>
        </w:rPr>
      </w:pPr>
      <w:r w:rsidRPr="00E73E30">
        <w:rPr>
          <w:sz w:val="20"/>
          <w:lang w:val="ms-MY"/>
        </w:rPr>
        <w:t xml:space="preserve">Endotoksin diketahui sebagai bakteria yang berbahaya. Kaedah konvensional bagi endotoksin oleh elektroforesis kapilari-jisim spektrometri adalah bersifat rumit dan memerlukan tempoh masa yang panjang. Kaedah elektroforesis kapilari yang pantas menggunakan pengesan ultralembayung telah dijalankan untuk menganalisa endotoksin yang dipisahkan dari </w:t>
      </w:r>
      <w:r w:rsidRPr="00E73E30">
        <w:rPr>
          <w:i/>
          <w:sz w:val="20"/>
          <w:lang w:val="ms-MY"/>
        </w:rPr>
        <w:t>Escherichia coli</w:t>
      </w:r>
      <w:r w:rsidRPr="00E73E30">
        <w:rPr>
          <w:sz w:val="20"/>
          <w:lang w:val="ms-MY"/>
        </w:rPr>
        <w:t xml:space="preserve"> (E. coli) 055:B5 and UT189. Dalam kajian ini, larutan penimbal yang berbeza telah diuji dan penambahan penimbal dilakukan untuk mengkaji kesan bagi setiap elektropherogram yang terhasil. Sistem penimbal yang optimum kemudian digunakan untuk menganalisa respon lipopolisakarida (LPS) dari bakteria </w:t>
      </w:r>
      <w:r w:rsidRPr="00E73E30">
        <w:rPr>
          <w:i/>
          <w:sz w:val="20"/>
          <w:lang w:val="ms-MY"/>
        </w:rPr>
        <w:t>E. coli</w:t>
      </w:r>
      <w:r w:rsidRPr="00E73E30">
        <w:rPr>
          <w:sz w:val="20"/>
          <w:lang w:val="ms-MY"/>
        </w:rPr>
        <w:t xml:space="preserve"> 055:B5 (sumber strain CDC 1644-70), </w:t>
      </w:r>
      <w:r w:rsidRPr="00E73E30">
        <w:rPr>
          <w:i/>
          <w:sz w:val="20"/>
          <w:lang w:val="ms-MY"/>
        </w:rPr>
        <w:t>E. coli</w:t>
      </w:r>
      <w:r w:rsidRPr="00E73E30">
        <w:rPr>
          <w:sz w:val="20"/>
          <w:lang w:val="ms-MY"/>
        </w:rPr>
        <w:t xml:space="preserve"> K-235 (sumber strain ATCC 13027) and </w:t>
      </w:r>
      <w:r w:rsidRPr="00E73E30">
        <w:rPr>
          <w:i/>
          <w:sz w:val="20"/>
          <w:lang w:val="ms-MY"/>
        </w:rPr>
        <w:t>Klebsiella pneumoniae</w:t>
      </w:r>
      <w:r w:rsidRPr="00E73E30">
        <w:rPr>
          <w:sz w:val="20"/>
          <w:lang w:val="ms-MY"/>
        </w:rPr>
        <w:t xml:space="preserve"> (sumber strain ATCC 15380). Data yang terhasil bagi puncak setiap varian menunjukkan ia adalah jitu dan kebolehulangan yang tinggi bagi masa pemindahan dengan nilai peratus RSD ialah ≤1.2% (n = 3). Begitu juga, peratus RSD bagi luas – luas puncak ketiga – tiga LPS ialah ≤5.3% (n = 3).</w:t>
      </w:r>
    </w:p>
    <w:p w:rsidR="00E73E30" w:rsidRPr="00E73E30" w:rsidRDefault="00E73E30" w:rsidP="00E73E30">
      <w:pPr>
        <w:pStyle w:val="Abstract"/>
        <w:spacing w:before="0" w:after="0" w:line="240" w:lineRule="auto"/>
        <w:ind w:left="0" w:right="24"/>
        <w:rPr>
          <w:sz w:val="20"/>
        </w:rPr>
      </w:pPr>
      <w:r w:rsidRPr="00E73E30">
        <w:rPr>
          <w:sz w:val="20"/>
        </w:rPr>
        <w:t xml:space="preserve">  </w:t>
      </w:r>
    </w:p>
    <w:p w:rsidR="005646A0" w:rsidRDefault="00E73E30" w:rsidP="00E73E30">
      <w:pPr>
        <w:spacing w:after="0" w:line="240" w:lineRule="auto"/>
        <w:jc w:val="both"/>
        <w:rPr>
          <w:rFonts w:ascii="Times New Roman" w:hAnsi="Times New Roman"/>
          <w:sz w:val="20"/>
          <w:szCs w:val="20"/>
          <w:lang w:val="ms-MY"/>
        </w:rPr>
      </w:pPr>
      <w:r w:rsidRPr="00E73E30">
        <w:rPr>
          <w:rFonts w:ascii="Times New Roman" w:hAnsi="Times New Roman"/>
          <w:b/>
          <w:sz w:val="20"/>
          <w:szCs w:val="20"/>
          <w:lang w:val="ms-MY"/>
        </w:rPr>
        <w:t>Kata kunci</w:t>
      </w:r>
      <w:r w:rsidRPr="00E73E30">
        <w:rPr>
          <w:rFonts w:ascii="Times New Roman" w:hAnsi="Times New Roman"/>
          <w:sz w:val="20"/>
          <w:szCs w:val="20"/>
          <w:lang w:val="ms-MY"/>
        </w:rPr>
        <w:t>:</w:t>
      </w:r>
      <w:r w:rsidRPr="00E73E30">
        <w:rPr>
          <w:rFonts w:ascii="Times New Roman" w:hAnsi="Times New Roman"/>
          <w:b/>
          <w:sz w:val="20"/>
          <w:szCs w:val="20"/>
          <w:lang w:val="ms-MY"/>
        </w:rPr>
        <w:t xml:space="preserve">  </w:t>
      </w:r>
      <w:r w:rsidRPr="00E73E30">
        <w:rPr>
          <w:rFonts w:ascii="Times New Roman" w:hAnsi="Times New Roman"/>
          <w:sz w:val="20"/>
          <w:szCs w:val="20"/>
          <w:lang w:val="ms-MY"/>
        </w:rPr>
        <w:t>elektroforesis kapilari, UV langsung, endotoksin, lipopolisakarida, penimbal</w:t>
      </w:r>
    </w:p>
    <w:p w:rsidR="00E73E30" w:rsidRDefault="00E73E30" w:rsidP="00E73E30">
      <w:pPr>
        <w:spacing w:after="0" w:line="240" w:lineRule="auto"/>
        <w:jc w:val="both"/>
        <w:rPr>
          <w:rFonts w:ascii="Times New Roman" w:hAnsi="Times New Roman"/>
          <w:sz w:val="20"/>
          <w:szCs w:val="20"/>
          <w:lang w:val="ms-MY"/>
        </w:rPr>
      </w:pPr>
    </w:p>
    <w:p w:rsidR="00E73E30" w:rsidRPr="00F447A7" w:rsidRDefault="00E73E30" w:rsidP="00E73E3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Ramachandran, G. (2014). Gram-positive and gram-negative bacterial toxins in sepsis: A brief review. </w:t>
      </w:r>
      <w:r w:rsidRPr="0086702C">
        <w:rPr>
          <w:rFonts w:ascii="Times New Roman" w:hAnsi="Times New Roman"/>
          <w:i/>
          <w:sz w:val="20"/>
          <w:szCs w:val="20"/>
        </w:rPr>
        <w:t>Virulence</w:t>
      </w:r>
      <w:r w:rsidRPr="0086702C">
        <w:rPr>
          <w:rFonts w:ascii="Times New Roman" w:hAnsi="Times New Roman"/>
          <w:sz w:val="20"/>
          <w:szCs w:val="20"/>
        </w:rPr>
        <w:t>, 5(1): 213 – 218.</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Laitinen, S., Kangas, J., Kotimaa, M., Liesivuori, J., Martikainen, P. J., Nevalainen, A., Sarantila, R. and Husman, K. (1994). Workers' exposure to airborne bacteria and endotoxins at industrial wastewater treatment plants. </w:t>
      </w:r>
      <w:r w:rsidRPr="0086702C">
        <w:rPr>
          <w:rFonts w:ascii="Times New Roman" w:hAnsi="Times New Roman"/>
          <w:i/>
          <w:sz w:val="20"/>
          <w:szCs w:val="20"/>
        </w:rPr>
        <w:t>American Industrial Hygiene Association</w:t>
      </w:r>
      <w:r w:rsidRPr="0086702C">
        <w:rPr>
          <w:rFonts w:ascii="Times New Roman" w:hAnsi="Times New Roman"/>
          <w:sz w:val="20"/>
          <w:szCs w:val="20"/>
        </w:rPr>
        <w:t>, 55(11): 1055 – 1060.</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Jorgensen, J. H., Lee, J. C. and Pahren, H. R. (1976). Rapid detection of bacterial endotoxins in drinking water and renovated wastewater. </w:t>
      </w:r>
      <w:r w:rsidRPr="0086702C">
        <w:rPr>
          <w:rFonts w:ascii="Times New Roman" w:hAnsi="Times New Roman"/>
          <w:i/>
          <w:sz w:val="20"/>
          <w:szCs w:val="20"/>
        </w:rPr>
        <w:t>Applied and Environmental Microbiology</w:t>
      </w:r>
      <w:r w:rsidRPr="0086702C">
        <w:rPr>
          <w:rFonts w:ascii="Times New Roman" w:hAnsi="Times New Roman"/>
          <w:sz w:val="20"/>
          <w:szCs w:val="20"/>
        </w:rPr>
        <w:t>, 32(3): 347 – 351.</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Kastowsky, M., Gutberlet, T. and Bradaczek, H. (1992). Molecular modelling of the three-dimensional structure and conformational flexibility of bacterial lipopolysaccharide. </w:t>
      </w:r>
      <w:r w:rsidRPr="0086702C">
        <w:rPr>
          <w:rFonts w:ascii="Times New Roman" w:hAnsi="Times New Roman"/>
          <w:i/>
          <w:sz w:val="20"/>
          <w:szCs w:val="20"/>
        </w:rPr>
        <w:t>Journal of Bacteriology</w:t>
      </w:r>
      <w:r w:rsidRPr="0086702C">
        <w:rPr>
          <w:rFonts w:ascii="Times New Roman" w:hAnsi="Times New Roman"/>
          <w:sz w:val="20"/>
          <w:szCs w:val="20"/>
        </w:rPr>
        <w:t>, 174(14): 4798 – 4806.</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Silhavy, T. J., Kahne, D. and Walker, S. (2010). The bacterial cell envelope. </w:t>
      </w:r>
      <w:r w:rsidRPr="0086702C">
        <w:rPr>
          <w:rFonts w:ascii="Times New Roman" w:hAnsi="Times New Roman"/>
          <w:i/>
          <w:sz w:val="20"/>
          <w:szCs w:val="20"/>
        </w:rPr>
        <w:t>Cold Spring Harbor Perspectives in Biology</w:t>
      </w:r>
      <w:r w:rsidRPr="0086702C">
        <w:rPr>
          <w:rFonts w:ascii="Times New Roman" w:hAnsi="Times New Roman"/>
          <w:sz w:val="20"/>
          <w:szCs w:val="20"/>
        </w:rPr>
        <w:t>, 2(5): 1 – 16.</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Kilár, A., Dörnyei, Á. and Kocsis, B. (2013). Structural characterization of bacterial lipopolysaccharides with mass spectrometry and on</w:t>
      </w:r>
      <w:r w:rsidRPr="0086702C">
        <w:rPr>
          <w:rFonts w:ascii="Cambria Math" w:hAnsi="Cambria Math" w:cs="Cambria Math"/>
          <w:sz w:val="20"/>
          <w:szCs w:val="20"/>
        </w:rPr>
        <w:t>‐</w:t>
      </w:r>
      <w:r w:rsidRPr="0086702C">
        <w:rPr>
          <w:rFonts w:ascii="Times New Roman" w:hAnsi="Times New Roman"/>
          <w:sz w:val="20"/>
          <w:szCs w:val="20"/>
        </w:rPr>
        <w:t>and off</w:t>
      </w:r>
      <w:r w:rsidRPr="0086702C">
        <w:rPr>
          <w:rFonts w:ascii="Cambria Math" w:hAnsi="Cambria Math" w:cs="Cambria Math"/>
          <w:sz w:val="20"/>
          <w:szCs w:val="20"/>
        </w:rPr>
        <w:t>‐</w:t>
      </w:r>
      <w:r w:rsidRPr="0086702C">
        <w:rPr>
          <w:rFonts w:ascii="Times New Roman" w:hAnsi="Times New Roman"/>
          <w:sz w:val="20"/>
          <w:szCs w:val="20"/>
        </w:rPr>
        <w:t xml:space="preserve">line separation techniques. </w:t>
      </w:r>
      <w:r w:rsidRPr="0086702C">
        <w:rPr>
          <w:rFonts w:ascii="Times New Roman" w:hAnsi="Times New Roman"/>
          <w:i/>
          <w:sz w:val="20"/>
          <w:szCs w:val="20"/>
        </w:rPr>
        <w:t>Mass Spectrometry Reviews</w:t>
      </w:r>
      <w:r w:rsidRPr="0086702C">
        <w:rPr>
          <w:rFonts w:ascii="Times New Roman" w:hAnsi="Times New Roman"/>
          <w:sz w:val="20"/>
          <w:szCs w:val="20"/>
        </w:rPr>
        <w:t>, 32(2): 90 – 117.</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Lamari, F. N., Gioldassi, X. M., Mitropoulou, T. N. and Karamanos, N. K. (2002). Structure analysis of lipoglycans and lipoglycan</w:t>
      </w:r>
      <w:r w:rsidRPr="0086702C">
        <w:rPr>
          <w:rFonts w:ascii="Cambria Math" w:hAnsi="Cambria Math" w:cs="Cambria Math"/>
          <w:sz w:val="20"/>
          <w:szCs w:val="20"/>
        </w:rPr>
        <w:t>‐</w:t>
      </w:r>
      <w:r w:rsidRPr="0086702C">
        <w:rPr>
          <w:rFonts w:ascii="Times New Roman" w:hAnsi="Times New Roman"/>
          <w:sz w:val="20"/>
          <w:szCs w:val="20"/>
        </w:rPr>
        <w:t xml:space="preserve">derived carbohydrates by capillary electrophoresis and mass spectrometry. </w:t>
      </w:r>
      <w:r w:rsidRPr="0086702C">
        <w:rPr>
          <w:rFonts w:ascii="Times New Roman" w:hAnsi="Times New Roman"/>
          <w:i/>
          <w:sz w:val="20"/>
          <w:szCs w:val="20"/>
        </w:rPr>
        <w:t>Biomedical Chromatography</w:t>
      </w:r>
      <w:r w:rsidRPr="0086702C">
        <w:rPr>
          <w:rFonts w:ascii="Times New Roman" w:hAnsi="Times New Roman"/>
          <w:sz w:val="20"/>
          <w:szCs w:val="20"/>
        </w:rPr>
        <w:t>, 16(2): 116 – 126.</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Volpi, N., Maccari, F. and Linhardt, R. J. (2008). Capillary electrophoresis of complex natural polysaccharides. </w:t>
      </w:r>
      <w:r w:rsidRPr="0086702C">
        <w:rPr>
          <w:rFonts w:ascii="Times New Roman" w:hAnsi="Times New Roman"/>
          <w:i/>
          <w:sz w:val="20"/>
          <w:szCs w:val="20"/>
        </w:rPr>
        <w:t>Electrophoresis</w:t>
      </w:r>
      <w:r w:rsidRPr="0086702C">
        <w:rPr>
          <w:rFonts w:ascii="Times New Roman" w:hAnsi="Times New Roman"/>
          <w:sz w:val="20"/>
          <w:szCs w:val="20"/>
        </w:rPr>
        <w:t>, 29(15): 3095 – 3106.</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lang w:val="es-ES"/>
        </w:rPr>
        <w:t xml:space="preserve">Restaino, O. F., Cimini, D., De Rosa, M., De Castro, C., Parrilli, M. and Schiraldi, C. (2009). </w:t>
      </w:r>
      <w:r w:rsidRPr="0086702C">
        <w:rPr>
          <w:rFonts w:ascii="Times New Roman" w:hAnsi="Times New Roman"/>
          <w:sz w:val="20"/>
          <w:szCs w:val="20"/>
        </w:rPr>
        <w:t>High</w:t>
      </w:r>
      <w:r w:rsidRPr="0086702C">
        <w:rPr>
          <w:rFonts w:ascii="Cambria Math" w:hAnsi="Cambria Math" w:cs="Cambria Math"/>
          <w:sz w:val="20"/>
          <w:szCs w:val="20"/>
        </w:rPr>
        <w:t>‐</w:t>
      </w:r>
      <w:r w:rsidRPr="0086702C">
        <w:rPr>
          <w:rFonts w:ascii="Times New Roman" w:hAnsi="Times New Roman"/>
          <w:sz w:val="20"/>
          <w:szCs w:val="20"/>
        </w:rPr>
        <w:t xml:space="preserve">performance CE of </w:t>
      </w:r>
      <w:r w:rsidRPr="0086702C">
        <w:rPr>
          <w:rFonts w:ascii="Times New Roman" w:hAnsi="Times New Roman"/>
          <w:i/>
          <w:sz w:val="20"/>
          <w:szCs w:val="20"/>
        </w:rPr>
        <w:t>Escherichia coli</w:t>
      </w:r>
      <w:r w:rsidRPr="0086702C">
        <w:rPr>
          <w:rFonts w:ascii="Times New Roman" w:hAnsi="Times New Roman"/>
          <w:sz w:val="20"/>
          <w:szCs w:val="20"/>
        </w:rPr>
        <w:t xml:space="preserve"> K4 cell surface polysaccharides. </w:t>
      </w:r>
      <w:r w:rsidRPr="0086702C">
        <w:rPr>
          <w:rFonts w:ascii="Times New Roman" w:hAnsi="Times New Roman"/>
          <w:i/>
          <w:sz w:val="20"/>
          <w:szCs w:val="20"/>
        </w:rPr>
        <w:t>Electrophoresis</w:t>
      </w:r>
      <w:r w:rsidRPr="0086702C">
        <w:rPr>
          <w:rFonts w:ascii="Times New Roman" w:hAnsi="Times New Roman"/>
          <w:sz w:val="20"/>
          <w:szCs w:val="20"/>
        </w:rPr>
        <w:t>, 30(22): 3877 –</w:t>
      </w:r>
      <w:r>
        <w:rPr>
          <w:rFonts w:ascii="Times New Roman" w:hAnsi="Times New Roman"/>
          <w:sz w:val="20"/>
          <w:szCs w:val="20"/>
        </w:rPr>
        <w:t xml:space="preserve"> </w:t>
      </w:r>
      <w:r w:rsidRPr="0086702C">
        <w:rPr>
          <w:rFonts w:ascii="Times New Roman" w:hAnsi="Times New Roman"/>
          <w:sz w:val="20"/>
          <w:szCs w:val="20"/>
        </w:rPr>
        <w:t>3883.</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Volpi, N. (2003). Separation of </w:t>
      </w:r>
      <w:r w:rsidRPr="0086702C">
        <w:rPr>
          <w:rFonts w:ascii="Times New Roman" w:hAnsi="Times New Roman"/>
          <w:i/>
          <w:sz w:val="20"/>
          <w:szCs w:val="20"/>
        </w:rPr>
        <w:t>Escherichia coli</w:t>
      </w:r>
      <w:r w:rsidRPr="0086702C">
        <w:rPr>
          <w:rFonts w:ascii="Times New Roman" w:hAnsi="Times New Roman"/>
          <w:sz w:val="20"/>
          <w:szCs w:val="20"/>
        </w:rPr>
        <w:t xml:space="preserve"> 055: B5 lipopolysaccharide and detoxified lipopolysaccharide by high</w:t>
      </w:r>
      <w:r w:rsidRPr="0086702C">
        <w:rPr>
          <w:rFonts w:ascii="Cambria Math" w:hAnsi="Cambria Math" w:cs="Cambria Math"/>
          <w:sz w:val="20"/>
          <w:szCs w:val="20"/>
        </w:rPr>
        <w:t>‐</w:t>
      </w:r>
      <w:r w:rsidRPr="0086702C">
        <w:rPr>
          <w:rFonts w:ascii="Times New Roman" w:hAnsi="Times New Roman"/>
          <w:sz w:val="20"/>
          <w:szCs w:val="20"/>
        </w:rPr>
        <w:t xml:space="preserve">performance capillary electrophoresis. </w:t>
      </w:r>
      <w:r w:rsidRPr="0086702C">
        <w:rPr>
          <w:rFonts w:ascii="Times New Roman" w:hAnsi="Times New Roman"/>
          <w:i/>
          <w:sz w:val="20"/>
          <w:szCs w:val="20"/>
        </w:rPr>
        <w:t>Electrophoresis</w:t>
      </w:r>
      <w:r w:rsidRPr="0086702C">
        <w:rPr>
          <w:rFonts w:ascii="Times New Roman" w:hAnsi="Times New Roman"/>
          <w:sz w:val="20"/>
          <w:szCs w:val="20"/>
        </w:rPr>
        <w:t>, 24(17): 3097 – 3103.</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Eugene, C. Y. and Hackett, M. (2000). Rapid isolation method for lipopolysaccharide and lipid A from gram-negative bacteria. </w:t>
      </w:r>
      <w:r w:rsidRPr="0086702C">
        <w:rPr>
          <w:rFonts w:ascii="Times New Roman" w:hAnsi="Times New Roman"/>
          <w:i/>
          <w:sz w:val="20"/>
          <w:szCs w:val="20"/>
        </w:rPr>
        <w:t>Analyst</w:t>
      </w:r>
      <w:r w:rsidRPr="0086702C">
        <w:rPr>
          <w:rFonts w:ascii="Times New Roman" w:hAnsi="Times New Roman"/>
          <w:sz w:val="20"/>
          <w:szCs w:val="20"/>
        </w:rPr>
        <w:t>, 125(4): 651 – 656.</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Lan, M., Wu, J., Liu, W., Zhang, W., Ge, J., Zhang, H., Sun, J., Zhao, W. and Wang, P. (2012). Copolythiophene-derived colorimetric and fluorometric sensor for visually supersensitive determination of lipopolysaccharide. </w:t>
      </w:r>
      <w:r w:rsidRPr="0086702C">
        <w:rPr>
          <w:rFonts w:ascii="Times New Roman" w:hAnsi="Times New Roman"/>
          <w:i/>
          <w:sz w:val="20"/>
          <w:szCs w:val="20"/>
        </w:rPr>
        <w:t>Journal of the American Chemical Society</w:t>
      </w:r>
      <w:r w:rsidRPr="0086702C">
        <w:rPr>
          <w:rFonts w:ascii="Times New Roman" w:hAnsi="Times New Roman"/>
          <w:sz w:val="20"/>
          <w:szCs w:val="20"/>
        </w:rPr>
        <w:t>, 134(15): 6685 – 6694.</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Wu, S. F., Chiu, T. C., Ho, W. L. and Chang, H. T. (2009). Combining capillary electrophoresis with laser</w:t>
      </w:r>
      <w:r w:rsidRPr="0086702C">
        <w:rPr>
          <w:rFonts w:ascii="Cambria Math" w:hAnsi="Cambria Math" w:cs="Cambria Math"/>
          <w:sz w:val="20"/>
          <w:szCs w:val="20"/>
        </w:rPr>
        <w:t>‐</w:t>
      </w:r>
      <w:r w:rsidRPr="0086702C">
        <w:rPr>
          <w:rFonts w:ascii="Times New Roman" w:hAnsi="Times New Roman"/>
          <w:sz w:val="20"/>
          <w:szCs w:val="20"/>
        </w:rPr>
        <w:t xml:space="preserve">induced fluorescence detection for the analysis of Escherichia coli lysates. </w:t>
      </w:r>
      <w:r w:rsidRPr="0086702C">
        <w:rPr>
          <w:rFonts w:ascii="Times New Roman" w:hAnsi="Times New Roman"/>
          <w:i/>
          <w:sz w:val="20"/>
          <w:szCs w:val="20"/>
        </w:rPr>
        <w:t>Electrophoresis</w:t>
      </w:r>
      <w:r w:rsidRPr="0086702C">
        <w:rPr>
          <w:rFonts w:ascii="Times New Roman" w:hAnsi="Times New Roman"/>
          <w:sz w:val="20"/>
          <w:szCs w:val="20"/>
        </w:rPr>
        <w:t>, 30(13): 2397 – 2402.</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Wenz, C., Marchetti</w:t>
      </w:r>
      <w:r w:rsidRPr="0086702C">
        <w:rPr>
          <w:rFonts w:ascii="Cambria Math" w:hAnsi="Cambria Math" w:cs="Cambria Math"/>
          <w:sz w:val="20"/>
          <w:szCs w:val="20"/>
        </w:rPr>
        <w:t>‐</w:t>
      </w:r>
      <w:r w:rsidRPr="0086702C">
        <w:rPr>
          <w:rFonts w:ascii="Times New Roman" w:hAnsi="Times New Roman"/>
          <w:sz w:val="20"/>
          <w:szCs w:val="20"/>
        </w:rPr>
        <w:t>Deschmann, M., Herwig, E., Schröttner, E., Allmaier, G., Trojer, L., Vollmer, M. and Rüfer, A. (2010). A fluorescent derivatization method of proteins for the detection of low</w:t>
      </w:r>
      <w:r w:rsidRPr="0086702C">
        <w:rPr>
          <w:rFonts w:ascii="Cambria Math" w:hAnsi="Cambria Math" w:cs="Cambria Math"/>
          <w:sz w:val="20"/>
          <w:szCs w:val="20"/>
        </w:rPr>
        <w:t>‐</w:t>
      </w:r>
      <w:r w:rsidRPr="0086702C">
        <w:rPr>
          <w:rFonts w:ascii="Times New Roman" w:hAnsi="Times New Roman"/>
          <w:sz w:val="20"/>
          <w:szCs w:val="20"/>
        </w:rPr>
        <w:t xml:space="preserve">level impurities by microchip capillary gel electrophoresis. </w:t>
      </w:r>
      <w:r w:rsidRPr="0086702C">
        <w:rPr>
          <w:rFonts w:ascii="Times New Roman" w:hAnsi="Times New Roman"/>
          <w:i/>
          <w:sz w:val="20"/>
          <w:szCs w:val="20"/>
        </w:rPr>
        <w:t>Electrophoresis</w:t>
      </w:r>
      <w:r w:rsidRPr="0086702C">
        <w:rPr>
          <w:rFonts w:ascii="Times New Roman" w:hAnsi="Times New Roman"/>
          <w:sz w:val="20"/>
          <w:szCs w:val="20"/>
        </w:rPr>
        <w:t>, 31(4): 611 – 617.</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Volpi, N. (2004). Separation of capsular polysaccharide K4 and defructosylated K4 by high</w:t>
      </w:r>
      <w:r w:rsidRPr="0086702C">
        <w:rPr>
          <w:rFonts w:ascii="Cambria Math" w:hAnsi="Cambria Math" w:cs="Cambria Math"/>
          <w:sz w:val="20"/>
          <w:szCs w:val="20"/>
        </w:rPr>
        <w:t>‐</w:t>
      </w:r>
      <w:r w:rsidRPr="0086702C">
        <w:rPr>
          <w:rFonts w:ascii="Times New Roman" w:hAnsi="Times New Roman"/>
          <w:sz w:val="20"/>
          <w:szCs w:val="20"/>
        </w:rPr>
        <w:t xml:space="preserve">performance capillary electrophoresis. </w:t>
      </w:r>
      <w:r w:rsidRPr="0086702C">
        <w:rPr>
          <w:rFonts w:ascii="Times New Roman" w:hAnsi="Times New Roman"/>
          <w:i/>
          <w:sz w:val="20"/>
          <w:szCs w:val="20"/>
        </w:rPr>
        <w:t>Electrophoresis</w:t>
      </w:r>
      <w:r w:rsidRPr="0086702C">
        <w:rPr>
          <w:rFonts w:ascii="Times New Roman" w:hAnsi="Times New Roman"/>
          <w:sz w:val="20"/>
          <w:szCs w:val="20"/>
        </w:rPr>
        <w:t>, 25(4</w:t>
      </w:r>
      <w:r w:rsidRPr="0086702C">
        <w:rPr>
          <w:rFonts w:ascii="Cambria Math" w:hAnsi="Cambria Math" w:cs="Cambria Math"/>
          <w:sz w:val="20"/>
          <w:szCs w:val="20"/>
        </w:rPr>
        <w:t>‐</w:t>
      </w:r>
      <w:r w:rsidRPr="0086702C">
        <w:rPr>
          <w:rFonts w:ascii="Times New Roman" w:hAnsi="Times New Roman"/>
          <w:sz w:val="20"/>
          <w:szCs w:val="20"/>
        </w:rPr>
        <w:t>5): 692 – 696.</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Knudsen, C. B. and Beattie, J. H. (1997). On-line solid-phase extraction–capillary electrophoresis for enhanced detection sensitivity and selectivity: application to the analysis of metallothionein isoforms in sheep fetal liver. </w:t>
      </w:r>
      <w:r w:rsidRPr="0086702C">
        <w:rPr>
          <w:rFonts w:ascii="Times New Roman" w:hAnsi="Times New Roman"/>
          <w:i/>
          <w:sz w:val="20"/>
          <w:szCs w:val="20"/>
        </w:rPr>
        <w:t>Journal of Chromatography A</w:t>
      </w:r>
      <w:r w:rsidRPr="0086702C">
        <w:rPr>
          <w:rFonts w:ascii="Times New Roman" w:hAnsi="Times New Roman"/>
          <w:sz w:val="20"/>
          <w:szCs w:val="20"/>
        </w:rPr>
        <w:t>, 792(1): 463 – 473.</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Westphal, O. and Lüderitz, O. (1954). Chemische erforschung von lipopolysacchariden gramnegativer bakterien. </w:t>
      </w:r>
      <w:r w:rsidRPr="0086702C">
        <w:rPr>
          <w:rFonts w:ascii="Times New Roman" w:hAnsi="Times New Roman"/>
          <w:i/>
          <w:sz w:val="20"/>
          <w:szCs w:val="20"/>
        </w:rPr>
        <w:t>Angewandte Chemie</w:t>
      </w:r>
      <w:r w:rsidRPr="0086702C">
        <w:rPr>
          <w:rFonts w:ascii="Times New Roman" w:hAnsi="Times New Roman"/>
          <w:sz w:val="20"/>
          <w:szCs w:val="20"/>
        </w:rPr>
        <w:t>, 66(13</w:t>
      </w:r>
      <w:r w:rsidRPr="0086702C">
        <w:rPr>
          <w:rFonts w:ascii="Cambria Math" w:hAnsi="Cambria Math" w:cs="Cambria Math"/>
          <w:sz w:val="20"/>
          <w:szCs w:val="20"/>
        </w:rPr>
        <w:t>‐</w:t>
      </w:r>
      <w:r w:rsidRPr="0086702C">
        <w:rPr>
          <w:rFonts w:ascii="Times New Roman" w:hAnsi="Times New Roman"/>
          <w:sz w:val="20"/>
          <w:szCs w:val="20"/>
        </w:rPr>
        <w:t>14): 407 – 417.</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Yu, L., Yuan, L., Feng, H. and Li, S. F. Y. (2004). Determination of the bacterial pathogen </w:t>
      </w:r>
      <w:r w:rsidRPr="0086702C">
        <w:rPr>
          <w:rFonts w:ascii="Times New Roman" w:hAnsi="Times New Roman"/>
          <w:i/>
          <w:sz w:val="20"/>
          <w:szCs w:val="20"/>
        </w:rPr>
        <w:t>Edwardsiella tarda</w:t>
      </w:r>
      <w:r w:rsidRPr="0086702C">
        <w:rPr>
          <w:rFonts w:ascii="Times New Roman" w:hAnsi="Times New Roman"/>
          <w:sz w:val="20"/>
          <w:szCs w:val="20"/>
        </w:rPr>
        <w:t xml:space="preserve"> in fish species by capillary electrophoresis with blue light</w:t>
      </w:r>
      <w:r w:rsidRPr="0086702C">
        <w:rPr>
          <w:rFonts w:ascii="Cambria Math" w:hAnsi="Cambria Math" w:cs="Cambria Math"/>
          <w:sz w:val="20"/>
          <w:szCs w:val="20"/>
        </w:rPr>
        <w:t>‐</w:t>
      </w:r>
      <w:r w:rsidRPr="0086702C">
        <w:rPr>
          <w:rFonts w:ascii="Times New Roman" w:hAnsi="Times New Roman"/>
          <w:sz w:val="20"/>
          <w:szCs w:val="20"/>
        </w:rPr>
        <w:t>emitting diode</w:t>
      </w:r>
      <w:r w:rsidRPr="0086702C">
        <w:rPr>
          <w:rFonts w:ascii="Cambria Math" w:hAnsi="Cambria Math" w:cs="Cambria Math"/>
          <w:sz w:val="20"/>
          <w:szCs w:val="20"/>
        </w:rPr>
        <w:t>‐</w:t>
      </w:r>
      <w:r w:rsidRPr="0086702C">
        <w:rPr>
          <w:rFonts w:ascii="Times New Roman" w:hAnsi="Times New Roman"/>
          <w:sz w:val="20"/>
          <w:szCs w:val="20"/>
        </w:rPr>
        <w:t xml:space="preserve">induced fluorescence. </w:t>
      </w:r>
      <w:r w:rsidRPr="0086702C">
        <w:rPr>
          <w:rFonts w:ascii="Times New Roman" w:hAnsi="Times New Roman"/>
          <w:i/>
          <w:sz w:val="20"/>
          <w:szCs w:val="20"/>
        </w:rPr>
        <w:t>Electrophoresis</w:t>
      </w:r>
      <w:r w:rsidRPr="0086702C">
        <w:rPr>
          <w:rFonts w:ascii="Times New Roman" w:hAnsi="Times New Roman"/>
          <w:sz w:val="20"/>
          <w:szCs w:val="20"/>
        </w:rPr>
        <w:t>, 25(18</w:t>
      </w:r>
      <w:r w:rsidRPr="0086702C">
        <w:rPr>
          <w:rFonts w:ascii="Cambria Math" w:hAnsi="Cambria Math" w:cs="Cambria Math"/>
          <w:sz w:val="20"/>
          <w:szCs w:val="20"/>
        </w:rPr>
        <w:t>‐</w:t>
      </w:r>
      <w:r w:rsidRPr="0086702C">
        <w:rPr>
          <w:rFonts w:ascii="Times New Roman" w:hAnsi="Times New Roman"/>
          <w:sz w:val="20"/>
          <w:szCs w:val="20"/>
        </w:rPr>
        <w:t>19): 3139 – 3144.</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Venter, P. and Lues, J. F. R. (2003). Extraction methods for lipopolysaccharides from </w:t>
      </w:r>
      <w:r w:rsidRPr="0086702C">
        <w:rPr>
          <w:rFonts w:ascii="Times New Roman" w:hAnsi="Times New Roman"/>
          <w:i/>
          <w:sz w:val="20"/>
          <w:szCs w:val="20"/>
        </w:rPr>
        <w:t xml:space="preserve">Escherichia coli </w:t>
      </w:r>
      <w:r w:rsidRPr="0086702C">
        <w:rPr>
          <w:rFonts w:ascii="Times New Roman" w:hAnsi="Times New Roman"/>
          <w:sz w:val="20"/>
          <w:szCs w:val="20"/>
        </w:rPr>
        <w:t xml:space="preserve">ATCC 25922 for quantitative analysis by capillary electrophoresis. </w:t>
      </w:r>
      <w:r w:rsidRPr="0086702C">
        <w:rPr>
          <w:rFonts w:ascii="Times New Roman" w:hAnsi="Times New Roman"/>
          <w:i/>
          <w:sz w:val="20"/>
          <w:szCs w:val="20"/>
        </w:rPr>
        <w:t>International Journal of Food Microbiology</w:t>
      </w:r>
      <w:r w:rsidRPr="0086702C">
        <w:rPr>
          <w:rFonts w:ascii="Times New Roman" w:hAnsi="Times New Roman"/>
          <w:sz w:val="20"/>
          <w:szCs w:val="20"/>
        </w:rPr>
        <w:t>, 84(2): 245 – 250.</w:t>
      </w:r>
    </w:p>
    <w:p w:rsidR="00E73E30" w:rsidRPr="0086702C" w:rsidRDefault="00E73E30" w:rsidP="00E73E30">
      <w:pPr>
        <w:pStyle w:val="ListParagraph"/>
        <w:numPr>
          <w:ilvl w:val="0"/>
          <w:numId w:val="1"/>
        </w:numPr>
        <w:spacing w:after="0" w:line="240" w:lineRule="auto"/>
        <w:ind w:left="360"/>
        <w:contextualSpacing w:val="0"/>
        <w:jc w:val="both"/>
        <w:rPr>
          <w:rFonts w:ascii="Times New Roman" w:hAnsi="Times New Roman"/>
          <w:sz w:val="20"/>
          <w:szCs w:val="20"/>
        </w:rPr>
      </w:pPr>
      <w:r w:rsidRPr="0086702C">
        <w:rPr>
          <w:rFonts w:ascii="Times New Roman" w:hAnsi="Times New Roman"/>
          <w:sz w:val="20"/>
          <w:szCs w:val="20"/>
        </w:rPr>
        <w:t xml:space="preserve">Giordano, B. C., Muza, M., Trout, A. and Landers, J. P. (2000). Dynamically-coated capillaries allow for capillary electrophoretic resolution of transferrin sialoforms via direct analysis of human serum. </w:t>
      </w:r>
      <w:r w:rsidRPr="0086702C">
        <w:rPr>
          <w:rFonts w:ascii="Times New Roman" w:hAnsi="Times New Roman"/>
          <w:i/>
          <w:sz w:val="20"/>
          <w:szCs w:val="20"/>
        </w:rPr>
        <w:t>Journal of Chromatography B: Biomedical Sciences and Applications</w:t>
      </w:r>
      <w:r w:rsidRPr="0086702C">
        <w:rPr>
          <w:rFonts w:ascii="Times New Roman" w:hAnsi="Times New Roman"/>
          <w:sz w:val="20"/>
          <w:szCs w:val="20"/>
        </w:rPr>
        <w:t>, 742(1): 79 – 89.</w:t>
      </w:r>
    </w:p>
    <w:p w:rsidR="00E73E30" w:rsidRPr="00E73E30" w:rsidRDefault="00E73E30" w:rsidP="00E73E30">
      <w:pPr>
        <w:spacing w:after="0" w:line="240" w:lineRule="auto"/>
        <w:jc w:val="both"/>
        <w:rPr>
          <w:rFonts w:ascii="Times New Roman" w:hAnsi="Times New Roman"/>
          <w:noProof/>
          <w:sz w:val="20"/>
          <w:szCs w:val="20"/>
          <w:lang w:bidi="ar-SA"/>
        </w:rPr>
      </w:pPr>
    </w:p>
    <w:sectPr w:rsidR="00E73E30" w:rsidRPr="00E73E30" w:rsidSect="00E73E3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3514A"/>
    <w:multiLevelType w:val="hybridMultilevel"/>
    <w:tmpl w:val="16343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E30"/>
    <w:rsid w:val="005646A0"/>
    <w:rsid w:val="00B01F1F"/>
    <w:rsid w:val="00D0718B"/>
    <w:rsid w:val="00D40B1F"/>
    <w:rsid w:val="00E73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30"/>
    <w:rPr>
      <w:rFonts w:ascii="Cambria" w:eastAsia="Times New Roman" w:hAnsi="Cambria" w:cs="Times New Roman"/>
      <w:lang w:bidi="en-US"/>
    </w:rPr>
  </w:style>
  <w:style w:type="paragraph" w:styleId="Heading1">
    <w:name w:val="heading 1"/>
    <w:basedOn w:val="Normal"/>
    <w:next w:val="Normal"/>
    <w:link w:val="Heading1Char"/>
    <w:uiPriority w:val="9"/>
    <w:qFormat/>
    <w:rsid w:val="00E73E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next w:val="Normal"/>
    <w:rsid w:val="00E73E30"/>
    <w:pPr>
      <w:keepNext/>
      <w:keepLines/>
      <w:suppressAutoHyphens/>
      <w:spacing w:after="0" w:line="240" w:lineRule="auto"/>
      <w:jc w:val="center"/>
    </w:pPr>
    <w:rPr>
      <w:rFonts w:ascii="Times New Roman" w:hAnsi="Times New Roman"/>
      <w:caps/>
      <w:sz w:val="18"/>
      <w:szCs w:val="20"/>
      <w:lang w:bidi="ar-SA"/>
    </w:rPr>
  </w:style>
  <w:style w:type="paragraph" w:customStyle="1" w:styleId="Affiliation">
    <w:name w:val="Affiliation"/>
    <w:basedOn w:val="Normal"/>
    <w:next w:val="Normal"/>
    <w:rsid w:val="00E73E30"/>
    <w:pPr>
      <w:spacing w:before="60" w:after="320" w:line="240" w:lineRule="auto"/>
      <w:jc w:val="center"/>
    </w:pPr>
    <w:rPr>
      <w:rFonts w:ascii="Times New Roman" w:hAnsi="Times New Roman"/>
      <w:i/>
      <w:sz w:val="18"/>
      <w:szCs w:val="20"/>
      <w:lang w:bidi="ar-SA"/>
    </w:rPr>
  </w:style>
  <w:style w:type="paragraph" w:customStyle="1" w:styleId="Abstract">
    <w:name w:val="Abstract"/>
    <w:basedOn w:val="Normal"/>
    <w:next w:val="Heading1"/>
    <w:rsid w:val="00E73E30"/>
    <w:pPr>
      <w:spacing w:before="120" w:after="120" w:line="200" w:lineRule="atLeast"/>
      <w:ind w:left="360" w:right="360"/>
      <w:jc w:val="both"/>
    </w:pPr>
    <w:rPr>
      <w:rFonts w:ascii="Times New Roman" w:hAnsi="Times New Roman"/>
      <w:sz w:val="16"/>
      <w:szCs w:val="20"/>
      <w:lang w:bidi="ar-SA"/>
    </w:rPr>
  </w:style>
  <w:style w:type="character" w:customStyle="1" w:styleId="Heading1Char">
    <w:name w:val="Heading 1 Char"/>
    <w:basedOn w:val="DefaultParagraphFont"/>
    <w:link w:val="Heading1"/>
    <w:uiPriority w:val="9"/>
    <w:rsid w:val="00E73E30"/>
    <w:rPr>
      <w:rFonts w:asciiTheme="majorHAnsi" w:eastAsiaTheme="majorEastAsia" w:hAnsiTheme="majorHAnsi" w:cstheme="majorBidi"/>
      <w:b/>
      <w:bCs/>
      <w:color w:val="365F91" w:themeColor="accent1" w:themeShade="BF"/>
      <w:sz w:val="28"/>
      <w:szCs w:val="28"/>
      <w:lang w:bidi="en-US"/>
    </w:rPr>
  </w:style>
  <w:style w:type="paragraph" w:styleId="ListParagraph">
    <w:name w:val="List Paragraph"/>
    <w:basedOn w:val="Normal"/>
    <w:uiPriority w:val="34"/>
    <w:qFormat/>
    <w:rsid w:val="00E73E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30"/>
    <w:rPr>
      <w:rFonts w:ascii="Cambria" w:eastAsia="Times New Roman" w:hAnsi="Cambria" w:cs="Times New Roman"/>
      <w:lang w:bidi="en-US"/>
    </w:rPr>
  </w:style>
  <w:style w:type="paragraph" w:styleId="Heading1">
    <w:name w:val="heading 1"/>
    <w:basedOn w:val="Normal"/>
    <w:next w:val="Normal"/>
    <w:link w:val="Heading1Char"/>
    <w:uiPriority w:val="9"/>
    <w:qFormat/>
    <w:rsid w:val="00E73E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next w:val="Normal"/>
    <w:rsid w:val="00E73E30"/>
    <w:pPr>
      <w:keepNext/>
      <w:keepLines/>
      <w:suppressAutoHyphens/>
      <w:spacing w:after="0" w:line="240" w:lineRule="auto"/>
      <w:jc w:val="center"/>
    </w:pPr>
    <w:rPr>
      <w:rFonts w:ascii="Times New Roman" w:hAnsi="Times New Roman"/>
      <w:caps/>
      <w:sz w:val="18"/>
      <w:szCs w:val="20"/>
      <w:lang w:bidi="ar-SA"/>
    </w:rPr>
  </w:style>
  <w:style w:type="paragraph" w:customStyle="1" w:styleId="Affiliation">
    <w:name w:val="Affiliation"/>
    <w:basedOn w:val="Normal"/>
    <w:next w:val="Normal"/>
    <w:rsid w:val="00E73E30"/>
    <w:pPr>
      <w:spacing w:before="60" w:after="320" w:line="240" w:lineRule="auto"/>
      <w:jc w:val="center"/>
    </w:pPr>
    <w:rPr>
      <w:rFonts w:ascii="Times New Roman" w:hAnsi="Times New Roman"/>
      <w:i/>
      <w:sz w:val="18"/>
      <w:szCs w:val="20"/>
      <w:lang w:bidi="ar-SA"/>
    </w:rPr>
  </w:style>
  <w:style w:type="paragraph" w:customStyle="1" w:styleId="Abstract">
    <w:name w:val="Abstract"/>
    <w:basedOn w:val="Normal"/>
    <w:next w:val="Heading1"/>
    <w:rsid w:val="00E73E30"/>
    <w:pPr>
      <w:spacing w:before="120" w:after="120" w:line="200" w:lineRule="atLeast"/>
      <w:ind w:left="360" w:right="360"/>
      <w:jc w:val="both"/>
    </w:pPr>
    <w:rPr>
      <w:rFonts w:ascii="Times New Roman" w:hAnsi="Times New Roman"/>
      <w:sz w:val="16"/>
      <w:szCs w:val="20"/>
      <w:lang w:bidi="ar-SA"/>
    </w:rPr>
  </w:style>
  <w:style w:type="character" w:customStyle="1" w:styleId="Heading1Char">
    <w:name w:val="Heading 1 Char"/>
    <w:basedOn w:val="DefaultParagraphFont"/>
    <w:link w:val="Heading1"/>
    <w:uiPriority w:val="9"/>
    <w:rsid w:val="00E73E30"/>
    <w:rPr>
      <w:rFonts w:asciiTheme="majorHAnsi" w:eastAsiaTheme="majorEastAsia" w:hAnsiTheme="majorHAnsi" w:cstheme="majorBidi"/>
      <w:b/>
      <w:bCs/>
      <w:color w:val="365F91" w:themeColor="accent1" w:themeShade="BF"/>
      <w:sz w:val="28"/>
      <w:szCs w:val="28"/>
      <w:lang w:bidi="en-US"/>
    </w:rPr>
  </w:style>
  <w:style w:type="paragraph" w:styleId="ListParagraph">
    <w:name w:val="List Paragraph"/>
    <w:basedOn w:val="Normal"/>
    <w:uiPriority w:val="34"/>
    <w:qFormat/>
    <w:rsid w:val="00E73E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1100</Words>
  <Characters>6281</Characters>
  <Application>Microsoft Office Word</Application>
  <DocSecurity>0</DocSecurity>
  <Lines>165</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2017-12-01T23:55:00Z</dcterms:created>
  <dcterms:modified xsi:type="dcterms:W3CDTF">2017-12-18T07:20:00Z</dcterms:modified>
</cp:coreProperties>
</file>