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5C7E1C" w:rsidRPr="005C7E1C" w:rsidRDefault="005C7E1C" w:rsidP="005C7E1C">
      <w:pPr>
        <w:spacing w:after="0" w:line="240" w:lineRule="auto"/>
        <w:jc w:val="center"/>
        <w:outlineLvl w:val="0"/>
        <w:rPr>
          <w:rFonts w:ascii="Times New Roman" w:hAnsi="Times New Roman"/>
          <w:bCs/>
          <w:sz w:val="28"/>
        </w:rPr>
      </w:pPr>
      <w:r w:rsidRPr="005C7E1C">
        <w:rPr>
          <w:rFonts w:ascii="Times New Roman" w:hAnsi="Times New Roman"/>
          <w:sz w:val="28"/>
        </w:rPr>
        <w:t xml:space="preserve">VALIDATION METHOD FOR EXTRACTION AND DETERMINATION OF MARBOFLOXACIN IN PLASMA AND </w:t>
      </w:r>
      <w:r w:rsidRPr="005C7E1C">
        <w:rPr>
          <w:rFonts w:ascii="Times New Roman" w:hAnsi="Times New Roman"/>
          <w:bCs/>
          <w:sz w:val="28"/>
        </w:rPr>
        <w:t>EDIBLE CHICKEN TISSUES</w:t>
      </w:r>
    </w:p>
    <w:p w:rsidR="005C7E1C" w:rsidRPr="005C7E1C" w:rsidRDefault="005C7E1C" w:rsidP="005C7E1C">
      <w:pPr>
        <w:spacing w:after="0" w:line="240" w:lineRule="auto"/>
        <w:jc w:val="center"/>
        <w:outlineLvl w:val="0"/>
        <w:rPr>
          <w:rFonts w:ascii="Times New Roman" w:hAnsi="Times New Roman"/>
          <w:b/>
          <w:color w:val="548DD4" w:themeColor="text2" w:themeTint="99"/>
          <w:sz w:val="24"/>
          <w:szCs w:val="24"/>
        </w:rPr>
      </w:pPr>
      <w:r w:rsidRPr="005C7E1C">
        <w:rPr>
          <w:rFonts w:ascii="Times New Roman" w:hAnsi="Times New Roman"/>
          <w:b/>
          <w:color w:val="548DD4" w:themeColor="text2" w:themeTint="99"/>
          <w:szCs w:val="20"/>
        </w:rPr>
        <w:t xml:space="preserve"> </w:t>
      </w:r>
    </w:p>
    <w:p w:rsidR="005C7E1C" w:rsidRPr="005C7E1C" w:rsidRDefault="005C7E1C" w:rsidP="005C7E1C">
      <w:pPr>
        <w:spacing w:after="0" w:line="240" w:lineRule="auto"/>
        <w:jc w:val="center"/>
        <w:outlineLvl w:val="0"/>
        <w:rPr>
          <w:rFonts w:ascii="Times New Roman" w:hAnsi="Times New Roman"/>
          <w:sz w:val="24"/>
          <w:lang w:val="es-AR"/>
        </w:rPr>
      </w:pPr>
      <w:r w:rsidRPr="005C7E1C">
        <w:rPr>
          <w:rFonts w:ascii="Times New Roman" w:hAnsi="Times New Roman"/>
          <w:sz w:val="24"/>
        </w:rPr>
        <w:t xml:space="preserve"> </w:t>
      </w:r>
      <w:r w:rsidRPr="005C7E1C">
        <w:rPr>
          <w:rFonts w:ascii="Times New Roman" w:hAnsi="Times New Roman"/>
          <w:sz w:val="24"/>
          <w:lang w:val="es-AR"/>
        </w:rPr>
        <w:t>(Kaedah Validasi bagi Pengesktrakan dan Penentuan Marbofloxacin di dalam Plasma dan Tisu Ayam yang Boleh Di Makan)</w:t>
      </w:r>
    </w:p>
    <w:p w:rsidR="005C7E1C" w:rsidRPr="005C7E1C" w:rsidRDefault="005C7E1C" w:rsidP="005C7E1C">
      <w:pPr>
        <w:spacing w:after="0" w:line="240" w:lineRule="auto"/>
        <w:jc w:val="center"/>
        <w:outlineLvl w:val="0"/>
        <w:rPr>
          <w:rFonts w:ascii="Times New Roman" w:hAnsi="Times New Roman"/>
          <w:b/>
          <w:color w:val="548DD4" w:themeColor="text2" w:themeTint="99"/>
          <w:sz w:val="20"/>
          <w:szCs w:val="20"/>
        </w:rPr>
      </w:pPr>
    </w:p>
    <w:p w:rsidR="005C7E1C" w:rsidRPr="005C7E1C" w:rsidRDefault="005C7E1C" w:rsidP="005C7E1C">
      <w:pPr>
        <w:spacing w:after="0" w:line="240" w:lineRule="auto"/>
        <w:jc w:val="center"/>
        <w:outlineLvl w:val="0"/>
        <w:rPr>
          <w:rFonts w:ascii="Times New Roman" w:hAnsi="Times New Roman"/>
          <w:sz w:val="20"/>
          <w:szCs w:val="20"/>
          <w:lang w:val="es-AR"/>
        </w:rPr>
      </w:pPr>
      <w:r w:rsidRPr="005C7E1C">
        <w:rPr>
          <w:rFonts w:ascii="Times New Roman" w:hAnsi="Times New Roman"/>
          <w:sz w:val="20"/>
          <w:szCs w:val="20"/>
          <w:lang w:val="es-AR"/>
        </w:rPr>
        <w:t>Natalia Francisca Urzúa</w:t>
      </w:r>
      <w:r w:rsidRPr="005C7E1C">
        <w:rPr>
          <w:rFonts w:ascii="Times New Roman" w:hAnsi="Times New Roman"/>
          <w:sz w:val="20"/>
          <w:szCs w:val="20"/>
          <w:vertAlign w:val="superscript"/>
          <w:lang w:val="es-AR"/>
        </w:rPr>
        <w:t>1</w:t>
      </w:r>
      <w:r w:rsidRPr="005C7E1C">
        <w:rPr>
          <w:rFonts w:ascii="Times New Roman" w:hAnsi="Times New Roman"/>
          <w:sz w:val="20"/>
          <w:szCs w:val="20"/>
          <w:lang w:val="es-AR"/>
        </w:rPr>
        <w:t>*, Guillermo Fermín Prieto</w:t>
      </w:r>
      <w:r w:rsidRPr="005C7E1C">
        <w:rPr>
          <w:rFonts w:ascii="Times New Roman" w:hAnsi="Times New Roman"/>
          <w:sz w:val="20"/>
          <w:szCs w:val="20"/>
          <w:vertAlign w:val="superscript"/>
          <w:lang w:val="es-AR"/>
        </w:rPr>
        <w:t>1</w:t>
      </w:r>
      <w:r w:rsidRPr="005C7E1C">
        <w:rPr>
          <w:rFonts w:ascii="Times New Roman" w:hAnsi="Times New Roman"/>
          <w:sz w:val="20"/>
          <w:szCs w:val="20"/>
          <w:lang w:val="es-AR"/>
        </w:rPr>
        <w:t>, Carlos Fernando Lüders</w:t>
      </w:r>
      <w:r w:rsidRPr="005C7E1C">
        <w:rPr>
          <w:rFonts w:ascii="Times New Roman" w:hAnsi="Times New Roman"/>
          <w:sz w:val="20"/>
          <w:szCs w:val="20"/>
          <w:vertAlign w:val="superscript"/>
          <w:lang w:val="es-AR"/>
        </w:rPr>
        <w:t>2</w:t>
      </w:r>
      <w:r w:rsidRPr="005C7E1C">
        <w:rPr>
          <w:rFonts w:ascii="Times New Roman" w:hAnsi="Times New Roman"/>
          <w:sz w:val="20"/>
          <w:szCs w:val="20"/>
          <w:lang w:val="es-AR"/>
        </w:rPr>
        <w:t>, Maria Paula Tonini</w:t>
      </w:r>
      <w:r w:rsidRPr="005C7E1C">
        <w:rPr>
          <w:rFonts w:ascii="Times New Roman" w:hAnsi="Times New Roman"/>
          <w:sz w:val="20"/>
          <w:szCs w:val="20"/>
          <w:vertAlign w:val="superscript"/>
          <w:lang w:val="es-AR"/>
        </w:rPr>
        <w:t>1</w:t>
      </w:r>
      <w:r w:rsidRPr="005C7E1C">
        <w:rPr>
          <w:rFonts w:ascii="Times New Roman" w:hAnsi="Times New Roman"/>
          <w:sz w:val="20"/>
          <w:szCs w:val="20"/>
          <w:lang w:val="es-AR"/>
        </w:rPr>
        <w:t xml:space="preserve">, </w:t>
      </w:r>
    </w:p>
    <w:p w:rsidR="005C7E1C" w:rsidRPr="005C7E1C" w:rsidRDefault="005C7E1C" w:rsidP="005C7E1C">
      <w:pPr>
        <w:spacing w:after="0" w:line="240" w:lineRule="auto"/>
        <w:jc w:val="center"/>
        <w:outlineLvl w:val="0"/>
        <w:rPr>
          <w:rFonts w:ascii="Times New Roman" w:hAnsi="Times New Roman"/>
          <w:b/>
          <w:sz w:val="20"/>
          <w:szCs w:val="20"/>
          <w:lang w:val="es-AR"/>
        </w:rPr>
      </w:pPr>
      <w:r w:rsidRPr="005C7E1C">
        <w:rPr>
          <w:rFonts w:ascii="Times New Roman" w:hAnsi="Times New Roman"/>
          <w:sz w:val="20"/>
          <w:szCs w:val="20"/>
          <w:lang w:val="es-AR"/>
        </w:rPr>
        <w:t>Eduardo Jesús Picco</w:t>
      </w:r>
      <w:r w:rsidRPr="005C7E1C">
        <w:rPr>
          <w:rFonts w:ascii="Times New Roman" w:hAnsi="Times New Roman"/>
          <w:sz w:val="20"/>
          <w:szCs w:val="20"/>
          <w:vertAlign w:val="superscript"/>
          <w:lang w:val="es-AR"/>
        </w:rPr>
        <w:t>3</w:t>
      </w:r>
      <w:r w:rsidRPr="005C7E1C">
        <w:rPr>
          <w:rFonts w:ascii="Times New Roman" w:hAnsi="Times New Roman"/>
          <w:sz w:val="20"/>
          <w:szCs w:val="20"/>
          <w:lang w:val="es-AR"/>
        </w:rPr>
        <w:t>, Carlos Alberto Errecalde</w:t>
      </w:r>
      <w:r w:rsidRPr="005C7E1C">
        <w:rPr>
          <w:rFonts w:ascii="Times New Roman" w:hAnsi="Times New Roman"/>
          <w:sz w:val="20"/>
          <w:szCs w:val="20"/>
          <w:vertAlign w:val="superscript"/>
          <w:lang w:val="es-AR"/>
        </w:rPr>
        <w:t>1</w:t>
      </w:r>
    </w:p>
    <w:p w:rsidR="005C7E1C" w:rsidRPr="005C7E1C" w:rsidRDefault="005C7E1C" w:rsidP="005C7E1C">
      <w:pPr>
        <w:spacing w:after="0" w:line="240" w:lineRule="auto"/>
        <w:jc w:val="center"/>
        <w:outlineLvl w:val="0"/>
        <w:rPr>
          <w:rFonts w:ascii="Times New Roman" w:hAnsi="Times New Roman"/>
          <w:b/>
          <w:color w:val="FF0000"/>
          <w:sz w:val="18"/>
          <w:szCs w:val="18"/>
          <w:lang w:val="es-AR"/>
        </w:rPr>
      </w:pPr>
    </w:p>
    <w:p w:rsidR="005C7E1C" w:rsidRPr="005C7E1C" w:rsidRDefault="005C7E1C" w:rsidP="005C7E1C">
      <w:pPr>
        <w:spacing w:after="0" w:line="240" w:lineRule="auto"/>
        <w:jc w:val="center"/>
        <w:outlineLvl w:val="0"/>
        <w:rPr>
          <w:rFonts w:ascii="Times New Roman" w:hAnsi="Times New Roman"/>
          <w:i/>
          <w:sz w:val="18"/>
          <w:szCs w:val="18"/>
        </w:rPr>
      </w:pPr>
      <w:r w:rsidRPr="005C7E1C">
        <w:rPr>
          <w:rFonts w:ascii="Times New Roman" w:hAnsi="Times New Roman"/>
          <w:i/>
          <w:sz w:val="18"/>
          <w:szCs w:val="18"/>
          <w:vertAlign w:val="superscript"/>
        </w:rPr>
        <w:t xml:space="preserve">1 </w:t>
      </w:r>
      <w:r w:rsidRPr="005C7E1C">
        <w:rPr>
          <w:rFonts w:ascii="Times New Roman" w:hAnsi="Times New Roman"/>
          <w:i/>
          <w:sz w:val="18"/>
          <w:szCs w:val="18"/>
        </w:rPr>
        <w:t xml:space="preserve">Department of Animal Clinic, Faculty of Agronomy and Veterinary Medicine, </w:t>
      </w:r>
    </w:p>
    <w:p w:rsidR="005C7E1C" w:rsidRPr="005C7E1C" w:rsidRDefault="005C7E1C" w:rsidP="005C7E1C">
      <w:pPr>
        <w:spacing w:after="0" w:line="240" w:lineRule="auto"/>
        <w:jc w:val="center"/>
        <w:outlineLvl w:val="0"/>
        <w:rPr>
          <w:rFonts w:ascii="Times New Roman" w:hAnsi="Times New Roman"/>
          <w:i/>
          <w:sz w:val="18"/>
          <w:szCs w:val="18"/>
        </w:rPr>
      </w:pPr>
      <w:r w:rsidRPr="005C7E1C">
        <w:rPr>
          <w:rFonts w:ascii="Times New Roman" w:hAnsi="Times New Roman"/>
          <w:i/>
          <w:sz w:val="18"/>
          <w:szCs w:val="18"/>
        </w:rPr>
        <w:t xml:space="preserve">University National of Rio Cuarto, Route 36 Km 601, Rio Cuarto, Argentina </w:t>
      </w:r>
    </w:p>
    <w:p w:rsidR="005C7E1C" w:rsidRDefault="005C7E1C" w:rsidP="005C7E1C">
      <w:pPr>
        <w:spacing w:after="0" w:line="240" w:lineRule="auto"/>
        <w:jc w:val="center"/>
        <w:outlineLvl w:val="0"/>
        <w:rPr>
          <w:rFonts w:ascii="Times New Roman" w:hAnsi="Times New Roman"/>
          <w:i/>
          <w:sz w:val="18"/>
          <w:szCs w:val="18"/>
        </w:rPr>
      </w:pPr>
      <w:r w:rsidRPr="005C7E1C">
        <w:rPr>
          <w:rFonts w:ascii="Times New Roman" w:hAnsi="Times New Roman"/>
          <w:i/>
          <w:sz w:val="18"/>
          <w:szCs w:val="18"/>
          <w:vertAlign w:val="superscript"/>
        </w:rPr>
        <w:t xml:space="preserve">2 </w:t>
      </w:r>
      <w:r w:rsidRPr="005C7E1C">
        <w:rPr>
          <w:rFonts w:ascii="Times New Roman" w:hAnsi="Times New Roman"/>
          <w:i/>
          <w:sz w:val="18"/>
          <w:szCs w:val="18"/>
        </w:rPr>
        <w:t xml:space="preserve">School of Veterinary Medicine, </w:t>
      </w:r>
    </w:p>
    <w:p w:rsidR="005C7E1C" w:rsidRPr="005C7E1C" w:rsidRDefault="005C7E1C" w:rsidP="005C7E1C">
      <w:pPr>
        <w:spacing w:after="0" w:line="240" w:lineRule="auto"/>
        <w:jc w:val="center"/>
        <w:outlineLvl w:val="0"/>
        <w:rPr>
          <w:rFonts w:ascii="Times New Roman" w:hAnsi="Times New Roman"/>
          <w:i/>
          <w:sz w:val="18"/>
          <w:szCs w:val="18"/>
        </w:rPr>
      </w:pPr>
      <w:r w:rsidRPr="005C7E1C">
        <w:rPr>
          <w:rFonts w:ascii="Times New Roman" w:hAnsi="Times New Roman"/>
          <w:i/>
          <w:sz w:val="18"/>
          <w:szCs w:val="18"/>
        </w:rPr>
        <w:t xml:space="preserve">Catholic University of Temuco, Casilla 15D, Temuco, Chile </w:t>
      </w:r>
    </w:p>
    <w:p w:rsidR="005C7E1C" w:rsidRPr="005C7E1C" w:rsidRDefault="005C7E1C" w:rsidP="005C7E1C">
      <w:pPr>
        <w:spacing w:after="0" w:line="240" w:lineRule="auto"/>
        <w:jc w:val="center"/>
        <w:outlineLvl w:val="0"/>
        <w:rPr>
          <w:rFonts w:ascii="Times New Roman" w:hAnsi="Times New Roman"/>
          <w:i/>
          <w:sz w:val="18"/>
          <w:szCs w:val="18"/>
        </w:rPr>
      </w:pPr>
      <w:r w:rsidRPr="005C7E1C">
        <w:rPr>
          <w:rFonts w:ascii="Times New Roman" w:hAnsi="Times New Roman"/>
          <w:i/>
          <w:sz w:val="18"/>
          <w:szCs w:val="18"/>
          <w:vertAlign w:val="superscript"/>
        </w:rPr>
        <w:t xml:space="preserve">3 </w:t>
      </w:r>
      <w:r w:rsidRPr="005C7E1C">
        <w:rPr>
          <w:rFonts w:ascii="Times New Roman" w:hAnsi="Times New Roman"/>
          <w:i/>
          <w:sz w:val="18"/>
          <w:szCs w:val="18"/>
        </w:rPr>
        <w:t xml:space="preserve">Chair of Pharmacology, Faculty of Veterinary Sciences, </w:t>
      </w:r>
    </w:p>
    <w:p w:rsidR="005C7E1C" w:rsidRPr="005C7E1C" w:rsidRDefault="005C7E1C" w:rsidP="005C7E1C">
      <w:pPr>
        <w:spacing w:after="0" w:line="240" w:lineRule="auto"/>
        <w:jc w:val="center"/>
        <w:outlineLvl w:val="0"/>
        <w:rPr>
          <w:rFonts w:ascii="Times New Roman" w:hAnsi="Times New Roman"/>
          <w:i/>
          <w:sz w:val="18"/>
          <w:szCs w:val="18"/>
        </w:rPr>
      </w:pPr>
      <w:r w:rsidRPr="005C7E1C">
        <w:rPr>
          <w:rFonts w:ascii="Times New Roman" w:hAnsi="Times New Roman"/>
          <w:i/>
          <w:sz w:val="18"/>
          <w:szCs w:val="18"/>
        </w:rPr>
        <w:t>University National of the Litoral, Kreder 2805, Esperanza, Argentina</w:t>
      </w:r>
    </w:p>
    <w:p w:rsidR="005C7E1C" w:rsidRPr="005C7E1C" w:rsidRDefault="005C7E1C" w:rsidP="005C7E1C">
      <w:pPr>
        <w:spacing w:after="0" w:line="240" w:lineRule="auto"/>
        <w:jc w:val="center"/>
        <w:outlineLvl w:val="0"/>
        <w:rPr>
          <w:rFonts w:ascii="Times New Roman" w:hAnsi="Times New Roman"/>
          <w:b/>
          <w:color w:val="548DD4" w:themeColor="text2" w:themeTint="99"/>
          <w:sz w:val="18"/>
          <w:szCs w:val="18"/>
        </w:rPr>
      </w:pPr>
    </w:p>
    <w:p w:rsidR="005C7E1C" w:rsidRPr="005C7E1C" w:rsidRDefault="005C7E1C" w:rsidP="005C7E1C">
      <w:pPr>
        <w:spacing w:after="0" w:line="240" w:lineRule="auto"/>
        <w:jc w:val="center"/>
        <w:outlineLvl w:val="0"/>
        <w:rPr>
          <w:rFonts w:ascii="Times New Roman" w:hAnsi="Times New Roman"/>
          <w:b/>
          <w:color w:val="FF0000"/>
          <w:sz w:val="18"/>
          <w:szCs w:val="18"/>
        </w:rPr>
      </w:pPr>
      <w:r w:rsidRPr="005C7E1C">
        <w:rPr>
          <w:rFonts w:ascii="Times New Roman" w:hAnsi="Times New Roman"/>
          <w:i/>
          <w:sz w:val="18"/>
          <w:vertAlign w:val="superscript"/>
        </w:rPr>
        <w:t>*</w:t>
      </w:r>
      <w:r w:rsidRPr="005C7E1C">
        <w:rPr>
          <w:rFonts w:ascii="Times New Roman" w:hAnsi="Times New Roman"/>
          <w:i/>
          <w:sz w:val="18"/>
        </w:rPr>
        <w:t xml:space="preserve">Corresponding author: </w:t>
      </w:r>
      <w:r>
        <w:rPr>
          <w:rFonts w:ascii="Times New Roman" w:hAnsi="Times New Roman"/>
          <w:i/>
          <w:sz w:val="18"/>
        </w:rPr>
        <w:t xml:space="preserve"> </w:t>
      </w:r>
      <w:r w:rsidRPr="005C7E1C">
        <w:rPr>
          <w:rFonts w:ascii="Times New Roman" w:hAnsi="Times New Roman"/>
          <w:i/>
          <w:sz w:val="18"/>
        </w:rPr>
        <w:t>nurzuapizarro@ayv.unrc.edu.ar</w:t>
      </w: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C7E1C">
        <w:rPr>
          <w:rFonts w:ascii="Times New Roman" w:hAnsi="Times New Roman"/>
          <w:noProof/>
          <w:sz w:val="18"/>
          <w:szCs w:val="18"/>
          <w:lang w:bidi="ar-SA"/>
        </w:rPr>
        <w:t>16 December 2017</w:t>
      </w:r>
      <w:r>
        <w:rPr>
          <w:rFonts w:ascii="Times New Roman" w:hAnsi="Times New Roman"/>
          <w:noProof/>
          <w:sz w:val="18"/>
          <w:szCs w:val="18"/>
          <w:lang w:bidi="ar-SA"/>
        </w:rPr>
        <w:t xml:space="preserve">; Accepted: </w:t>
      </w:r>
      <w:r w:rsidR="005C7E1C">
        <w:rPr>
          <w:rFonts w:ascii="Times New Roman" w:hAnsi="Times New Roman"/>
          <w:noProof/>
          <w:sz w:val="18"/>
          <w:szCs w:val="18"/>
          <w:lang w:bidi="ar-SA"/>
        </w:rPr>
        <w:t>16 February 2018</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5C7E1C" w:rsidRDefault="00AC0033" w:rsidP="005C7E1C">
      <w:pPr>
        <w:spacing w:after="0" w:line="240" w:lineRule="auto"/>
        <w:jc w:val="center"/>
        <w:rPr>
          <w:rFonts w:ascii="Times New Roman" w:hAnsi="Times New Roman"/>
          <w:b/>
          <w:noProof/>
          <w:sz w:val="18"/>
          <w:szCs w:val="18"/>
          <w:lang w:bidi="ar-SA"/>
        </w:rPr>
      </w:pPr>
      <w:r w:rsidRPr="005C7E1C">
        <w:rPr>
          <w:rFonts w:ascii="Times New Roman" w:hAnsi="Times New Roman"/>
          <w:b/>
          <w:noProof/>
          <w:sz w:val="18"/>
          <w:szCs w:val="18"/>
          <w:lang w:bidi="ar-SA"/>
        </w:rPr>
        <w:t>Abstract</w:t>
      </w:r>
    </w:p>
    <w:p w:rsidR="005C7E1C" w:rsidRPr="005C7E1C" w:rsidRDefault="005C7E1C" w:rsidP="005C7E1C">
      <w:pPr>
        <w:spacing w:after="0" w:line="240" w:lineRule="auto"/>
        <w:jc w:val="both"/>
        <w:outlineLvl w:val="0"/>
        <w:rPr>
          <w:rFonts w:ascii="Times New Roman" w:hAnsi="Times New Roman"/>
          <w:sz w:val="18"/>
          <w:szCs w:val="18"/>
        </w:rPr>
      </w:pPr>
      <w:r w:rsidRPr="005C7E1C">
        <w:rPr>
          <w:rFonts w:ascii="Times New Roman" w:hAnsi="Times New Roman"/>
          <w:sz w:val="18"/>
          <w:szCs w:val="18"/>
        </w:rPr>
        <w:t xml:space="preserve">Marbofloxacin (MBX) is an antimicrobial for exclusive veterinary use, relatively new and of which there are few analytical methods for the extraction, identification and quantification in plasma and edible tissues (muscle, liver, kidney, lung, skin) in broiler chickens. The objective of developing a simple, sensitive and efficient extraction and detection method through </w:t>
      </w:r>
      <w:r w:rsidRPr="005C7E1C">
        <w:rPr>
          <w:rFonts w:ascii="Times New Roman" w:hAnsi="Times New Roman"/>
          <w:bCs/>
          <w:sz w:val="18"/>
          <w:szCs w:val="18"/>
        </w:rPr>
        <w:t>high</w:t>
      </w:r>
      <w:r w:rsidRPr="005C7E1C">
        <w:rPr>
          <w:rFonts w:ascii="Times New Roman" w:hAnsi="Times New Roman"/>
          <w:sz w:val="18"/>
          <w:szCs w:val="18"/>
        </w:rPr>
        <w:t>-</w:t>
      </w:r>
      <w:r w:rsidRPr="005C7E1C">
        <w:rPr>
          <w:rFonts w:ascii="Times New Roman" w:hAnsi="Times New Roman"/>
          <w:bCs/>
          <w:sz w:val="18"/>
          <w:szCs w:val="18"/>
        </w:rPr>
        <w:t>performance </w:t>
      </w:r>
      <w:r w:rsidRPr="005C7E1C">
        <w:rPr>
          <w:rFonts w:ascii="Times New Roman" w:hAnsi="Times New Roman"/>
          <w:sz w:val="18"/>
          <w:szCs w:val="18"/>
        </w:rPr>
        <w:t xml:space="preserve">liquid chromatography (HPLC) with fluorescence detection. </w:t>
      </w:r>
      <w:r w:rsidRPr="005C7E1C">
        <w:rPr>
          <w:rFonts w:ascii="Times New Roman" w:hAnsi="Times New Roman"/>
          <w:bCs/>
          <w:iCs/>
          <w:sz w:val="18"/>
          <w:szCs w:val="18"/>
        </w:rPr>
        <w:t xml:space="preserve">For the preparation of the samples, known concentrations of MBX, enrofloxacin (ENX) as internal standard, methanol, water and perchloric acid, were added to plasma or tissues. Chromatographic conditions were: fluorescence detector at </w:t>
      </w:r>
      <w:r w:rsidRPr="005C7E1C">
        <w:rPr>
          <w:rFonts w:ascii="Times New Roman" w:hAnsi="Times New Roman"/>
          <w:bCs/>
          <w:iCs/>
          <w:sz w:val="18"/>
          <w:szCs w:val="18"/>
          <w:lang w:val="es-AR"/>
        </w:rPr>
        <w:t>λ</w:t>
      </w:r>
      <w:r w:rsidRPr="005C7E1C">
        <w:rPr>
          <w:rFonts w:ascii="Times New Roman" w:hAnsi="Times New Roman"/>
          <w:bCs/>
          <w:iCs/>
          <w:sz w:val="18"/>
          <w:szCs w:val="18"/>
        </w:rPr>
        <w:t xml:space="preserve">ex 295 and </w:t>
      </w:r>
      <w:r w:rsidRPr="005C7E1C">
        <w:rPr>
          <w:rFonts w:ascii="Times New Roman" w:hAnsi="Times New Roman"/>
          <w:bCs/>
          <w:iCs/>
          <w:sz w:val="18"/>
          <w:szCs w:val="18"/>
          <w:lang w:val="es-AR"/>
        </w:rPr>
        <w:t>λ</w:t>
      </w:r>
      <w:r w:rsidRPr="005C7E1C">
        <w:rPr>
          <w:rFonts w:ascii="Times New Roman" w:hAnsi="Times New Roman"/>
          <w:bCs/>
          <w:iCs/>
          <w:sz w:val="18"/>
          <w:szCs w:val="18"/>
        </w:rPr>
        <w:t>em 490 nm, mobile phase composed of deionized water, acetonitrile and triethylamine adjusted to pH 3.0. For all matrices, the method was linear (r</w:t>
      </w:r>
      <w:r w:rsidRPr="005C7E1C">
        <w:rPr>
          <w:rFonts w:ascii="Times New Roman" w:hAnsi="Times New Roman"/>
          <w:bCs/>
          <w:iCs/>
          <w:sz w:val="18"/>
          <w:szCs w:val="18"/>
          <w:vertAlign w:val="superscript"/>
        </w:rPr>
        <w:t>2</w:t>
      </w:r>
      <w:r w:rsidRPr="005C7E1C">
        <w:rPr>
          <w:rFonts w:ascii="Times New Roman" w:hAnsi="Times New Roman"/>
          <w:bCs/>
          <w:iCs/>
          <w:sz w:val="18"/>
          <w:szCs w:val="18"/>
        </w:rPr>
        <w:t xml:space="preserve">= 0.99) for MAR concentrations (0.039 to 2.5 </w:t>
      </w:r>
      <w:r w:rsidRPr="005C7E1C">
        <w:rPr>
          <w:rFonts w:ascii="Times New Roman" w:hAnsi="Times New Roman"/>
          <w:bCs/>
          <w:iCs/>
          <w:sz w:val="18"/>
          <w:szCs w:val="18"/>
          <w:lang w:val="es-AR"/>
        </w:rPr>
        <w:t>μ</w:t>
      </w:r>
      <w:r w:rsidRPr="005C7E1C">
        <w:rPr>
          <w:rFonts w:ascii="Times New Roman" w:hAnsi="Times New Roman"/>
          <w:bCs/>
          <w:iCs/>
          <w:sz w:val="18"/>
          <w:szCs w:val="18"/>
        </w:rPr>
        <w:t xml:space="preserve">g/ml or gr), with an average retention time for MBX in the different matrices of 3.97 ± 0.144 minutes, and 4.99 ± 0.24 minutes for the internal standard (enrofloxacin). Detection limit in all matrices was less than 0.006 </w:t>
      </w:r>
      <w:r w:rsidRPr="005C7E1C">
        <w:rPr>
          <w:rFonts w:ascii="Times New Roman" w:hAnsi="Times New Roman"/>
          <w:bCs/>
          <w:iCs/>
          <w:sz w:val="18"/>
          <w:szCs w:val="18"/>
          <w:lang w:val="es-AR"/>
        </w:rPr>
        <w:t>μ</w:t>
      </w:r>
      <w:r w:rsidRPr="005C7E1C">
        <w:rPr>
          <w:rFonts w:ascii="Times New Roman" w:hAnsi="Times New Roman"/>
          <w:bCs/>
          <w:iCs/>
          <w:sz w:val="18"/>
          <w:szCs w:val="18"/>
        </w:rPr>
        <w:t>g/ml, while recoverability percentage was 89 ± 4.65% and variation coefficients in intraday-interday assay ≤ 1.4%, determining the accuracy of the study. The analytical method applied is efficient, sensitive and reliable for future residue determinations or pharmacokinetic studies of marbofloxacin in plasma, muscle, liver, kidney, skin and lung in broiler chickens.</w:t>
      </w:r>
    </w:p>
    <w:p w:rsidR="005C7E1C" w:rsidRPr="005C7E1C" w:rsidRDefault="005C7E1C" w:rsidP="005C7E1C">
      <w:pPr>
        <w:spacing w:after="0" w:line="240" w:lineRule="auto"/>
        <w:jc w:val="both"/>
        <w:outlineLvl w:val="0"/>
        <w:rPr>
          <w:rFonts w:ascii="Times New Roman" w:hAnsi="Times New Roman"/>
          <w:sz w:val="18"/>
          <w:szCs w:val="18"/>
        </w:rPr>
      </w:pPr>
    </w:p>
    <w:p w:rsidR="005C7E1C" w:rsidRPr="005C7E1C" w:rsidRDefault="005C7E1C" w:rsidP="005C7E1C">
      <w:pPr>
        <w:spacing w:after="0" w:line="240" w:lineRule="auto"/>
        <w:jc w:val="both"/>
        <w:outlineLvl w:val="0"/>
        <w:rPr>
          <w:rFonts w:ascii="Times New Roman" w:hAnsi="Times New Roman"/>
          <w:sz w:val="18"/>
          <w:szCs w:val="18"/>
        </w:rPr>
      </w:pPr>
      <w:r w:rsidRPr="005C7E1C">
        <w:rPr>
          <w:rFonts w:ascii="Times New Roman" w:hAnsi="Times New Roman"/>
          <w:b/>
          <w:sz w:val="18"/>
          <w:szCs w:val="18"/>
        </w:rPr>
        <w:t>Keywords</w:t>
      </w:r>
      <w:r w:rsidRPr="005C7E1C">
        <w:rPr>
          <w:rFonts w:ascii="Times New Roman" w:hAnsi="Times New Roman"/>
          <w:sz w:val="18"/>
          <w:szCs w:val="18"/>
        </w:rPr>
        <w:t xml:space="preserve">: </w:t>
      </w:r>
      <w:r>
        <w:rPr>
          <w:rFonts w:ascii="Times New Roman" w:hAnsi="Times New Roman"/>
          <w:sz w:val="18"/>
          <w:szCs w:val="18"/>
        </w:rPr>
        <w:t xml:space="preserve"> </w:t>
      </w:r>
      <w:r w:rsidRPr="005C7E1C">
        <w:rPr>
          <w:rFonts w:ascii="Times New Roman" w:hAnsi="Times New Roman"/>
          <w:sz w:val="18"/>
          <w:szCs w:val="18"/>
        </w:rPr>
        <w:t xml:space="preserve">marbofloxacin, </w:t>
      </w:r>
      <w:r w:rsidRPr="005C7E1C">
        <w:rPr>
          <w:rFonts w:ascii="Times New Roman" w:hAnsi="Times New Roman"/>
          <w:bCs/>
          <w:sz w:val="18"/>
          <w:szCs w:val="18"/>
        </w:rPr>
        <w:t>high</w:t>
      </w:r>
      <w:r w:rsidRPr="005C7E1C">
        <w:rPr>
          <w:rFonts w:ascii="Times New Roman" w:hAnsi="Times New Roman"/>
          <w:sz w:val="18"/>
          <w:szCs w:val="18"/>
        </w:rPr>
        <w:t>-</w:t>
      </w:r>
      <w:r w:rsidRPr="005C7E1C">
        <w:rPr>
          <w:rFonts w:ascii="Times New Roman" w:hAnsi="Times New Roman"/>
          <w:bCs/>
          <w:sz w:val="18"/>
          <w:szCs w:val="18"/>
        </w:rPr>
        <w:t>performance </w:t>
      </w:r>
      <w:r w:rsidRPr="005C7E1C">
        <w:rPr>
          <w:rFonts w:ascii="Times New Roman" w:hAnsi="Times New Roman"/>
          <w:sz w:val="18"/>
          <w:szCs w:val="18"/>
        </w:rPr>
        <w:t>liquid chromatography, chicken</w:t>
      </w:r>
    </w:p>
    <w:p w:rsidR="005C7E1C" w:rsidRPr="005C7E1C" w:rsidRDefault="005C7E1C" w:rsidP="005C7E1C">
      <w:pPr>
        <w:spacing w:after="0" w:line="240" w:lineRule="auto"/>
        <w:jc w:val="center"/>
        <w:outlineLvl w:val="0"/>
        <w:rPr>
          <w:rFonts w:ascii="Times New Roman" w:hAnsi="Times New Roman"/>
          <w:b/>
          <w:color w:val="548DD4" w:themeColor="text2" w:themeTint="99"/>
          <w:sz w:val="18"/>
          <w:szCs w:val="18"/>
        </w:rPr>
      </w:pPr>
    </w:p>
    <w:p w:rsidR="005C7E1C" w:rsidRPr="005C7E1C" w:rsidRDefault="005C7E1C" w:rsidP="005C7E1C">
      <w:pPr>
        <w:spacing w:after="0" w:line="240" w:lineRule="auto"/>
        <w:jc w:val="center"/>
        <w:outlineLvl w:val="0"/>
        <w:rPr>
          <w:rFonts w:ascii="Times New Roman" w:hAnsi="Times New Roman"/>
          <w:b/>
          <w:sz w:val="18"/>
          <w:szCs w:val="18"/>
        </w:rPr>
      </w:pPr>
      <w:r w:rsidRPr="005C7E1C">
        <w:rPr>
          <w:rFonts w:ascii="Times New Roman" w:hAnsi="Times New Roman"/>
          <w:b/>
          <w:sz w:val="18"/>
          <w:szCs w:val="18"/>
        </w:rPr>
        <w:t>Abstrak</w:t>
      </w:r>
    </w:p>
    <w:p w:rsidR="005C7E1C" w:rsidRPr="005C7E1C" w:rsidRDefault="005C7E1C" w:rsidP="005C7E1C">
      <w:pPr>
        <w:spacing w:after="0" w:line="240" w:lineRule="auto"/>
        <w:jc w:val="both"/>
        <w:outlineLvl w:val="0"/>
        <w:rPr>
          <w:rFonts w:ascii="Times New Roman" w:hAnsi="Times New Roman"/>
          <w:noProof/>
          <w:sz w:val="18"/>
          <w:szCs w:val="18"/>
          <w:lang w:val="ms-MY"/>
        </w:rPr>
      </w:pPr>
      <w:r w:rsidRPr="005C7E1C">
        <w:rPr>
          <w:rFonts w:ascii="Times New Roman" w:hAnsi="Times New Roman"/>
          <w:noProof/>
          <w:sz w:val="18"/>
          <w:szCs w:val="18"/>
          <w:lang w:val="ms-MY"/>
        </w:rPr>
        <w:t xml:space="preserve">Marbofloxacin (MBX) ialah antimikrob yang digunakan secara eksklusif bagi veterinar, secara relatifnya adalah baru dan hanya beberapa kaedah analisis bagi pengekstrakan, pengenalpastian dan kuantifikasi di dalam plasma dan tisu yang boleh di makan (otot, hati, buah pinggang, paru-paru dan kulit) di dalam ayam daging telah di perkenal. Objektif kajian adalah pembangunan kaedah pengesanan yang mudah, sensitif dan berkesan menggunakan kromatografi cecair berprestasi tinggi (HPLC) dengan pengesan pendaflour. Bagi penyediaan sampel, kepekatan MBX, enrofloxacin (ENX) sebagai piawai dalam, metanol, air dan asid perklorik ditambah ke dalam tisu plasma. Tetapan kromatografi adalah: pengesan pendaflour pada </w:t>
      </w:r>
      <w:r w:rsidRPr="005C7E1C">
        <w:rPr>
          <w:rFonts w:ascii="Times New Roman" w:hAnsi="Times New Roman"/>
          <w:bCs/>
          <w:iCs/>
          <w:noProof/>
          <w:sz w:val="18"/>
          <w:szCs w:val="18"/>
          <w:lang w:val="ms-MY"/>
        </w:rPr>
        <w:t>λex 295 dan λem 490 nm, fasa bergerak terdiri daripada air ternyahion, asetonitril, dan trietilamina yang diselaraskan pada pH 3.0. Bagi semua matriks sampel, kaedah adalah bersifat linear (r</w:t>
      </w:r>
      <w:r w:rsidRPr="005C7E1C">
        <w:rPr>
          <w:rFonts w:ascii="Times New Roman" w:hAnsi="Times New Roman"/>
          <w:bCs/>
          <w:iCs/>
          <w:noProof/>
          <w:sz w:val="18"/>
          <w:szCs w:val="18"/>
          <w:vertAlign w:val="superscript"/>
          <w:lang w:val="ms-MY"/>
        </w:rPr>
        <w:t>2</w:t>
      </w:r>
      <w:r w:rsidRPr="005C7E1C">
        <w:rPr>
          <w:rFonts w:ascii="Times New Roman" w:hAnsi="Times New Roman"/>
          <w:bCs/>
          <w:iCs/>
          <w:noProof/>
          <w:sz w:val="18"/>
          <w:szCs w:val="18"/>
          <w:lang w:val="ms-MY"/>
        </w:rPr>
        <w:t xml:space="preserve">= 0.99) bagi kepekatan MBX (0.039 hingga 2.5 μg/ml atau μg/g), dengan purata masa tahanan di dalam matriks berbeza ialah 3.97 ± 0.144 minit, dan 4.99 ± 0.24 minit bagi piawai (enrofloxacin). Had pengesan di dalam semua matriks adalah lebih rendah dari nilai 0.006 μg/ml, manakala peratus perolehan semula ialah 89 ± 4.65% dan pekali variasi bagi ujian intra-hari dan inter-hari ≤ 1.4%, menjelaskan kejituan kaedah. Kaedah analisis yang digunapakai adalah </w:t>
      </w:r>
      <w:r w:rsidRPr="005C7E1C">
        <w:rPr>
          <w:rFonts w:ascii="Times New Roman" w:hAnsi="Times New Roman"/>
          <w:bCs/>
          <w:iCs/>
          <w:noProof/>
          <w:sz w:val="18"/>
          <w:szCs w:val="18"/>
          <w:lang w:val="ms-MY"/>
        </w:rPr>
        <w:lastRenderedPageBreak/>
        <w:t xml:space="preserve">efisien, sensitif, dan dipercayai bagi tujuan penentuan sisa atau kajian farmakokinetik marbofloxacin di dalam plasma, otot, hati, buah pinggang, kulit dan paru-paru ayam daging. </w:t>
      </w:r>
    </w:p>
    <w:p w:rsidR="005C7E1C" w:rsidRPr="005C7E1C" w:rsidRDefault="005C7E1C" w:rsidP="005C7E1C">
      <w:pPr>
        <w:spacing w:after="0" w:line="240" w:lineRule="auto"/>
        <w:jc w:val="both"/>
        <w:outlineLvl w:val="0"/>
        <w:rPr>
          <w:rFonts w:ascii="Times New Roman" w:hAnsi="Times New Roman"/>
          <w:sz w:val="18"/>
          <w:szCs w:val="18"/>
        </w:rPr>
      </w:pPr>
    </w:p>
    <w:p w:rsidR="005C7E1C" w:rsidRPr="005C7E1C" w:rsidRDefault="005C7E1C" w:rsidP="005C7E1C">
      <w:pPr>
        <w:spacing w:after="0" w:line="240" w:lineRule="auto"/>
        <w:jc w:val="both"/>
        <w:outlineLvl w:val="0"/>
        <w:rPr>
          <w:rFonts w:ascii="Times New Roman" w:hAnsi="Times New Roman"/>
          <w:sz w:val="18"/>
          <w:szCs w:val="18"/>
        </w:rPr>
      </w:pPr>
      <w:r w:rsidRPr="005C7E1C">
        <w:rPr>
          <w:rFonts w:ascii="Times New Roman" w:hAnsi="Times New Roman"/>
          <w:b/>
          <w:sz w:val="18"/>
          <w:szCs w:val="18"/>
        </w:rPr>
        <w:t>Kata kunci</w:t>
      </w:r>
      <w:r w:rsidRPr="005C7E1C">
        <w:rPr>
          <w:rFonts w:ascii="Times New Roman" w:hAnsi="Times New Roman"/>
          <w:b/>
          <w:color w:val="4F81BD" w:themeColor="accent1"/>
          <w:sz w:val="18"/>
          <w:szCs w:val="18"/>
        </w:rPr>
        <w:t xml:space="preserve">: </w:t>
      </w:r>
      <w:r>
        <w:rPr>
          <w:rFonts w:ascii="Times New Roman" w:hAnsi="Times New Roman"/>
          <w:b/>
          <w:color w:val="4F81BD" w:themeColor="accent1"/>
          <w:sz w:val="18"/>
          <w:szCs w:val="18"/>
        </w:rPr>
        <w:t xml:space="preserve"> </w:t>
      </w:r>
      <w:r w:rsidRPr="005C7E1C">
        <w:rPr>
          <w:rFonts w:ascii="Times New Roman" w:hAnsi="Times New Roman"/>
          <w:noProof/>
          <w:sz w:val="18"/>
          <w:szCs w:val="18"/>
          <w:lang w:val="ms-MY"/>
        </w:rPr>
        <w:t>marbofloxacin, kromatografi cecair berprestasi tinggi, ayam</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Currently, the search of simple, reliable, efficient and selective analytical methods for determination and quantification of antimicrobial residues in animals for human consumption is important to provide safe foods [1]. Liquid chromatography is the most widely used, specific and selective method for fluoroquinolones determination,</w:t>
      </w:r>
      <w:r w:rsidRPr="005C7E1C">
        <w:rPr>
          <w:sz w:val="20"/>
          <w:szCs w:val="20"/>
        </w:rPr>
        <w:t xml:space="preserve"> </w:t>
      </w:r>
      <w:r w:rsidRPr="005C7E1C">
        <w:rPr>
          <w:rFonts w:ascii="Times New Roman" w:hAnsi="Times New Roman"/>
          <w:sz w:val="20"/>
          <w:szCs w:val="20"/>
        </w:rPr>
        <w:t>antimicrobial agents widely used in infections in animals and humans, but their improper use can lead to development of bacterial resistance, or even, cause allergies in antibiotics sensitive individuals [2-4].</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 xml:space="preserve">Fluoroquinolones are synthetic antimicrobial agents widely used for their efficacy against pathogens with importance in commercial poultry [5], with their activity being the inhibitor the enzyme gyrase, preventing bacterial replication [6]. Marbofloxacin (MBX) belongs to second-generation fluoroquinolones with Gram-negative antimicrobial activity, some Gram-positive and mycoplasmas [7], including bird pathogens such as </w:t>
      </w:r>
      <w:r w:rsidRPr="005C7E1C">
        <w:rPr>
          <w:rFonts w:ascii="Times New Roman" w:hAnsi="Times New Roman"/>
          <w:i/>
          <w:sz w:val="20"/>
          <w:szCs w:val="20"/>
        </w:rPr>
        <w:t>Mycoplasma gallisepticum</w:t>
      </w:r>
      <w:r w:rsidRPr="005C7E1C">
        <w:rPr>
          <w:rFonts w:ascii="Times New Roman" w:hAnsi="Times New Roman"/>
          <w:sz w:val="20"/>
          <w:szCs w:val="20"/>
        </w:rPr>
        <w:t xml:space="preserve">, </w:t>
      </w:r>
      <w:r w:rsidRPr="005C7E1C">
        <w:rPr>
          <w:rFonts w:ascii="Times New Roman" w:hAnsi="Times New Roman"/>
          <w:i/>
          <w:sz w:val="20"/>
          <w:szCs w:val="20"/>
        </w:rPr>
        <w:t>Escherichia coli</w:t>
      </w:r>
      <w:r w:rsidRPr="005C7E1C">
        <w:rPr>
          <w:rFonts w:ascii="Times New Roman" w:hAnsi="Times New Roman"/>
          <w:sz w:val="20"/>
          <w:szCs w:val="20"/>
        </w:rPr>
        <w:t xml:space="preserve"> [8, 9] and </w:t>
      </w:r>
      <w:r w:rsidRPr="005C7E1C">
        <w:rPr>
          <w:rFonts w:ascii="Times New Roman" w:hAnsi="Times New Roman"/>
          <w:i/>
          <w:sz w:val="20"/>
          <w:szCs w:val="20"/>
        </w:rPr>
        <w:t>Pasteurella multocida</w:t>
      </w:r>
      <w:r w:rsidRPr="005C7E1C">
        <w:rPr>
          <w:rFonts w:ascii="Times New Roman" w:hAnsi="Times New Roman"/>
          <w:sz w:val="20"/>
          <w:szCs w:val="20"/>
        </w:rPr>
        <w:t xml:space="preserve"> [10].</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For MBX identification and quantification, some chromatographic analytical methods have been developed for plasma and edible tissues of chickens, including high performance liquid chromatography (HPLC) with UV detector [6, 9, 11-13]. HPLC with fluorescence detector [14], HPLC with photodiode-array detector [15] and HPLC with MS/MS tandem detector [16, 17]. The method has an extensive extraction and sample preparation processes, especially in complex matrices (skin, liver or lung). The aim of this work was to validate a new analytical method for the extraction, identification, and quantification of MBX by HPLC with fluorescence detector in plasma and edible broiler chickens tissues. This is because MBX is one of the last quinolones approved for use in food animals such as cows and pigs [18-19], due to its high efficiency in bacterial respiratory infections, which determines MBX as a potential therapeutic tool in poultry farming.</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 xml:space="preserve">The importance of this research is to propose an optimization of the analytical method for the determination of MBX, promoting food safety, avoiding the presence of harmful pharmaceutical residues in food, one of the causes of bacterial resistance. </w:t>
      </w:r>
    </w:p>
    <w:p w:rsidR="005C7E1C" w:rsidRPr="005C7E1C" w:rsidRDefault="005C7E1C" w:rsidP="005C7E1C">
      <w:pPr>
        <w:spacing w:after="0" w:line="240" w:lineRule="auto"/>
        <w:jc w:val="center"/>
        <w:outlineLvl w:val="0"/>
        <w:rPr>
          <w:rFonts w:ascii="Times New Roman" w:hAnsi="Times New Roman"/>
          <w:sz w:val="20"/>
          <w:szCs w:val="20"/>
        </w:rPr>
      </w:pPr>
    </w:p>
    <w:p w:rsidR="005C7E1C" w:rsidRPr="005C7E1C" w:rsidRDefault="005C7E1C" w:rsidP="005C7E1C">
      <w:pPr>
        <w:spacing w:after="0" w:line="240" w:lineRule="auto"/>
        <w:jc w:val="center"/>
        <w:outlineLvl w:val="0"/>
        <w:rPr>
          <w:rFonts w:ascii="Times New Roman" w:hAnsi="Times New Roman"/>
          <w:b/>
          <w:sz w:val="20"/>
          <w:szCs w:val="20"/>
        </w:rPr>
      </w:pPr>
      <w:r w:rsidRPr="005C7E1C">
        <w:rPr>
          <w:rFonts w:ascii="Times New Roman" w:hAnsi="Times New Roman"/>
          <w:b/>
          <w:sz w:val="20"/>
          <w:szCs w:val="20"/>
        </w:rPr>
        <w:t>Materials and Methods</w:t>
      </w:r>
    </w:p>
    <w:p w:rsidR="005C7E1C" w:rsidRPr="005C7E1C" w:rsidRDefault="005C7E1C" w:rsidP="005C7E1C">
      <w:pPr>
        <w:spacing w:after="0" w:line="240" w:lineRule="auto"/>
        <w:jc w:val="both"/>
        <w:outlineLvl w:val="0"/>
        <w:rPr>
          <w:rFonts w:ascii="Times New Roman" w:hAnsi="Times New Roman"/>
          <w:b/>
          <w:sz w:val="20"/>
          <w:szCs w:val="20"/>
        </w:rPr>
      </w:pPr>
      <w:r w:rsidRPr="005C7E1C">
        <w:rPr>
          <w:rFonts w:ascii="Times New Roman" w:hAnsi="Times New Roman"/>
          <w:b/>
          <w:sz w:val="20"/>
          <w:szCs w:val="20"/>
        </w:rPr>
        <w:t>Reagents and instrument</w:t>
      </w: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Antimicrobials namely MBX (Guobang Pharma 99.9%) and enrofloxacin (Laboratory Chile 99.38%) were used as internal standard. Acetonitrile (Applichem Panreac 99.9%), triethylamine (Sintorgan 99%), deionized water, methanol (Applichem Panreac 99.9%), 70% perchloric acid (Lab. Cicarelli) and 85% orthophosphoric acid, were used to carry out the study.</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 xml:space="preserve">A Hewlett-Packard 1050 liquid chromatography, equipped with quaternary pump, in-line mobile phase degasser, manual injector, was achieved on an Agilent octadecylsilane C18 column (25cm x 4.6 mm, 5 </w:t>
      </w:r>
      <w:r w:rsidRPr="005C7E1C">
        <w:rPr>
          <w:rFonts w:ascii="Times New Roman" w:hAnsi="Times New Roman"/>
          <w:sz w:val="20"/>
          <w:szCs w:val="20"/>
          <w:lang w:val="es-AR"/>
        </w:rPr>
        <w:sym w:font="Symbol" w:char="F06D"/>
      </w:r>
      <w:r w:rsidRPr="005C7E1C">
        <w:rPr>
          <w:rFonts w:ascii="Times New Roman" w:hAnsi="Times New Roman"/>
          <w:sz w:val="20"/>
          <w:szCs w:val="20"/>
        </w:rPr>
        <w:t xml:space="preserve">m) (Agilent Technologies, Wald-bronn, Germany), Phenomenex precolumn, Hamilton injection syringes 100 </w:t>
      </w:r>
      <w:r w:rsidRPr="005C7E1C">
        <w:rPr>
          <w:rFonts w:ascii="Times New Roman" w:hAnsi="Times New Roman"/>
          <w:sz w:val="20"/>
          <w:szCs w:val="20"/>
          <w:lang w:val="es-AR"/>
        </w:rPr>
        <w:sym w:font="Symbol" w:char="F06D"/>
      </w:r>
      <w:r w:rsidRPr="005C7E1C">
        <w:rPr>
          <w:rFonts w:ascii="Times New Roman" w:hAnsi="Times New Roman"/>
          <w:sz w:val="20"/>
          <w:szCs w:val="20"/>
        </w:rPr>
        <w:t>l, Hewlett-Packard fluorescence detector series 1046-A adjustable wavelength and personal computer with plate and program for equipment control, acquisition, data processing and printing of chromatograms.</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b/>
          <w:sz w:val="20"/>
          <w:szCs w:val="20"/>
        </w:rPr>
      </w:pPr>
      <w:r w:rsidRPr="005C7E1C">
        <w:rPr>
          <w:rFonts w:ascii="Times New Roman" w:hAnsi="Times New Roman"/>
          <w:b/>
          <w:sz w:val="20"/>
          <w:szCs w:val="20"/>
        </w:rPr>
        <w:t>HPLC analysis</w:t>
      </w: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 xml:space="preserve">The mobile phase was composed of deionized water, acetonitrile and triethylamine (790: 200: 10 v/v/v) adjusted to pH 3.0 with orthophosphoric acid, filtered with vacuum pump an 0.22 </w:t>
      </w:r>
      <w:r w:rsidRPr="005C7E1C">
        <w:rPr>
          <w:rFonts w:ascii="Times New Roman" w:hAnsi="Times New Roman"/>
          <w:sz w:val="20"/>
          <w:szCs w:val="20"/>
          <w:lang w:val="es-AR"/>
        </w:rPr>
        <w:t>μ</w:t>
      </w:r>
      <w:r w:rsidRPr="005C7E1C">
        <w:rPr>
          <w:rFonts w:ascii="Times New Roman" w:hAnsi="Times New Roman"/>
          <w:sz w:val="20"/>
          <w:szCs w:val="20"/>
        </w:rPr>
        <w:t>m nylon membrane. The determination was performed at room temperature by reverse phase isocratic elution at flow rate of 0.8 ml/min, with a fluorescence detector set at 295 nm excitation and 490 nm emission [17] a</w:t>
      </w:r>
      <w:r w:rsidR="00286F51">
        <w:rPr>
          <w:rFonts w:ascii="Times New Roman" w:hAnsi="Times New Roman"/>
          <w:sz w:val="20"/>
          <w:szCs w:val="20"/>
        </w:rPr>
        <w:t xml:space="preserve">nd an injection volume of </w:t>
      </w:r>
      <w:r w:rsidRPr="005C7E1C">
        <w:rPr>
          <w:rFonts w:ascii="Times New Roman" w:hAnsi="Times New Roman"/>
          <w:sz w:val="20"/>
          <w:szCs w:val="20"/>
        </w:rPr>
        <w:t xml:space="preserve">50 </w:t>
      </w:r>
      <w:r w:rsidRPr="005C7E1C">
        <w:rPr>
          <w:rFonts w:ascii="Times New Roman" w:hAnsi="Times New Roman"/>
          <w:sz w:val="20"/>
          <w:szCs w:val="20"/>
          <w:lang w:val="es-AR"/>
        </w:rPr>
        <w:t>μ</w:t>
      </w:r>
      <w:r w:rsidRPr="005C7E1C">
        <w:rPr>
          <w:rFonts w:ascii="Times New Roman" w:hAnsi="Times New Roman"/>
          <w:sz w:val="20"/>
          <w:szCs w:val="20"/>
        </w:rPr>
        <w:t>l.</w:t>
      </w:r>
    </w:p>
    <w:p w:rsid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b/>
          <w:sz w:val="20"/>
          <w:szCs w:val="20"/>
        </w:rPr>
      </w:pPr>
      <w:r w:rsidRPr="005C7E1C">
        <w:rPr>
          <w:rFonts w:ascii="Times New Roman" w:hAnsi="Times New Roman"/>
          <w:b/>
          <w:sz w:val="20"/>
          <w:szCs w:val="20"/>
        </w:rPr>
        <w:lastRenderedPageBreak/>
        <w:t>Sample pre-treatment and extraction procedure</w:t>
      </w:r>
    </w:p>
    <w:p w:rsidR="005C7E1C" w:rsidRPr="005C7E1C" w:rsidRDefault="005C7E1C" w:rsidP="005C7E1C">
      <w:pPr>
        <w:spacing w:after="0" w:line="240" w:lineRule="auto"/>
        <w:jc w:val="both"/>
        <w:outlineLvl w:val="0"/>
        <w:rPr>
          <w:rFonts w:ascii="Times New Roman" w:hAnsi="Times New Roman"/>
          <w:i/>
          <w:sz w:val="20"/>
          <w:szCs w:val="20"/>
        </w:rPr>
      </w:pPr>
      <w:r w:rsidRPr="005C7E1C">
        <w:rPr>
          <w:rFonts w:ascii="Times New Roman" w:hAnsi="Times New Roman"/>
          <w:sz w:val="20"/>
          <w:szCs w:val="20"/>
        </w:rPr>
        <w:t xml:space="preserve">Samples were processed according to Böttcher et al. method with modification [20]. For plasma, a liquid-liquid extraction </w:t>
      </w:r>
      <w:r w:rsidR="00286F51">
        <w:rPr>
          <w:rFonts w:ascii="Times New Roman" w:hAnsi="Times New Roman"/>
          <w:sz w:val="20"/>
          <w:szCs w:val="20"/>
        </w:rPr>
        <w:t xml:space="preserve"> </w:t>
      </w:r>
      <w:r w:rsidRPr="005C7E1C">
        <w:rPr>
          <w:rFonts w:ascii="Times New Roman" w:hAnsi="Times New Roman"/>
          <w:sz w:val="20"/>
          <w:szCs w:val="20"/>
        </w:rPr>
        <w:t xml:space="preserve">was </w:t>
      </w:r>
      <w:r w:rsidR="00286F51">
        <w:rPr>
          <w:rFonts w:ascii="Times New Roman" w:hAnsi="Times New Roman"/>
          <w:sz w:val="20"/>
          <w:szCs w:val="20"/>
        </w:rPr>
        <w:t xml:space="preserve"> </w:t>
      </w:r>
      <w:r w:rsidRPr="005C7E1C">
        <w:rPr>
          <w:rFonts w:ascii="Times New Roman" w:hAnsi="Times New Roman"/>
          <w:sz w:val="20"/>
          <w:szCs w:val="20"/>
        </w:rPr>
        <w:t xml:space="preserve">carried </w:t>
      </w:r>
      <w:r w:rsidR="00286F51">
        <w:rPr>
          <w:rFonts w:ascii="Times New Roman" w:hAnsi="Times New Roman"/>
          <w:sz w:val="20"/>
          <w:szCs w:val="20"/>
        </w:rPr>
        <w:t xml:space="preserve"> </w:t>
      </w:r>
      <w:r w:rsidRPr="005C7E1C">
        <w:rPr>
          <w:rFonts w:ascii="Times New Roman" w:hAnsi="Times New Roman"/>
          <w:sz w:val="20"/>
          <w:szCs w:val="20"/>
        </w:rPr>
        <w:t xml:space="preserve">out </w:t>
      </w:r>
      <w:r w:rsidR="00286F51">
        <w:rPr>
          <w:rFonts w:ascii="Times New Roman" w:hAnsi="Times New Roman"/>
          <w:sz w:val="20"/>
          <w:szCs w:val="20"/>
        </w:rPr>
        <w:t xml:space="preserve"> </w:t>
      </w:r>
      <w:r w:rsidRPr="005C7E1C">
        <w:rPr>
          <w:rFonts w:ascii="Times New Roman" w:hAnsi="Times New Roman"/>
          <w:sz w:val="20"/>
          <w:szCs w:val="20"/>
        </w:rPr>
        <w:t xml:space="preserve">by </w:t>
      </w:r>
      <w:r w:rsidR="00286F51">
        <w:rPr>
          <w:rFonts w:ascii="Times New Roman" w:hAnsi="Times New Roman"/>
          <w:sz w:val="20"/>
          <w:szCs w:val="20"/>
        </w:rPr>
        <w:t xml:space="preserve"> </w:t>
      </w:r>
      <w:bookmarkStart w:id="0" w:name="_GoBack"/>
      <w:bookmarkEnd w:id="0"/>
      <w:r w:rsidRPr="005C7E1C">
        <w:rPr>
          <w:rFonts w:ascii="Times New Roman" w:hAnsi="Times New Roman"/>
          <w:sz w:val="20"/>
          <w:szCs w:val="20"/>
        </w:rPr>
        <w:t xml:space="preserve">incorporating 150 </w:t>
      </w:r>
      <w:r w:rsidRPr="005C7E1C">
        <w:rPr>
          <w:rFonts w:ascii="Times New Roman" w:hAnsi="Times New Roman"/>
          <w:sz w:val="20"/>
          <w:szCs w:val="20"/>
          <w:lang w:val="es-AR"/>
        </w:rPr>
        <w:t>μ</w:t>
      </w:r>
      <w:r w:rsidRPr="005C7E1C">
        <w:rPr>
          <w:rFonts w:ascii="Times New Roman" w:hAnsi="Times New Roman"/>
          <w:sz w:val="20"/>
          <w:szCs w:val="20"/>
        </w:rPr>
        <w:t xml:space="preserve">l of chicken plasma, 150 </w:t>
      </w:r>
      <w:r w:rsidRPr="005C7E1C">
        <w:rPr>
          <w:rFonts w:ascii="Times New Roman" w:hAnsi="Times New Roman"/>
          <w:sz w:val="20"/>
          <w:szCs w:val="20"/>
          <w:lang w:val="es-AR"/>
        </w:rPr>
        <w:t>μ</w:t>
      </w:r>
      <w:r w:rsidR="00286F51">
        <w:rPr>
          <w:rFonts w:ascii="Times New Roman" w:hAnsi="Times New Roman"/>
          <w:sz w:val="20"/>
          <w:szCs w:val="20"/>
        </w:rPr>
        <w:t>l of a known MBX</w:t>
      </w:r>
      <w:r w:rsidRPr="005C7E1C">
        <w:rPr>
          <w:rFonts w:ascii="Times New Roman" w:hAnsi="Times New Roman"/>
          <w:sz w:val="20"/>
          <w:szCs w:val="20"/>
        </w:rPr>
        <w:t xml:space="preserve"> concentration, 600 </w:t>
      </w:r>
      <w:r w:rsidRPr="005C7E1C">
        <w:rPr>
          <w:rFonts w:ascii="Times New Roman" w:hAnsi="Times New Roman"/>
          <w:sz w:val="20"/>
          <w:szCs w:val="20"/>
          <w:lang w:val="es-AR"/>
        </w:rPr>
        <w:t>μ</w:t>
      </w:r>
      <w:r w:rsidRPr="005C7E1C">
        <w:rPr>
          <w:rFonts w:ascii="Times New Roman" w:hAnsi="Times New Roman"/>
          <w:sz w:val="20"/>
          <w:szCs w:val="20"/>
        </w:rPr>
        <w:t xml:space="preserve">l of methanol and 40 </w:t>
      </w:r>
      <w:r w:rsidRPr="005C7E1C">
        <w:rPr>
          <w:rFonts w:ascii="Times New Roman" w:hAnsi="Times New Roman"/>
          <w:sz w:val="20"/>
          <w:szCs w:val="20"/>
          <w:lang w:val="es-AR"/>
        </w:rPr>
        <w:t>μ</w:t>
      </w:r>
      <w:r w:rsidRPr="005C7E1C">
        <w:rPr>
          <w:rFonts w:ascii="Times New Roman" w:hAnsi="Times New Roman"/>
          <w:sz w:val="20"/>
          <w:szCs w:val="20"/>
        </w:rPr>
        <w:t xml:space="preserve">l of the internal standard (enrofloxacin 2.5 </w:t>
      </w:r>
      <w:r w:rsidRPr="005C7E1C">
        <w:rPr>
          <w:rFonts w:ascii="Times New Roman" w:hAnsi="Times New Roman"/>
          <w:sz w:val="20"/>
          <w:szCs w:val="20"/>
          <w:lang w:val="es-AR"/>
        </w:rPr>
        <w:t>μ</w:t>
      </w:r>
      <w:r w:rsidRPr="005C7E1C">
        <w:rPr>
          <w:rFonts w:ascii="Times New Roman" w:hAnsi="Times New Roman"/>
          <w:sz w:val="20"/>
          <w:szCs w:val="20"/>
        </w:rPr>
        <w:t>g/ml) into an Eppendorf tube of 1.5 ml.</w:t>
      </w:r>
      <w:r w:rsidRPr="005C7E1C">
        <w:rPr>
          <w:rFonts w:ascii="Times New Roman" w:hAnsi="Times New Roman"/>
          <w:i/>
          <w:sz w:val="20"/>
          <w:szCs w:val="20"/>
        </w:rPr>
        <w:t xml:space="preserve"> </w:t>
      </w:r>
      <w:r w:rsidRPr="005C7E1C">
        <w:rPr>
          <w:rFonts w:ascii="Times New Roman" w:hAnsi="Times New Roman"/>
          <w:sz w:val="20"/>
          <w:szCs w:val="20"/>
        </w:rPr>
        <w:t xml:space="preserve">For the tissue samples, 150 </w:t>
      </w:r>
      <w:r w:rsidRPr="005C7E1C">
        <w:rPr>
          <w:rFonts w:ascii="Times New Roman" w:hAnsi="Times New Roman"/>
          <w:sz w:val="20"/>
          <w:szCs w:val="20"/>
          <w:lang w:val="es-AR"/>
        </w:rPr>
        <w:t>μ</w:t>
      </w:r>
      <w:r w:rsidRPr="005C7E1C">
        <w:rPr>
          <w:rFonts w:ascii="Times New Roman" w:hAnsi="Times New Roman"/>
          <w:sz w:val="20"/>
          <w:szCs w:val="20"/>
        </w:rPr>
        <w:t xml:space="preserve">g of the tissue, 150 </w:t>
      </w:r>
      <w:r w:rsidRPr="005C7E1C">
        <w:rPr>
          <w:rFonts w:ascii="Times New Roman" w:hAnsi="Times New Roman"/>
          <w:sz w:val="20"/>
          <w:szCs w:val="20"/>
          <w:lang w:val="es-AR"/>
        </w:rPr>
        <w:t>μ</w:t>
      </w:r>
      <w:r w:rsidRPr="005C7E1C">
        <w:rPr>
          <w:rFonts w:ascii="Times New Roman" w:hAnsi="Times New Roman"/>
          <w:sz w:val="20"/>
          <w:szCs w:val="20"/>
        </w:rPr>
        <w:t xml:space="preserve">l of known MBX concentration, 600 </w:t>
      </w:r>
      <w:r w:rsidRPr="005C7E1C">
        <w:rPr>
          <w:rFonts w:ascii="Times New Roman" w:hAnsi="Times New Roman"/>
          <w:sz w:val="20"/>
          <w:szCs w:val="20"/>
          <w:lang w:val="es-AR"/>
        </w:rPr>
        <w:t>μ</w:t>
      </w:r>
      <w:r w:rsidRPr="005C7E1C">
        <w:rPr>
          <w:rFonts w:ascii="Times New Roman" w:hAnsi="Times New Roman"/>
          <w:sz w:val="20"/>
          <w:szCs w:val="20"/>
        </w:rPr>
        <w:t xml:space="preserve">L of a homogenization solution, composed of deionized water, methanol and 70% perchloric acid (50: 48: 2) and 40 </w:t>
      </w:r>
      <w:r w:rsidRPr="005C7E1C">
        <w:rPr>
          <w:rFonts w:ascii="Times New Roman" w:hAnsi="Times New Roman"/>
          <w:sz w:val="20"/>
          <w:szCs w:val="20"/>
          <w:lang w:val="es-AR"/>
        </w:rPr>
        <w:t>μ</w:t>
      </w:r>
      <w:r w:rsidRPr="005C7E1C">
        <w:rPr>
          <w:rFonts w:ascii="Times New Roman" w:hAnsi="Times New Roman"/>
          <w:sz w:val="20"/>
          <w:szCs w:val="20"/>
        </w:rPr>
        <w:t xml:space="preserve">l of the internal standard was added to an Eppendorf, proceeding to homogenize the whole for one minute with a homogenizer (Dremel 3000®). Then, samples were stirred in vortex for 30 seconds, held for 1 hours at room temperature 22 °C and then 12 hours at 4 °C; at the end of this time, were centrifuged at 13,500 rpm at 4 °C for 25 minutes. The supernatant was filtered through a 0.22 </w:t>
      </w:r>
      <w:r w:rsidRPr="005C7E1C">
        <w:rPr>
          <w:rFonts w:ascii="Times New Roman" w:hAnsi="Times New Roman"/>
          <w:sz w:val="20"/>
          <w:szCs w:val="20"/>
          <w:lang w:val="es-AR"/>
        </w:rPr>
        <w:t>μ</w:t>
      </w:r>
      <w:r w:rsidRPr="005C7E1C">
        <w:rPr>
          <w:rFonts w:ascii="Times New Roman" w:hAnsi="Times New Roman"/>
          <w:sz w:val="20"/>
          <w:szCs w:val="20"/>
        </w:rPr>
        <w:t>m nylon membrane, obtaining the sample to be eluted.</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b/>
          <w:i/>
          <w:sz w:val="20"/>
          <w:szCs w:val="20"/>
        </w:rPr>
      </w:pPr>
      <w:r w:rsidRPr="005C7E1C">
        <w:rPr>
          <w:rFonts w:ascii="Times New Roman" w:hAnsi="Times New Roman"/>
          <w:b/>
          <w:sz w:val="20"/>
          <w:szCs w:val="20"/>
        </w:rPr>
        <w:t>Method validation</w:t>
      </w:r>
    </w:p>
    <w:p w:rsidR="005C7E1C" w:rsidRPr="005C7E1C" w:rsidRDefault="005C7E1C" w:rsidP="005C7E1C">
      <w:pPr>
        <w:spacing w:after="0" w:line="240" w:lineRule="auto"/>
        <w:jc w:val="both"/>
        <w:outlineLvl w:val="0"/>
        <w:rPr>
          <w:rFonts w:ascii="Times New Roman" w:hAnsi="Times New Roman"/>
          <w:i/>
          <w:sz w:val="20"/>
          <w:szCs w:val="20"/>
        </w:rPr>
      </w:pPr>
      <w:r w:rsidRPr="005C7E1C">
        <w:rPr>
          <w:rFonts w:ascii="Times New Roman" w:hAnsi="Times New Roman"/>
          <w:sz w:val="20"/>
          <w:szCs w:val="20"/>
        </w:rPr>
        <w:t xml:space="preserve">The validation of the chromatographic methodology was performed according to the </w:t>
      </w:r>
      <w:r w:rsidRPr="005C7E1C">
        <w:rPr>
          <w:rFonts w:ascii="Times New Roman" w:hAnsi="Times New Roman"/>
          <w:i/>
          <w:sz w:val="20"/>
          <w:szCs w:val="20"/>
        </w:rPr>
        <w:t>Codex Committee on Residues of Veterinary Drugs in Foods</w:t>
      </w:r>
      <w:r w:rsidRPr="005C7E1C">
        <w:rPr>
          <w:rFonts w:ascii="Times New Roman" w:hAnsi="Times New Roman"/>
          <w:sz w:val="20"/>
          <w:szCs w:val="20"/>
        </w:rPr>
        <w:t xml:space="preserve"> (CCRVDF), proposed by the European Medicines Agency (EMEA) [21].</w:t>
      </w:r>
    </w:p>
    <w:p w:rsidR="005C7E1C" w:rsidRPr="005C7E1C" w:rsidRDefault="005C7E1C" w:rsidP="005C7E1C">
      <w:pPr>
        <w:spacing w:after="0" w:line="240" w:lineRule="auto"/>
        <w:jc w:val="both"/>
        <w:outlineLvl w:val="0"/>
        <w:rPr>
          <w:rFonts w:ascii="Times New Roman" w:hAnsi="Times New Roman"/>
          <w:i/>
          <w:sz w:val="20"/>
          <w:szCs w:val="20"/>
        </w:rPr>
      </w:pPr>
    </w:p>
    <w:p w:rsidR="005C7E1C" w:rsidRPr="005C7E1C" w:rsidRDefault="005C7E1C" w:rsidP="005C7E1C">
      <w:pPr>
        <w:spacing w:after="0" w:line="240" w:lineRule="auto"/>
        <w:jc w:val="both"/>
        <w:outlineLvl w:val="0"/>
        <w:rPr>
          <w:rFonts w:ascii="Times New Roman" w:hAnsi="Times New Roman"/>
          <w:b/>
          <w:sz w:val="20"/>
          <w:szCs w:val="20"/>
        </w:rPr>
      </w:pPr>
      <w:r w:rsidRPr="005C7E1C">
        <w:rPr>
          <w:rFonts w:ascii="Times New Roman" w:hAnsi="Times New Roman"/>
          <w:b/>
          <w:sz w:val="20"/>
          <w:szCs w:val="20"/>
        </w:rPr>
        <w:t>Calibration curve</w:t>
      </w:r>
    </w:p>
    <w:p w:rsidR="005C7E1C" w:rsidRPr="005C7E1C" w:rsidRDefault="005C7E1C" w:rsidP="005C7E1C">
      <w:pPr>
        <w:spacing w:after="0" w:line="240" w:lineRule="auto"/>
        <w:jc w:val="both"/>
        <w:outlineLvl w:val="0"/>
        <w:rPr>
          <w:rFonts w:ascii="Times New Roman" w:hAnsi="Times New Roman"/>
          <w:i/>
          <w:sz w:val="20"/>
          <w:szCs w:val="20"/>
        </w:rPr>
      </w:pPr>
      <w:r w:rsidRPr="005C7E1C">
        <w:rPr>
          <w:rFonts w:ascii="Times New Roman" w:hAnsi="Times New Roman"/>
          <w:sz w:val="20"/>
          <w:szCs w:val="20"/>
        </w:rPr>
        <w:t xml:space="preserve">The calibration curve was performed with different concentrations of MBX in the range of 0.0097 - 2.5 </w:t>
      </w:r>
      <w:r w:rsidRPr="005C7E1C">
        <w:rPr>
          <w:rFonts w:ascii="Times New Roman" w:hAnsi="Times New Roman"/>
          <w:sz w:val="20"/>
          <w:szCs w:val="20"/>
          <w:lang w:val="es-AR"/>
        </w:rPr>
        <w:t>μ</w:t>
      </w:r>
      <w:r w:rsidRPr="005C7E1C">
        <w:rPr>
          <w:rFonts w:ascii="Times New Roman" w:hAnsi="Times New Roman"/>
          <w:sz w:val="20"/>
          <w:szCs w:val="20"/>
        </w:rPr>
        <w:t xml:space="preserve">g/ml (plasma), 0.0048 - 1.25 </w:t>
      </w:r>
      <w:r w:rsidRPr="005C7E1C">
        <w:rPr>
          <w:rFonts w:ascii="Times New Roman" w:hAnsi="Times New Roman"/>
          <w:sz w:val="20"/>
          <w:szCs w:val="20"/>
          <w:lang w:val="es-AR"/>
        </w:rPr>
        <w:t>μ</w:t>
      </w:r>
      <w:r w:rsidRPr="005C7E1C">
        <w:rPr>
          <w:rFonts w:ascii="Times New Roman" w:hAnsi="Times New Roman"/>
          <w:sz w:val="20"/>
          <w:szCs w:val="20"/>
        </w:rPr>
        <w:t xml:space="preserve">g/g (muscle) and 0.0195 - 2.5 </w:t>
      </w:r>
      <w:r w:rsidRPr="005C7E1C">
        <w:rPr>
          <w:rFonts w:ascii="Times New Roman" w:hAnsi="Times New Roman"/>
          <w:sz w:val="20"/>
          <w:szCs w:val="20"/>
          <w:lang w:val="es-AR"/>
        </w:rPr>
        <w:t>μ</w:t>
      </w:r>
      <w:r w:rsidRPr="005C7E1C">
        <w:rPr>
          <w:rFonts w:ascii="Times New Roman" w:hAnsi="Times New Roman"/>
          <w:sz w:val="20"/>
          <w:szCs w:val="20"/>
        </w:rPr>
        <w:t>g/g (skin, lung, liver and kidney); concentrations were incorporated into the sample preparation as described previously dependent on the tissue used. Determination was performed by linear regression, linearity, regression coefficient, slope, intercept, detection limit (LOD) and quantification limit (LOQ). The intercept and slope values of the calibration curve were used for a linear function to obtain the ratio of the peak of marbofloxacin and internal standard (enrofloxacin), determining the final concentration of the analyte.</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b/>
          <w:iCs/>
          <w:sz w:val="20"/>
          <w:szCs w:val="20"/>
        </w:rPr>
      </w:pPr>
      <w:r w:rsidRPr="005C7E1C">
        <w:rPr>
          <w:rFonts w:ascii="Times New Roman" w:hAnsi="Times New Roman"/>
          <w:b/>
          <w:iCs/>
          <w:sz w:val="20"/>
          <w:szCs w:val="20"/>
        </w:rPr>
        <w:t>Precision and recoverability assays</w:t>
      </w: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 xml:space="preserve">For precision, intra-day tests were employed, which refers to the dilution of calibration standards (0.039 to 1.250 </w:t>
      </w:r>
      <w:r w:rsidRPr="005C7E1C">
        <w:rPr>
          <w:rFonts w:ascii="Times New Roman" w:hAnsi="Times New Roman"/>
          <w:sz w:val="20"/>
          <w:szCs w:val="20"/>
          <w:lang w:val="es-AR"/>
        </w:rPr>
        <w:t>μ</w:t>
      </w:r>
      <w:r w:rsidRPr="005C7E1C">
        <w:rPr>
          <w:rFonts w:ascii="Times New Roman" w:hAnsi="Times New Roman"/>
          <w:sz w:val="20"/>
          <w:szCs w:val="20"/>
        </w:rPr>
        <w:t xml:space="preserve">g/ml or </w:t>
      </w:r>
      <w:r w:rsidRPr="005C7E1C">
        <w:rPr>
          <w:rFonts w:ascii="Times New Roman" w:hAnsi="Times New Roman"/>
          <w:sz w:val="20"/>
          <w:szCs w:val="20"/>
          <w:lang w:val="es-AR"/>
        </w:rPr>
        <w:t>μ</w:t>
      </w:r>
      <w:r w:rsidRPr="005C7E1C">
        <w:rPr>
          <w:rFonts w:ascii="Times New Roman" w:hAnsi="Times New Roman"/>
          <w:sz w:val="20"/>
          <w:szCs w:val="20"/>
        </w:rPr>
        <w:t xml:space="preserve">g/g) of plasma and muscle; meanwhile in tissues, concentrations from 0.078 to 2.5 </w:t>
      </w:r>
      <w:r w:rsidRPr="005C7E1C">
        <w:rPr>
          <w:rFonts w:ascii="Times New Roman" w:hAnsi="Times New Roman"/>
          <w:sz w:val="20"/>
          <w:szCs w:val="20"/>
          <w:lang w:val="es-AR"/>
        </w:rPr>
        <w:t>μ</w:t>
      </w:r>
      <w:r w:rsidRPr="005C7E1C">
        <w:rPr>
          <w:rFonts w:ascii="Times New Roman" w:hAnsi="Times New Roman"/>
          <w:sz w:val="20"/>
          <w:szCs w:val="20"/>
        </w:rPr>
        <w:t>g/g were used, by six-fold. Test was considered acceptable when the coefficient of variation (CV%) between elution, as the area index of the chromatograms was achieved ≤ 1.5%.</w:t>
      </w:r>
    </w:p>
    <w:p w:rsidR="005C7E1C" w:rsidRPr="005C7E1C" w:rsidRDefault="005C7E1C" w:rsidP="005C7E1C">
      <w:pPr>
        <w:spacing w:after="0" w:line="240" w:lineRule="auto"/>
        <w:jc w:val="both"/>
        <w:outlineLvl w:val="0"/>
        <w:rPr>
          <w:rFonts w:ascii="Times New Roman" w:hAnsi="Times New Roman"/>
          <w:sz w:val="20"/>
          <w:szCs w:val="20"/>
        </w:rPr>
      </w:pPr>
    </w:p>
    <w:p w:rsidR="005C7E1C" w:rsidRPr="005C7E1C" w:rsidRDefault="005C7E1C" w:rsidP="005C7E1C">
      <w:pPr>
        <w:spacing w:after="0" w:line="240" w:lineRule="auto"/>
        <w:jc w:val="both"/>
        <w:outlineLvl w:val="0"/>
        <w:rPr>
          <w:rFonts w:ascii="Times New Roman" w:hAnsi="Times New Roman"/>
          <w:sz w:val="20"/>
          <w:szCs w:val="20"/>
        </w:rPr>
      </w:pPr>
      <w:r w:rsidRPr="005C7E1C">
        <w:rPr>
          <w:rFonts w:ascii="Times New Roman" w:hAnsi="Times New Roman"/>
          <w:sz w:val="20"/>
          <w:szCs w:val="20"/>
        </w:rPr>
        <w:t xml:space="preserve">Finally, inter-day test consisted in the dilution of the calibration standards from 0.039 to 1.25 µg/ml or µg/g of plasma and muscle and 0.078 to 2.5 µg/g in tissues performed in 6 different days. It was considered acceptable when the CV% of the area indices of the chromatograms was ≤ 3%. For recoverability (plasma and muscle) MBX calibration standards were used in the same concentration of 0.039 to 1.250 </w:t>
      </w:r>
      <w:r w:rsidRPr="005C7E1C">
        <w:rPr>
          <w:rFonts w:ascii="Times New Roman" w:hAnsi="Times New Roman"/>
          <w:sz w:val="20"/>
          <w:szCs w:val="20"/>
          <w:lang w:val="es-AR"/>
        </w:rPr>
        <w:t>μ</w:t>
      </w:r>
      <w:r w:rsidRPr="005C7E1C">
        <w:rPr>
          <w:rFonts w:ascii="Times New Roman" w:hAnsi="Times New Roman"/>
          <w:sz w:val="20"/>
          <w:szCs w:val="20"/>
        </w:rPr>
        <w:t xml:space="preserve">g/ml or </w:t>
      </w:r>
      <w:r w:rsidRPr="005C7E1C">
        <w:rPr>
          <w:rFonts w:ascii="Times New Roman" w:hAnsi="Times New Roman"/>
          <w:sz w:val="20"/>
          <w:szCs w:val="20"/>
          <w:lang w:val="es-AR"/>
        </w:rPr>
        <w:t>μ</w:t>
      </w:r>
      <w:r w:rsidRPr="005C7E1C">
        <w:rPr>
          <w:rFonts w:ascii="Times New Roman" w:hAnsi="Times New Roman"/>
          <w:sz w:val="20"/>
          <w:szCs w:val="20"/>
        </w:rPr>
        <w:t xml:space="preserve">g/g, whereas in the other tissues (liver, kidney, lung, skin) it was 0.078 to 2.5 </w:t>
      </w:r>
      <w:r w:rsidRPr="005C7E1C">
        <w:rPr>
          <w:rFonts w:ascii="Times New Roman" w:hAnsi="Times New Roman"/>
          <w:sz w:val="20"/>
          <w:szCs w:val="20"/>
          <w:lang w:val="es-AR"/>
        </w:rPr>
        <w:t>μ</w:t>
      </w:r>
      <w:r w:rsidRPr="005C7E1C">
        <w:rPr>
          <w:rFonts w:ascii="Times New Roman" w:hAnsi="Times New Roman"/>
          <w:sz w:val="20"/>
          <w:szCs w:val="20"/>
        </w:rPr>
        <w:t>g/g with fortified samples, observing differences between standard versus fortified samples calculating the recoverability percentage.</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B95EA3" w:rsidRPr="00B95EA3" w:rsidRDefault="00B95EA3" w:rsidP="00B95EA3">
      <w:pPr>
        <w:spacing w:after="0" w:line="240" w:lineRule="auto"/>
        <w:jc w:val="both"/>
        <w:outlineLvl w:val="0"/>
        <w:rPr>
          <w:rFonts w:ascii="Times New Roman" w:hAnsi="Times New Roman"/>
          <w:bCs/>
          <w:sz w:val="20"/>
          <w:szCs w:val="20"/>
        </w:rPr>
      </w:pPr>
      <w:r w:rsidRPr="00B95EA3">
        <w:rPr>
          <w:rFonts w:ascii="Times New Roman" w:hAnsi="Times New Roman"/>
          <w:bCs/>
          <w:sz w:val="20"/>
          <w:szCs w:val="20"/>
        </w:rPr>
        <w:t>Table 1 shows results of the intercept, slope and the adjustment coefficient for each matrix studied. Table 2 shows variation coefficients of intraday and inter-day assays and the percentages of relative recovery of marbofloxacin in all matrices studied. Table 3 indicates the different detection and quantification limits for marbofloxacin in the different biological matrices studied. Retention time for MBX in the different matrices studied was 3.97±0.144 minutes, and 4.99±0.24 minutes for internal standard (enrofloxacin) without interferences in the chromatogram.</w:t>
      </w:r>
    </w:p>
    <w:p w:rsidR="00B95EA3" w:rsidRPr="00B95EA3" w:rsidRDefault="00B95EA3" w:rsidP="00B95EA3">
      <w:pPr>
        <w:spacing w:after="0" w:line="240" w:lineRule="auto"/>
        <w:jc w:val="both"/>
        <w:outlineLvl w:val="0"/>
        <w:rPr>
          <w:rFonts w:ascii="Times New Roman" w:hAnsi="Times New Roman"/>
          <w:bCs/>
          <w:sz w:val="20"/>
          <w:szCs w:val="20"/>
        </w:rPr>
      </w:pPr>
    </w:p>
    <w:p w:rsidR="00B95EA3" w:rsidRPr="00B95EA3" w:rsidRDefault="00B95EA3" w:rsidP="00B95EA3">
      <w:pPr>
        <w:spacing w:after="0" w:line="240" w:lineRule="auto"/>
        <w:jc w:val="both"/>
        <w:outlineLvl w:val="0"/>
        <w:rPr>
          <w:rFonts w:ascii="Times New Roman" w:hAnsi="Times New Roman"/>
          <w:iCs/>
          <w:sz w:val="20"/>
          <w:szCs w:val="20"/>
        </w:rPr>
      </w:pPr>
      <w:r w:rsidRPr="00B95EA3">
        <w:rPr>
          <w:rFonts w:ascii="Times New Roman" w:hAnsi="Times New Roman"/>
          <w:iCs/>
          <w:sz w:val="20"/>
          <w:szCs w:val="20"/>
        </w:rPr>
        <w:t>The coefficient of adjustment of linearity (Table 1) in the range of concentrations studied, shows that this analytical method is efficient and sensitive for the determination of MBX in different tissues of chickens, for pharmacokinetic behavior studies and for residues monitoring of this drug in broiler chickens (plasma, muscle, liver, lung, kidney, skin) [21].</w:t>
      </w:r>
    </w:p>
    <w:p w:rsidR="00B95EA3" w:rsidRDefault="00B95EA3" w:rsidP="00B95EA3">
      <w:pPr>
        <w:spacing w:after="0" w:line="240" w:lineRule="auto"/>
        <w:jc w:val="both"/>
        <w:outlineLvl w:val="0"/>
        <w:rPr>
          <w:rFonts w:ascii="Times New Roman" w:hAnsi="Times New Roman"/>
          <w:b/>
          <w:bCs/>
          <w:sz w:val="20"/>
          <w:szCs w:val="20"/>
        </w:rPr>
      </w:pPr>
    </w:p>
    <w:p w:rsidR="00B95EA3" w:rsidRDefault="00B95EA3" w:rsidP="00B95EA3">
      <w:pPr>
        <w:spacing w:after="0" w:line="240" w:lineRule="auto"/>
        <w:jc w:val="both"/>
        <w:outlineLvl w:val="0"/>
        <w:rPr>
          <w:rFonts w:ascii="Times New Roman" w:hAnsi="Times New Roman"/>
          <w:b/>
          <w:bCs/>
          <w:sz w:val="20"/>
          <w:szCs w:val="20"/>
        </w:rPr>
      </w:pPr>
    </w:p>
    <w:p w:rsidR="00B95EA3" w:rsidRDefault="00B95EA3" w:rsidP="00B95EA3">
      <w:pPr>
        <w:spacing w:after="0" w:line="240" w:lineRule="auto"/>
        <w:jc w:val="both"/>
        <w:outlineLvl w:val="0"/>
        <w:rPr>
          <w:rFonts w:ascii="Times New Roman" w:hAnsi="Times New Roman"/>
          <w:b/>
          <w:bCs/>
          <w:sz w:val="20"/>
          <w:szCs w:val="20"/>
        </w:rPr>
      </w:pPr>
    </w:p>
    <w:p w:rsidR="00B95EA3" w:rsidRDefault="00B95EA3" w:rsidP="00B95EA3">
      <w:pPr>
        <w:spacing w:after="0" w:line="240" w:lineRule="auto"/>
        <w:jc w:val="both"/>
        <w:outlineLvl w:val="0"/>
        <w:rPr>
          <w:rFonts w:ascii="Times New Roman" w:hAnsi="Times New Roman"/>
          <w:b/>
          <w:bCs/>
          <w:sz w:val="20"/>
          <w:szCs w:val="20"/>
        </w:rPr>
      </w:pPr>
    </w:p>
    <w:p w:rsidR="00B95EA3" w:rsidRPr="00B95EA3" w:rsidRDefault="00B95EA3" w:rsidP="00B95EA3">
      <w:pPr>
        <w:spacing w:after="0" w:line="240" w:lineRule="auto"/>
        <w:jc w:val="both"/>
        <w:outlineLvl w:val="0"/>
        <w:rPr>
          <w:rFonts w:ascii="Times New Roman" w:hAnsi="Times New Roman"/>
          <w:b/>
          <w:bCs/>
          <w:sz w:val="20"/>
          <w:szCs w:val="20"/>
        </w:rPr>
      </w:pPr>
    </w:p>
    <w:p w:rsidR="00B95EA3" w:rsidRPr="00B95EA3" w:rsidRDefault="00B95EA3" w:rsidP="00B95EA3">
      <w:pPr>
        <w:spacing w:after="120" w:line="240" w:lineRule="auto"/>
        <w:jc w:val="center"/>
        <w:outlineLvl w:val="0"/>
        <w:rPr>
          <w:rFonts w:ascii="Times New Roman" w:hAnsi="Times New Roman"/>
          <w:bCs/>
          <w:sz w:val="20"/>
          <w:szCs w:val="20"/>
        </w:rPr>
      </w:pPr>
      <w:r w:rsidRPr="00B95EA3">
        <w:rPr>
          <w:rFonts w:ascii="Times New Roman" w:hAnsi="Times New Roman"/>
          <w:bCs/>
          <w:sz w:val="20"/>
          <w:szCs w:val="20"/>
        </w:rPr>
        <w:lastRenderedPageBreak/>
        <w:t xml:space="preserve">Table 1. </w:t>
      </w:r>
      <w:r>
        <w:rPr>
          <w:rFonts w:ascii="Times New Roman" w:hAnsi="Times New Roman"/>
          <w:bCs/>
          <w:sz w:val="20"/>
          <w:szCs w:val="20"/>
        </w:rPr>
        <w:t xml:space="preserve"> </w:t>
      </w:r>
      <w:r w:rsidRPr="00B95EA3">
        <w:rPr>
          <w:rFonts w:ascii="Times New Roman" w:hAnsi="Times New Roman"/>
          <w:bCs/>
          <w:sz w:val="20"/>
          <w:szCs w:val="20"/>
        </w:rPr>
        <w:t>Linearity of marbofloxacin in plasma and chicken tissues</w:t>
      </w:r>
    </w:p>
    <w:tbl>
      <w:tblPr>
        <w:tblW w:w="0" w:type="auto"/>
        <w:jc w:val="center"/>
        <w:tblLook w:val="01E0" w:firstRow="1" w:lastRow="1" w:firstColumn="1" w:lastColumn="1" w:noHBand="0" w:noVBand="0"/>
      </w:tblPr>
      <w:tblGrid>
        <w:gridCol w:w="816"/>
        <w:gridCol w:w="1811"/>
        <w:gridCol w:w="966"/>
        <w:gridCol w:w="766"/>
        <w:gridCol w:w="766"/>
      </w:tblGrid>
      <w:tr w:rsidR="00B95EA3" w:rsidRPr="00B95EA3" w:rsidTr="00B95EA3">
        <w:trPr>
          <w:jc w:val="center"/>
        </w:trPr>
        <w:tc>
          <w:tcPr>
            <w:tcW w:w="0" w:type="auto"/>
            <w:tcBorders>
              <w:top w:val="single" w:sz="4" w:space="0" w:color="auto"/>
              <w:bottom w:val="single" w:sz="4" w:space="0" w:color="auto"/>
            </w:tcBorders>
          </w:tcPr>
          <w:p w:rsidR="00B95EA3" w:rsidRPr="00B95EA3" w:rsidRDefault="00B95EA3" w:rsidP="00B95EA3">
            <w:pPr>
              <w:spacing w:before="60" w:after="0" w:line="240" w:lineRule="auto"/>
              <w:outlineLvl w:val="0"/>
              <w:rPr>
                <w:rFonts w:ascii="Times New Roman" w:hAnsi="Times New Roman"/>
                <w:b/>
                <w:bCs/>
                <w:sz w:val="20"/>
                <w:szCs w:val="20"/>
                <w:lang w:val="es-AR"/>
              </w:rPr>
            </w:pPr>
            <w:r w:rsidRPr="00B95EA3">
              <w:rPr>
                <w:rFonts w:ascii="Times New Roman" w:hAnsi="Times New Roman"/>
                <w:b/>
                <w:bCs/>
                <w:sz w:val="20"/>
                <w:szCs w:val="20"/>
                <w:lang w:val="es-AR"/>
              </w:rPr>
              <w:t>Matrix</w:t>
            </w:r>
          </w:p>
        </w:tc>
        <w:tc>
          <w:tcPr>
            <w:tcW w:w="0" w:type="auto"/>
            <w:tcBorders>
              <w:top w:val="single" w:sz="4" w:space="0" w:color="auto"/>
              <w:bottom w:val="single" w:sz="4" w:space="0" w:color="auto"/>
            </w:tcBorders>
          </w:tcPr>
          <w:p w:rsidR="00B95EA3" w:rsidRPr="00B95EA3" w:rsidRDefault="00B95EA3" w:rsidP="00B95EA3">
            <w:pPr>
              <w:spacing w:before="60"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Ranges of</w:t>
            </w:r>
          </w:p>
          <w:p w:rsidR="00B95EA3" w:rsidRPr="00B95EA3" w:rsidRDefault="00B95EA3" w:rsidP="00B95EA3">
            <w:pPr>
              <w:spacing w:after="60" w:line="240" w:lineRule="auto"/>
              <w:jc w:val="center"/>
              <w:outlineLvl w:val="0"/>
              <w:rPr>
                <w:rFonts w:ascii="Times New Roman" w:hAnsi="Times New Roman"/>
                <w:bCs/>
                <w:sz w:val="20"/>
                <w:szCs w:val="20"/>
                <w:lang w:val="es-AR"/>
              </w:rPr>
            </w:pPr>
            <w:r w:rsidRPr="00B95EA3">
              <w:rPr>
                <w:rFonts w:ascii="Times New Roman" w:hAnsi="Times New Roman"/>
                <w:b/>
                <w:bCs/>
                <w:sz w:val="20"/>
                <w:szCs w:val="20"/>
                <w:lang w:val="es-AR"/>
              </w:rPr>
              <w:t>Concentrations (*)</w:t>
            </w:r>
          </w:p>
        </w:tc>
        <w:tc>
          <w:tcPr>
            <w:tcW w:w="0" w:type="auto"/>
            <w:tcBorders>
              <w:top w:val="single" w:sz="4" w:space="0" w:color="auto"/>
              <w:bottom w:val="single" w:sz="4" w:space="0" w:color="auto"/>
            </w:tcBorders>
          </w:tcPr>
          <w:p w:rsidR="00B95EA3" w:rsidRPr="00B95EA3" w:rsidRDefault="00B95EA3" w:rsidP="00B95EA3">
            <w:pPr>
              <w:spacing w:before="60"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A</w:t>
            </w:r>
          </w:p>
        </w:tc>
        <w:tc>
          <w:tcPr>
            <w:tcW w:w="0" w:type="auto"/>
            <w:tcBorders>
              <w:top w:val="single" w:sz="4" w:space="0" w:color="auto"/>
              <w:bottom w:val="single" w:sz="4" w:space="0" w:color="auto"/>
            </w:tcBorders>
          </w:tcPr>
          <w:p w:rsidR="00B95EA3" w:rsidRPr="00B95EA3" w:rsidRDefault="00B95EA3" w:rsidP="00B95EA3">
            <w:pPr>
              <w:spacing w:before="60"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B</w:t>
            </w:r>
          </w:p>
        </w:tc>
        <w:tc>
          <w:tcPr>
            <w:tcW w:w="0" w:type="auto"/>
            <w:tcBorders>
              <w:top w:val="single" w:sz="4" w:space="0" w:color="auto"/>
              <w:bottom w:val="single" w:sz="4" w:space="0" w:color="auto"/>
            </w:tcBorders>
          </w:tcPr>
          <w:p w:rsidR="00B95EA3" w:rsidRPr="00B95EA3" w:rsidRDefault="00B95EA3" w:rsidP="00B95EA3">
            <w:pPr>
              <w:spacing w:before="60"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r</w:t>
            </w:r>
            <w:r w:rsidRPr="00B95EA3">
              <w:rPr>
                <w:rFonts w:ascii="Times New Roman" w:hAnsi="Times New Roman"/>
                <w:b/>
                <w:bCs/>
                <w:sz w:val="20"/>
                <w:szCs w:val="20"/>
                <w:vertAlign w:val="superscript"/>
                <w:lang w:val="es-AR"/>
              </w:rPr>
              <w:t>2</w:t>
            </w:r>
          </w:p>
        </w:tc>
      </w:tr>
      <w:tr w:rsidR="00B95EA3" w:rsidRPr="00B95EA3" w:rsidTr="00B95EA3">
        <w:trPr>
          <w:jc w:val="center"/>
        </w:trPr>
        <w:tc>
          <w:tcPr>
            <w:tcW w:w="0" w:type="auto"/>
            <w:tcBorders>
              <w:top w:val="single" w:sz="4" w:space="0" w:color="auto"/>
            </w:tcBorders>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Plasma</w:t>
            </w:r>
          </w:p>
        </w:tc>
        <w:tc>
          <w:tcPr>
            <w:tcW w:w="0" w:type="auto"/>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0.0097-2.50</w:t>
            </w:r>
          </w:p>
        </w:tc>
        <w:tc>
          <w:tcPr>
            <w:tcW w:w="0" w:type="auto"/>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0.008128</w:t>
            </w:r>
          </w:p>
        </w:tc>
        <w:tc>
          <w:tcPr>
            <w:tcW w:w="0" w:type="auto"/>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0.4154</w:t>
            </w:r>
          </w:p>
        </w:tc>
        <w:tc>
          <w:tcPr>
            <w:tcW w:w="0" w:type="auto"/>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0.9928</w:t>
            </w:r>
          </w:p>
        </w:tc>
      </w:tr>
      <w:tr w:rsidR="00B95EA3" w:rsidRPr="00B95EA3" w:rsidTr="0006629E">
        <w:trPr>
          <w:jc w:val="center"/>
        </w:trPr>
        <w:tc>
          <w:tcPr>
            <w:tcW w:w="0" w:type="auto"/>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Muscle</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0.0048-1.25</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0.01456</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0.7084</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MX"/>
              </w:rPr>
              <w:t>0.9999</w:t>
            </w:r>
          </w:p>
        </w:tc>
      </w:tr>
      <w:tr w:rsidR="00B95EA3" w:rsidRPr="00B95EA3" w:rsidTr="0006629E">
        <w:trPr>
          <w:jc w:val="center"/>
        </w:trPr>
        <w:tc>
          <w:tcPr>
            <w:tcW w:w="0" w:type="auto"/>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Liver</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0.0097-2.50</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0.1087</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0.8059</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MX"/>
              </w:rPr>
            </w:pPr>
            <w:r w:rsidRPr="00B95EA3">
              <w:rPr>
                <w:rFonts w:ascii="Times New Roman" w:hAnsi="Times New Roman"/>
                <w:bCs/>
                <w:sz w:val="20"/>
                <w:szCs w:val="20"/>
                <w:lang w:val="es-MX"/>
              </w:rPr>
              <w:t>0.9908</w:t>
            </w:r>
          </w:p>
        </w:tc>
      </w:tr>
      <w:tr w:rsidR="00B95EA3" w:rsidRPr="00B95EA3" w:rsidTr="0006629E">
        <w:trPr>
          <w:jc w:val="center"/>
        </w:trPr>
        <w:tc>
          <w:tcPr>
            <w:tcW w:w="0" w:type="auto"/>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Kidney</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0.0097-2.50</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-0.01264</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0.4973</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MX"/>
              </w:rPr>
            </w:pPr>
            <w:r w:rsidRPr="00B95EA3">
              <w:rPr>
                <w:rFonts w:ascii="Times New Roman" w:hAnsi="Times New Roman"/>
                <w:bCs/>
                <w:sz w:val="20"/>
                <w:szCs w:val="20"/>
                <w:lang w:val="es-MX"/>
              </w:rPr>
              <w:t>0.9993</w:t>
            </w:r>
          </w:p>
        </w:tc>
      </w:tr>
      <w:tr w:rsidR="00B95EA3" w:rsidRPr="00B95EA3" w:rsidTr="00B95EA3">
        <w:trPr>
          <w:jc w:val="center"/>
        </w:trPr>
        <w:tc>
          <w:tcPr>
            <w:tcW w:w="0" w:type="auto"/>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Lung</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0.0097-2.50</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0.01509</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0.4398</w:t>
            </w:r>
          </w:p>
        </w:tc>
        <w:tc>
          <w:tcPr>
            <w:tcW w:w="0" w:type="auto"/>
          </w:tcPr>
          <w:p w:rsidR="00B95EA3" w:rsidRPr="00B95EA3" w:rsidRDefault="00B95EA3" w:rsidP="00B95EA3">
            <w:pPr>
              <w:spacing w:before="60" w:after="0" w:line="240" w:lineRule="auto"/>
              <w:jc w:val="center"/>
              <w:outlineLvl w:val="0"/>
              <w:rPr>
                <w:rFonts w:ascii="Times New Roman" w:hAnsi="Times New Roman"/>
                <w:bCs/>
                <w:sz w:val="20"/>
                <w:szCs w:val="20"/>
                <w:lang w:val="es-MX"/>
              </w:rPr>
            </w:pPr>
            <w:r w:rsidRPr="00B95EA3">
              <w:rPr>
                <w:rFonts w:ascii="Times New Roman" w:hAnsi="Times New Roman"/>
                <w:bCs/>
                <w:sz w:val="20"/>
                <w:szCs w:val="20"/>
                <w:lang w:val="es-MX"/>
              </w:rPr>
              <w:t>0.9986</w:t>
            </w:r>
          </w:p>
        </w:tc>
      </w:tr>
      <w:tr w:rsidR="00B95EA3" w:rsidRPr="00B95EA3" w:rsidTr="00B95EA3">
        <w:trPr>
          <w:jc w:val="center"/>
        </w:trPr>
        <w:tc>
          <w:tcPr>
            <w:tcW w:w="0" w:type="auto"/>
            <w:tcBorders>
              <w:bottom w:val="single" w:sz="4" w:space="0" w:color="auto"/>
            </w:tcBorders>
          </w:tcPr>
          <w:p w:rsidR="00B95EA3" w:rsidRPr="00B95EA3" w:rsidRDefault="00B95EA3" w:rsidP="00B95EA3">
            <w:pPr>
              <w:spacing w:before="60" w:after="6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Skin</w:t>
            </w:r>
          </w:p>
        </w:tc>
        <w:tc>
          <w:tcPr>
            <w:tcW w:w="0" w:type="auto"/>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0.0097-2.50</w:t>
            </w:r>
          </w:p>
        </w:tc>
        <w:tc>
          <w:tcPr>
            <w:tcW w:w="0" w:type="auto"/>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0.01264</w:t>
            </w:r>
          </w:p>
        </w:tc>
        <w:tc>
          <w:tcPr>
            <w:tcW w:w="0" w:type="auto"/>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0.5294</w:t>
            </w:r>
          </w:p>
        </w:tc>
        <w:tc>
          <w:tcPr>
            <w:tcW w:w="0" w:type="auto"/>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MX"/>
              </w:rPr>
            </w:pPr>
            <w:r w:rsidRPr="00B95EA3">
              <w:rPr>
                <w:rFonts w:ascii="Times New Roman" w:hAnsi="Times New Roman"/>
                <w:bCs/>
                <w:sz w:val="20"/>
                <w:szCs w:val="20"/>
                <w:lang w:val="es-MX"/>
              </w:rPr>
              <w:t>0.9992</w:t>
            </w:r>
          </w:p>
        </w:tc>
      </w:tr>
    </w:tbl>
    <w:p w:rsidR="00B95EA3" w:rsidRPr="00B95EA3" w:rsidRDefault="00B95EA3" w:rsidP="00B95EA3">
      <w:pPr>
        <w:spacing w:before="60" w:after="0" w:line="240" w:lineRule="auto"/>
        <w:ind w:left="720" w:firstLine="900"/>
        <w:jc w:val="both"/>
        <w:outlineLvl w:val="0"/>
        <w:rPr>
          <w:rFonts w:ascii="Times New Roman" w:hAnsi="Times New Roman"/>
          <w:bCs/>
          <w:sz w:val="18"/>
          <w:szCs w:val="18"/>
        </w:rPr>
      </w:pPr>
      <w:r w:rsidRPr="00B95EA3">
        <w:rPr>
          <w:rFonts w:ascii="Times New Roman" w:hAnsi="Times New Roman"/>
          <w:bCs/>
          <w:sz w:val="18"/>
          <w:szCs w:val="18"/>
        </w:rPr>
        <w:t xml:space="preserve">            (*) µg/ml o </w:t>
      </w:r>
      <w:r w:rsidRPr="00B95EA3">
        <w:rPr>
          <w:rFonts w:ascii="Times New Roman" w:hAnsi="Times New Roman"/>
          <w:bCs/>
          <w:sz w:val="18"/>
          <w:szCs w:val="18"/>
          <w:lang w:val="es-MX"/>
        </w:rPr>
        <w:t>μ</w:t>
      </w:r>
      <w:r w:rsidRPr="00B95EA3">
        <w:rPr>
          <w:rFonts w:ascii="Times New Roman" w:hAnsi="Times New Roman"/>
          <w:bCs/>
          <w:sz w:val="18"/>
          <w:szCs w:val="18"/>
        </w:rPr>
        <w:t xml:space="preserve">g/g. </w:t>
      </w:r>
      <w:r w:rsidRPr="00B95EA3">
        <w:rPr>
          <w:rFonts w:ascii="Times New Roman" w:hAnsi="Times New Roman"/>
          <w:b/>
          <w:bCs/>
          <w:sz w:val="18"/>
          <w:szCs w:val="18"/>
        </w:rPr>
        <w:t>A</w:t>
      </w:r>
      <w:r w:rsidRPr="00B95EA3">
        <w:rPr>
          <w:rFonts w:ascii="Times New Roman" w:hAnsi="Times New Roman"/>
          <w:bCs/>
          <w:sz w:val="18"/>
          <w:szCs w:val="18"/>
        </w:rPr>
        <w:t xml:space="preserve">: intercept </w:t>
      </w:r>
      <w:r w:rsidRPr="00B95EA3">
        <w:rPr>
          <w:rFonts w:ascii="Times New Roman" w:hAnsi="Times New Roman"/>
          <w:b/>
          <w:bCs/>
          <w:sz w:val="18"/>
          <w:szCs w:val="18"/>
        </w:rPr>
        <w:t>B</w:t>
      </w:r>
      <w:r w:rsidRPr="00B95EA3">
        <w:rPr>
          <w:rFonts w:ascii="Times New Roman" w:hAnsi="Times New Roman"/>
          <w:bCs/>
          <w:sz w:val="18"/>
          <w:szCs w:val="18"/>
        </w:rPr>
        <w:t xml:space="preserve">: slope </w:t>
      </w:r>
      <w:r w:rsidRPr="00B95EA3">
        <w:rPr>
          <w:rFonts w:ascii="Times New Roman" w:hAnsi="Times New Roman"/>
          <w:b/>
          <w:bCs/>
          <w:sz w:val="18"/>
          <w:szCs w:val="18"/>
        </w:rPr>
        <w:t>r</w:t>
      </w:r>
      <w:r w:rsidRPr="00B95EA3">
        <w:rPr>
          <w:rFonts w:ascii="Times New Roman" w:hAnsi="Times New Roman"/>
          <w:b/>
          <w:bCs/>
          <w:sz w:val="18"/>
          <w:szCs w:val="18"/>
          <w:vertAlign w:val="superscript"/>
        </w:rPr>
        <w:t>2</w:t>
      </w:r>
      <w:r w:rsidRPr="00B95EA3">
        <w:rPr>
          <w:rFonts w:ascii="Times New Roman" w:hAnsi="Times New Roman"/>
          <w:bCs/>
          <w:sz w:val="18"/>
          <w:szCs w:val="18"/>
        </w:rPr>
        <w:t>: coefficient of adjustment</w:t>
      </w:r>
    </w:p>
    <w:p w:rsidR="00B95EA3" w:rsidRPr="00B95EA3" w:rsidRDefault="00B95EA3" w:rsidP="00B95EA3">
      <w:pPr>
        <w:spacing w:after="120" w:line="240" w:lineRule="auto"/>
        <w:jc w:val="both"/>
        <w:outlineLvl w:val="0"/>
        <w:rPr>
          <w:rFonts w:ascii="Times New Roman" w:hAnsi="Times New Roman"/>
          <w:b/>
          <w:bCs/>
          <w:sz w:val="20"/>
          <w:szCs w:val="20"/>
        </w:rPr>
      </w:pPr>
    </w:p>
    <w:p w:rsidR="00B95EA3" w:rsidRDefault="00B95EA3" w:rsidP="00B95EA3">
      <w:pPr>
        <w:spacing w:after="0" w:line="240" w:lineRule="auto"/>
        <w:jc w:val="both"/>
        <w:outlineLvl w:val="0"/>
        <w:rPr>
          <w:rFonts w:ascii="Times New Roman" w:hAnsi="Times New Roman"/>
          <w:iCs/>
          <w:sz w:val="20"/>
          <w:szCs w:val="20"/>
        </w:rPr>
      </w:pPr>
      <w:r w:rsidRPr="00B95EA3">
        <w:rPr>
          <w:rFonts w:ascii="Times New Roman" w:hAnsi="Times New Roman"/>
          <w:bCs/>
          <w:iCs/>
          <w:sz w:val="20"/>
          <w:szCs w:val="20"/>
        </w:rPr>
        <w:t>Intra-day and inter-day precision tests (Table 2), coefficients variation (%CV) obtained in plasma and tissues tested were ≤1.73 and ≤ 2.14%, respectively; being less than those obtained by other authors ranging from 5.7 to 15.5%, [6, 8, 11-17] after the application of more complex extraction methods, with amount of reagents and a large procedures such as evaporation with nitrogen at 30 °C, confirm the accuracy of the analytical method implemented.</w:t>
      </w:r>
      <w:r w:rsidRPr="00B95EA3">
        <w:rPr>
          <w:rFonts w:ascii="Times New Roman" w:hAnsi="Times New Roman"/>
          <w:iCs/>
          <w:sz w:val="20"/>
          <w:szCs w:val="20"/>
        </w:rPr>
        <w:t xml:space="preserve"> The results obtained in the validation tests confirm the sufficiency of the procedures destined to extract the analyte from the plasma, using in the extraction methanol as a polar solvent followed by centrifugation [22]. </w:t>
      </w:r>
    </w:p>
    <w:p w:rsidR="00B95EA3" w:rsidRPr="00B95EA3" w:rsidRDefault="00B95EA3" w:rsidP="00B95EA3">
      <w:pPr>
        <w:spacing w:after="120" w:line="240" w:lineRule="auto"/>
        <w:jc w:val="both"/>
        <w:outlineLvl w:val="0"/>
        <w:rPr>
          <w:rFonts w:ascii="Times New Roman" w:hAnsi="Times New Roman"/>
          <w:iCs/>
          <w:sz w:val="20"/>
          <w:szCs w:val="20"/>
        </w:rPr>
      </w:pPr>
    </w:p>
    <w:p w:rsidR="00B95EA3" w:rsidRPr="00B95EA3" w:rsidRDefault="00B95EA3" w:rsidP="00B95EA3">
      <w:pPr>
        <w:spacing w:after="120" w:line="240" w:lineRule="auto"/>
        <w:jc w:val="center"/>
        <w:outlineLvl w:val="0"/>
        <w:rPr>
          <w:rFonts w:ascii="Times New Roman" w:hAnsi="Times New Roman"/>
          <w:bCs/>
          <w:sz w:val="20"/>
          <w:szCs w:val="20"/>
        </w:rPr>
      </w:pPr>
      <w:r w:rsidRPr="00B95EA3">
        <w:rPr>
          <w:rFonts w:ascii="Times New Roman" w:hAnsi="Times New Roman"/>
          <w:bCs/>
          <w:sz w:val="20"/>
          <w:szCs w:val="20"/>
        </w:rPr>
        <w:t>Table 2.</w:t>
      </w:r>
      <w:r w:rsidRPr="00B95EA3">
        <w:rPr>
          <w:rFonts w:ascii="Times New Roman" w:hAnsi="Times New Roman"/>
          <w:b/>
          <w:bCs/>
          <w:sz w:val="20"/>
          <w:szCs w:val="20"/>
        </w:rPr>
        <w:t xml:space="preserve"> </w:t>
      </w:r>
      <w:r>
        <w:rPr>
          <w:rFonts w:ascii="Times New Roman" w:hAnsi="Times New Roman"/>
          <w:b/>
          <w:bCs/>
          <w:sz w:val="20"/>
          <w:szCs w:val="20"/>
        </w:rPr>
        <w:t xml:space="preserve"> </w:t>
      </w:r>
      <w:r w:rsidRPr="00B95EA3">
        <w:rPr>
          <w:rFonts w:ascii="Times New Roman" w:hAnsi="Times New Roman"/>
          <w:bCs/>
          <w:sz w:val="20"/>
          <w:szCs w:val="20"/>
        </w:rPr>
        <w:t>Recovery and precision assay of marbofloxacin in plasma and chicken tissues</w:t>
      </w:r>
    </w:p>
    <w:tbl>
      <w:tblPr>
        <w:tblW w:w="4219" w:type="pct"/>
        <w:jc w:val="center"/>
        <w:tblLook w:val="01E0" w:firstRow="1" w:lastRow="1" w:firstColumn="1" w:lastColumn="1" w:noHBand="0" w:noVBand="0"/>
      </w:tblPr>
      <w:tblGrid>
        <w:gridCol w:w="894"/>
        <w:gridCol w:w="1790"/>
        <w:gridCol w:w="1215"/>
        <w:gridCol w:w="1895"/>
        <w:gridCol w:w="2262"/>
      </w:tblGrid>
      <w:tr w:rsidR="00B95EA3" w:rsidRPr="00B95EA3" w:rsidTr="00B95EA3">
        <w:trPr>
          <w:trHeight w:val="158"/>
          <w:jc w:val="center"/>
        </w:trPr>
        <w:tc>
          <w:tcPr>
            <w:tcW w:w="555" w:type="pct"/>
            <w:vMerge w:val="restart"/>
            <w:tcBorders>
              <w:top w:val="single" w:sz="4" w:space="0" w:color="auto"/>
            </w:tcBorders>
          </w:tcPr>
          <w:p w:rsidR="00B95EA3" w:rsidRPr="00B95EA3" w:rsidRDefault="00B95EA3" w:rsidP="00B95EA3">
            <w:pPr>
              <w:spacing w:before="60" w:after="0" w:line="240" w:lineRule="auto"/>
              <w:outlineLvl w:val="0"/>
              <w:rPr>
                <w:rFonts w:ascii="Times New Roman" w:hAnsi="Times New Roman"/>
                <w:b/>
                <w:bCs/>
                <w:sz w:val="20"/>
                <w:szCs w:val="20"/>
                <w:lang w:val="es-AR"/>
              </w:rPr>
            </w:pPr>
            <w:r w:rsidRPr="00B95EA3">
              <w:rPr>
                <w:rFonts w:ascii="Times New Roman" w:hAnsi="Times New Roman"/>
                <w:b/>
                <w:bCs/>
                <w:sz w:val="20"/>
                <w:szCs w:val="20"/>
                <w:lang w:val="es-AR"/>
              </w:rPr>
              <w:t>Matrix</w:t>
            </w:r>
          </w:p>
        </w:tc>
        <w:tc>
          <w:tcPr>
            <w:tcW w:w="1111" w:type="pct"/>
            <w:vMerge w:val="restart"/>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
                <w:bCs/>
                <w:sz w:val="20"/>
                <w:szCs w:val="20"/>
              </w:rPr>
            </w:pPr>
            <w:r w:rsidRPr="00B95EA3">
              <w:rPr>
                <w:rFonts w:ascii="Times New Roman" w:hAnsi="Times New Roman"/>
                <w:b/>
                <w:bCs/>
                <w:sz w:val="20"/>
                <w:szCs w:val="20"/>
              </w:rPr>
              <w:t>Ranges of Concentrations</w:t>
            </w:r>
          </w:p>
          <w:p w:rsidR="00B95EA3" w:rsidRPr="00B95EA3" w:rsidRDefault="00B95EA3" w:rsidP="00B95EA3">
            <w:pPr>
              <w:spacing w:after="60" w:line="240" w:lineRule="auto"/>
              <w:jc w:val="center"/>
              <w:outlineLvl w:val="0"/>
              <w:rPr>
                <w:rFonts w:ascii="Times New Roman" w:hAnsi="Times New Roman"/>
                <w:b/>
                <w:bCs/>
                <w:sz w:val="20"/>
                <w:szCs w:val="20"/>
              </w:rPr>
            </w:pPr>
            <w:r w:rsidRPr="00B95EA3">
              <w:rPr>
                <w:rFonts w:ascii="Times New Roman" w:hAnsi="Times New Roman"/>
                <w:b/>
                <w:bCs/>
                <w:sz w:val="20"/>
                <w:szCs w:val="20"/>
              </w:rPr>
              <w:t>(µg/ml or µg/gr)</w:t>
            </w:r>
          </w:p>
        </w:tc>
        <w:tc>
          <w:tcPr>
            <w:tcW w:w="754" w:type="pct"/>
            <w:vMerge w:val="restart"/>
            <w:tcBorders>
              <w:top w:val="single" w:sz="4" w:space="0" w:color="auto"/>
            </w:tcBorders>
          </w:tcPr>
          <w:p w:rsidR="00B95EA3" w:rsidRPr="00B95EA3" w:rsidRDefault="00B95EA3" w:rsidP="00B95EA3">
            <w:pPr>
              <w:spacing w:after="0" w:line="240" w:lineRule="auto"/>
              <w:jc w:val="center"/>
              <w:outlineLvl w:val="0"/>
              <w:rPr>
                <w:rFonts w:ascii="Times New Roman" w:hAnsi="Times New Roman"/>
                <w:b/>
                <w:bCs/>
                <w:sz w:val="20"/>
                <w:szCs w:val="20"/>
                <w:lang w:val="es-AR"/>
              </w:rPr>
            </w:pPr>
          </w:p>
          <w:p w:rsidR="00B95EA3" w:rsidRPr="00B95EA3" w:rsidRDefault="00B95EA3" w:rsidP="00B95EA3">
            <w:pPr>
              <w:spacing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Recovery</w:t>
            </w:r>
          </w:p>
          <w:p w:rsidR="00B95EA3" w:rsidRPr="00B95EA3" w:rsidRDefault="00B95EA3" w:rsidP="00B95EA3">
            <w:pPr>
              <w:spacing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w:t>
            </w:r>
          </w:p>
        </w:tc>
        <w:tc>
          <w:tcPr>
            <w:tcW w:w="2580" w:type="pct"/>
            <w:gridSpan w:val="2"/>
            <w:tcBorders>
              <w:top w:val="single" w:sz="4" w:space="0" w:color="auto"/>
              <w:bottom w:val="single" w:sz="4" w:space="0" w:color="auto"/>
            </w:tcBorders>
          </w:tcPr>
          <w:p w:rsidR="00B95EA3" w:rsidRPr="00B95EA3" w:rsidRDefault="00B95EA3" w:rsidP="00B95EA3">
            <w:pPr>
              <w:spacing w:after="0" w:line="240" w:lineRule="auto"/>
              <w:jc w:val="center"/>
              <w:outlineLvl w:val="0"/>
              <w:rPr>
                <w:rFonts w:ascii="Times New Roman" w:hAnsi="Times New Roman"/>
                <w:b/>
                <w:bCs/>
                <w:sz w:val="20"/>
                <w:szCs w:val="20"/>
                <w:lang w:val="es-AR"/>
              </w:rPr>
            </w:pPr>
          </w:p>
          <w:p w:rsidR="00B95EA3" w:rsidRPr="00B95EA3" w:rsidRDefault="00B95EA3" w:rsidP="00B95EA3">
            <w:pPr>
              <w:spacing w:after="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Precision (%CV)</w:t>
            </w:r>
          </w:p>
        </w:tc>
      </w:tr>
      <w:tr w:rsidR="00B95EA3" w:rsidRPr="00B95EA3" w:rsidTr="00B95EA3">
        <w:trPr>
          <w:trHeight w:val="93"/>
          <w:jc w:val="center"/>
        </w:trPr>
        <w:tc>
          <w:tcPr>
            <w:tcW w:w="555" w:type="pct"/>
            <w:vMerge/>
            <w:tcBorders>
              <w:bottom w:val="single" w:sz="4" w:space="0" w:color="auto"/>
            </w:tcBorders>
          </w:tcPr>
          <w:p w:rsidR="00B95EA3" w:rsidRPr="00B95EA3" w:rsidRDefault="00B95EA3" w:rsidP="00B95EA3">
            <w:pPr>
              <w:spacing w:after="0" w:line="240" w:lineRule="auto"/>
              <w:outlineLvl w:val="0"/>
              <w:rPr>
                <w:rFonts w:ascii="Times New Roman" w:hAnsi="Times New Roman"/>
                <w:b/>
                <w:bCs/>
                <w:sz w:val="20"/>
                <w:szCs w:val="20"/>
                <w:lang w:val="es-AR"/>
              </w:rPr>
            </w:pPr>
          </w:p>
        </w:tc>
        <w:tc>
          <w:tcPr>
            <w:tcW w:w="1111" w:type="pct"/>
            <w:vMerge/>
            <w:tcBorders>
              <w:bottom w:val="single" w:sz="4" w:space="0" w:color="auto"/>
            </w:tcBorders>
          </w:tcPr>
          <w:p w:rsidR="00B95EA3" w:rsidRPr="00B95EA3" w:rsidRDefault="00B95EA3" w:rsidP="00B95EA3">
            <w:pPr>
              <w:spacing w:after="0" w:line="240" w:lineRule="auto"/>
              <w:jc w:val="center"/>
              <w:outlineLvl w:val="0"/>
              <w:rPr>
                <w:rFonts w:ascii="Times New Roman" w:hAnsi="Times New Roman"/>
                <w:b/>
                <w:bCs/>
                <w:sz w:val="20"/>
                <w:szCs w:val="20"/>
                <w:lang w:val="es-AR"/>
              </w:rPr>
            </w:pPr>
          </w:p>
        </w:tc>
        <w:tc>
          <w:tcPr>
            <w:tcW w:w="754" w:type="pct"/>
            <w:vMerge/>
            <w:tcBorders>
              <w:bottom w:val="single" w:sz="4" w:space="0" w:color="auto"/>
            </w:tcBorders>
          </w:tcPr>
          <w:p w:rsidR="00B95EA3" w:rsidRPr="00B95EA3" w:rsidRDefault="00B95EA3" w:rsidP="00B95EA3">
            <w:pPr>
              <w:spacing w:after="0" w:line="240" w:lineRule="auto"/>
              <w:jc w:val="center"/>
              <w:outlineLvl w:val="0"/>
              <w:rPr>
                <w:rFonts w:ascii="Times New Roman" w:hAnsi="Times New Roman"/>
                <w:b/>
                <w:bCs/>
                <w:sz w:val="20"/>
                <w:szCs w:val="20"/>
                <w:lang w:val="es-AR"/>
              </w:rPr>
            </w:pPr>
          </w:p>
        </w:tc>
        <w:tc>
          <w:tcPr>
            <w:tcW w:w="2580" w:type="pct"/>
            <w:gridSpan w:val="2"/>
            <w:tcBorders>
              <w:top w:val="single" w:sz="4" w:space="0" w:color="auto"/>
              <w:bottom w:val="single" w:sz="4" w:space="0" w:color="auto"/>
            </w:tcBorders>
          </w:tcPr>
          <w:p w:rsidR="00B95EA3" w:rsidRPr="00B95EA3" w:rsidRDefault="00B95EA3" w:rsidP="00B95EA3">
            <w:pPr>
              <w:spacing w:after="0" w:line="240" w:lineRule="auto"/>
              <w:outlineLvl w:val="0"/>
              <w:rPr>
                <w:rFonts w:ascii="Times New Roman" w:hAnsi="Times New Roman"/>
                <w:b/>
                <w:bCs/>
                <w:sz w:val="20"/>
                <w:szCs w:val="20"/>
              </w:rPr>
            </w:pPr>
            <w:r>
              <w:rPr>
                <w:rFonts w:ascii="Times New Roman" w:hAnsi="Times New Roman"/>
                <w:b/>
                <w:bCs/>
                <w:sz w:val="20"/>
                <w:szCs w:val="20"/>
              </w:rPr>
              <w:t xml:space="preserve">        </w:t>
            </w:r>
            <w:r w:rsidRPr="00B95EA3">
              <w:rPr>
                <w:rFonts w:ascii="Times New Roman" w:hAnsi="Times New Roman"/>
                <w:b/>
                <w:bCs/>
                <w:sz w:val="20"/>
                <w:szCs w:val="20"/>
              </w:rPr>
              <w:t xml:space="preserve">Intra-day          </w:t>
            </w:r>
            <w:r>
              <w:rPr>
                <w:rFonts w:ascii="Times New Roman" w:hAnsi="Times New Roman"/>
                <w:b/>
                <w:bCs/>
                <w:sz w:val="20"/>
                <w:szCs w:val="20"/>
              </w:rPr>
              <w:t xml:space="preserve">               </w:t>
            </w:r>
            <w:r w:rsidRPr="00B95EA3">
              <w:rPr>
                <w:rFonts w:ascii="Times New Roman" w:hAnsi="Times New Roman"/>
                <w:b/>
                <w:bCs/>
                <w:sz w:val="20"/>
                <w:szCs w:val="20"/>
              </w:rPr>
              <w:t>Inter-day</w:t>
            </w:r>
          </w:p>
        </w:tc>
      </w:tr>
      <w:tr w:rsidR="00B95EA3" w:rsidRPr="00B95EA3" w:rsidTr="00B95EA3">
        <w:trPr>
          <w:trHeight w:val="153"/>
          <w:jc w:val="center"/>
        </w:trPr>
        <w:tc>
          <w:tcPr>
            <w:tcW w:w="555" w:type="pct"/>
            <w:tcBorders>
              <w:top w:val="single" w:sz="4" w:space="0" w:color="auto"/>
            </w:tcBorders>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Plasma</w:t>
            </w:r>
          </w:p>
        </w:tc>
        <w:tc>
          <w:tcPr>
            <w:tcW w:w="1111" w:type="pct"/>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0.039 – 1.25</w:t>
            </w:r>
          </w:p>
        </w:tc>
        <w:tc>
          <w:tcPr>
            <w:tcW w:w="754" w:type="pct"/>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86.2 ± 3.75</w:t>
            </w:r>
          </w:p>
        </w:tc>
        <w:tc>
          <w:tcPr>
            <w:tcW w:w="1176" w:type="pct"/>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1.39 ± 0.61</w:t>
            </w:r>
          </w:p>
        </w:tc>
        <w:tc>
          <w:tcPr>
            <w:tcW w:w="1404" w:type="pct"/>
            <w:tcBorders>
              <w:top w:val="single" w:sz="4" w:space="0" w:color="auto"/>
            </w:tcBorders>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1.73 ± 0.65</w:t>
            </w:r>
          </w:p>
        </w:tc>
      </w:tr>
      <w:tr w:rsidR="00B95EA3" w:rsidRPr="00B95EA3" w:rsidTr="0006629E">
        <w:trPr>
          <w:trHeight w:val="209"/>
          <w:jc w:val="center"/>
        </w:trPr>
        <w:tc>
          <w:tcPr>
            <w:tcW w:w="555" w:type="pct"/>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 xml:space="preserve">Muscle </w:t>
            </w:r>
          </w:p>
        </w:tc>
        <w:tc>
          <w:tcPr>
            <w:tcW w:w="1111"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0.039 – 1.25</w:t>
            </w:r>
          </w:p>
        </w:tc>
        <w:tc>
          <w:tcPr>
            <w:tcW w:w="75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87.6 ± 6.91</w:t>
            </w:r>
          </w:p>
        </w:tc>
        <w:tc>
          <w:tcPr>
            <w:tcW w:w="1176"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1.47 ± 0.34</w:t>
            </w:r>
          </w:p>
        </w:tc>
        <w:tc>
          <w:tcPr>
            <w:tcW w:w="140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1.54 ± 0.50</w:t>
            </w:r>
          </w:p>
        </w:tc>
      </w:tr>
      <w:tr w:rsidR="00B95EA3" w:rsidRPr="00B95EA3" w:rsidTr="0006629E">
        <w:trPr>
          <w:trHeight w:val="114"/>
          <w:jc w:val="center"/>
        </w:trPr>
        <w:tc>
          <w:tcPr>
            <w:tcW w:w="555" w:type="pct"/>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Liver</w:t>
            </w:r>
          </w:p>
        </w:tc>
        <w:tc>
          <w:tcPr>
            <w:tcW w:w="1111"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0.078 – 2.50</w:t>
            </w:r>
          </w:p>
        </w:tc>
        <w:tc>
          <w:tcPr>
            <w:tcW w:w="75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86.5 ± 5.17</w:t>
            </w:r>
          </w:p>
        </w:tc>
        <w:tc>
          <w:tcPr>
            <w:tcW w:w="1176"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0.91 ± 0.11</w:t>
            </w:r>
          </w:p>
        </w:tc>
        <w:tc>
          <w:tcPr>
            <w:tcW w:w="140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2.16 ± 0.62</w:t>
            </w:r>
          </w:p>
        </w:tc>
      </w:tr>
      <w:tr w:rsidR="00B95EA3" w:rsidRPr="00B95EA3" w:rsidTr="0006629E">
        <w:trPr>
          <w:trHeight w:val="74"/>
          <w:jc w:val="center"/>
        </w:trPr>
        <w:tc>
          <w:tcPr>
            <w:tcW w:w="555" w:type="pct"/>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Kidney</w:t>
            </w:r>
          </w:p>
        </w:tc>
        <w:tc>
          <w:tcPr>
            <w:tcW w:w="1111"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0.078 – 2.50</w:t>
            </w:r>
          </w:p>
        </w:tc>
        <w:tc>
          <w:tcPr>
            <w:tcW w:w="75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93.7 ± 7.17</w:t>
            </w:r>
          </w:p>
        </w:tc>
        <w:tc>
          <w:tcPr>
            <w:tcW w:w="1176"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1.02 ± 0.42</w:t>
            </w:r>
          </w:p>
        </w:tc>
        <w:tc>
          <w:tcPr>
            <w:tcW w:w="140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1.21± 0.13</w:t>
            </w:r>
          </w:p>
        </w:tc>
      </w:tr>
      <w:tr w:rsidR="00B95EA3" w:rsidRPr="00B95EA3" w:rsidTr="0006629E">
        <w:trPr>
          <w:trHeight w:val="74"/>
          <w:jc w:val="center"/>
        </w:trPr>
        <w:tc>
          <w:tcPr>
            <w:tcW w:w="555" w:type="pct"/>
          </w:tcPr>
          <w:p w:rsidR="00B95EA3" w:rsidRPr="00B95EA3" w:rsidRDefault="00B95EA3" w:rsidP="00B95EA3">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Lung</w:t>
            </w:r>
          </w:p>
        </w:tc>
        <w:tc>
          <w:tcPr>
            <w:tcW w:w="1111"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0.0078 – 2.50</w:t>
            </w:r>
          </w:p>
        </w:tc>
        <w:tc>
          <w:tcPr>
            <w:tcW w:w="75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92.8 ±4.44</w:t>
            </w:r>
          </w:p>
        </w:tc>
        <w:tc>
          <w:tcPr>
            <w:tcW w:w="1176"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0.74 ± 0.07</w:t>
            </w:r>
          </w:p>
        </w:tc>
        <w:tc>
          <w:tcPr>
            <w:tcW w:w="1404" w:type="pct"/>
          </w:tcPr>
          <w:p w:rsidR="00B95EA3" w:rsidRPr="00B95EA3" w:rsidRDefault="00B95EA3" w:rsidP="00B95EA3">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1.54 ± 0.39</w:t>
            </w:r>
          </w:p>
        </w:tc>
      </w:tr>
      <w:tr w:rsidR="00B95EA3" w:rsidRPr="00B95EA3" w:rsidTr="0006629E">
        <w:trPr>
          <w:trHeight w:val="74"/>
          <w:jc w:val="center"/>
        </w:trPr>
        <w:tc>
          <w:tcPr>
            <w:tcW w:w="555" w:type="pct"/>
            <w:tcBorders>
              <w:bottom w:val="single" w:sz="4" w:space="0" w:color="auto"/>
            </w:tcBorders>
          </w:tcPr>
          <w:p w:rsidR="00B95EA3" w:rsidRPr="00B95EA3" w:rsidRDefault="00B95EA3" w:rsidP="00B95EA3">
            <w:pPr>
              <w:spacing w:before="60" w:after="6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Skin</w:t>
            </w:r>
          </w:p>
        </w:tc>
        <w:tc>
          <w:tcPr>
            <w:tcW w:w="1111" w:type="pct"/>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0.0078 – 2.50</w:t>
            </w:r>
          </w:p>
        </w:tc>
        <w:tc>
          <w:tcPr>
            <w:tcW w:w="754" w:type="pct"/>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89.0 ± 2.17</w:t>
            </w:r>
          </w:p>
        </w:tc>
        <w:tc>
          <w:tcPr>
            <w:tcW w:w="1176" w:type="pct"/>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1.16 ± 0.22</w:t>
            </w:r>
          </w:p>
        </w:tc>
        <w:tc>
          <w:tcPr>
            <w:tcW w:w="1404" w:type="pct"/>
            <w:tcBorders>
              <w:bottom w:val="single" w:sz="4" w:space="0" w:color="auto"/>
            </w:tcBorders>
          </w:tcPr>
          <w:p w:rsidR="00B95EA3" w:rsidRPr="00B95EA3" w:rsidRDefault="00B95EA3" w:rsidP="00B95EA3">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2.14 ± 0.63</w:t>
            </w:r>
          </w:p>
        </w:tc>
      </w:tr>
    </w:tbl>
    <w:p w:rsidR="00B95EA3" w:rsidRPr="00B95EA3" w:rsidRDefault="00B95EA3" w:rsidP="00B95EA3">
      <w:pPr>
        <w:spacing w:before="60" w:after="0" w:line="240" w:lineRule="auto"/>
        <w:jc w:val="both"/>
        <w:outlineLvl w:val="0"/>
        <w:rPr>
          <w:rFonts w:ascii="Times New Roman" w:hAnsi="Times New Roman"/>
          <w:bCs/>
          <w:sz w:val="18"/>
          <w:szCs w:val="18"/>
          <w:lang w:val="es-AR"/>
        </w:rPr>
      </w:pPr>
      <w:r w:rsidRPr="00B95EA3">
        <w:rPr>
          <w:rFonts w:ascii="Times New Roman" w:hAnsi="Times New Roman"/>
          <w:bCs/>
          <w:sz w:val="20"/>
          <w:szCs w:val="20"/>
          <w:lang w:val="es-AR"/>
        </w:rPr>
        <w:t xml:space="preserve">             </w:t>
      </w:r>
      <w:r w:rsidRPr="00B95EA3">
        <w:rPr>
          <w:rFonts w:ascii="Times New Roman" w:hAnsi="Times New Roman"/>
          <w:bCs/>
          <w:sz w:val="18"/>
          <w:szCs w:val="18"/>
          <w:lang w:val="es-AR"/>
        </w:rPr>
        <w:t>CV: Coefficient of variation</w:t>
      </w:r>
    </w:p>
    <w:p w:rsidR="00B95EA3" w:rsidRPr="00B95EA3" w:rsidRDefault="00B95EA3" w:rsidP="00B95EA3">
      <w:pPr>
        <w:spacing w:after="120" w:line="240" w:lineRule="auto"/>
        <w:jc w:val="both"/>
        <w:outlineLvl w:val="0"/>
        <w:rPr>
          <w:rFonts w:ascii="Times New Roman" w:hAnsi="Times New Roman"/>
          <w:bCs/>
          <w:sz w:val="20"/>
          <w:szCs w:val="20"/>
          <w:lang w:val="es-AR"/>
        </w:rPr>
      </w:pPr>
    </w:p>
    <w:p w:rsidR="00B95EA3" w:rsidRPr="00B95EA3" w:rsidRDefault="00B95EA3" w:rsidP="00B95EA3">
      <w:pPr>
        <w:spacing w:after="0" w:line="240" w:lineRule="auto"/>
        <w:jc w:val="both"/>
        <w:outlineLvl w:val="0"/>
        <w:rPr>
          <w:rFonts w:ascii="Times New Roman" w:hAnsi="Times New Roman"/>
          <w:iCs/>
          <w:sz w:val="20"/>
          <w:szCs w:val="20"/>
        </w:rPr>
      </w:pPr>
      <w:r w:rsidRPr="00B95EA3">
        <w:rPr>
          <w:rFonts w:ascii="Times New Roman" w:hAnsi="Times New Roman"/>
          <w:iCs/>
          <w:sz w:val="20"/>
          <w:szCs w:val="20"/>
        </w:rPr>
        <w:t>Moreover, recoverability percentages in this study were 89 ± 4.65%  (Table 2) among all matrices studied, higher than 64% to 75% observed with methods developed by other authors ranging for plasma and different tissues [6, 11, 14]. Yu et al. [16] and Rocha et al. [17] obtained percentages of MBX recovery similar to this work, between 78 and 95% in the different tissues (muscle, kidney and liver), Rocha et al. [17] performed two different extraction methods and with an HPLC coupled to tandem MS/MS, their percentages in muscle were 88 and 89%, while in the kidney they were greater between 95 to 96%.</w:t>
      </w:r>
    </w:p>
    <w:p w:rsidR="00B95EA3" w:rsidRPr="00B95EA3" w:rsidRDefault="00B95EA3" w:rsidP="00B95EA3">
      <w:pPr>
        <w:spacing w:after="0" w:line="240" w:lineRule="auto"/>
        <w:jc w:val="both"/>
        <w:outlineLvl w:val="0"/>
        <w:rPr>
          <w:rFonts w:ascii="Times New Roman" w:hAnsi="Times New Roman"/>
          <w:iCs/>
          <w:sz w:val="20"/>
          <w:szCs w:val="20"/>
        </w:rPr>
      </w:pPr>
    </w:p>
    <w:p w:rsidR="00B95EA3" w:rsidRPr="00B95EA3" w:rsidRDefault="00B95EA3" w:rsidP="00B95EA3">
      <w:pPr>
        <w:spacing w:after="0" w:line="240" w:lineRule="auto"/>
        <w:jc w:val="both"/>
        <w:outlineLvl w:val="0"/>
        <w:rPr>
          <w:rFonts w:ascii="Times New Roman" w:hAnsi="Times New Roman"/>
          <w:iCs/>
          <w:sz w:val="20"/>
          <w:szCs w:val="20"/>
        </w:rPr>
      </w:pPr>
      <w:r w:rsidRPr="00B95EA3">
        <w:rPr>
          <w:rFonts w:ascii="Times New Roman" w:hAnsi="Times New Roman"/>
          <w:iCs/>
          <w:sz w:val="20"/>
          <w:szCs w:val="20"/>
        </w:rPr>
        <w:t>Zhao et al. [12] obtained between 90 to 95% in muscle while Yang et al. [13] in plasma obtained between 88 to 95% and in tissues (lung, muscle, kidney and liver) between 81 to 89%. These data corroborate that the results obtained are in the acceptable ranges, promoting the greater recovery of the analyte in the study sample, in complex matrices such as lung, kidney or liver, validating the extraction method.</w:t>
      </w:r>
    </w:p>
    <w:p w:rsidR="00B95EA3" w:rsidRDefault="00B95EA3" w:rsidP="00B95EA3">
      <w:pPr>
        <w:spacing w:after="0" w:line="240" w:lineRule="auto"/>
        <w:jc w:val="both"/>
        <w:outlineLvl w:val="0"/>
        <w:rPr>
          <w:rFonts w:ascii="Times New Roman" w:hAnsi="Times New Roman"/>
          <w:iCs/>
          <w:sz w:val="20"/>
          <w:szCs w:val="20"/>
        </w:rPr>
      </w:pPr>
    </w:p>
    <w:p w:rsidR="00B95EA3" w:rsidRDefault="00B95EA3" w:rsidP="00B95EA3">
      <w:pPr>
        <w:spacing w:after="0" w:line="240" w:lineRule="auto"/>
        <w:jc w:val="both"/>
        <w:outlineLvl w:val="0"/>
        <w:rPr>
          <w:rFonts w:ascii="Times New Roman" w:hAnsi="Times New Roman"/>
          <w:iCs/>
          <w:sz w:val="20"/>
          <w:szCs w:val="20"/>
        </w:rPr>
      </w:pPr>
      <w:r w:rsidRPr="00B95EA3">
        <w:rPr>
          <w:rFonts w:ascii="Times New Roman" w:hAnsi="Times New Roman"/>
          <w:iCs/>
          <w:sz w:val="20"/>
          <w:szCs w:val="20"/>
        </w:rPr>
        <w:t xml:space="preserve">On the other hand, LOQ for MBX matrices (Table 3) are lower than those observed in extraction methods performed by Anadón et al. [6] and Ding et al. [8] in plasma obtained at 0.01 μg/ml and 0.02 μg/ml, respectively.  In tissues samples, where Ding et al. [8] determined to LOQ of 0.05 µg/g (liver, kidney and muscle). Yorke and Forc </w:t>
      </w:r>
      <w:r w:rsidRPr="00B95EA3">
        <w:rPr>
          <w:rFonts w:ascii="Times New Roman" w:hAnsi="Times New Roman"/>
          <w:iCs/>
          <w:sz w:val="20"/>
          <w:szCs w:val="20"/>
        </w:rPr>
        <w:lastRenderedPageBreak/>
        <w:t>[14] reported LOQ 0.75 µg/g for muscle and Anadón et al. [6] recorded 0.01 µg/g (muscle, liver and kidney). A study performed by Anadón et al. [6] is similar to the one obtained in our research, although the previous studies are much higher, but the high sensitivity of our analytical method still considerable for the drug studied, in the different chicken tissues.</w:t>
      </w:r>
    </w:p>
    <w:p w:rsidR="0056141F" w:rsidRPr="00B95EA3" w:rsidRDefault="0056141F" w:rsidP="0056141F">
      <w:pPr>
        <w:spacing w:after="120" w:line="240" w:lineRule="auto"/>
        <w:jc w:val="both"/>
        <w:outlineLvl w:val="0"/>
        <w:rPr>
          <w:rFonts w:ascii="Times New Roman" w:hAnsi="Times New Roman"/>
          <w:iCs/>
          <w:sz w:val="20"/>
          <w:szCs w:val="20"/>
          <w:highlight w:val="yellow"/>
        </w:rPr>
      </w:pPr>
    </w:p>
    <w:p w:rsidR="00B95EA3" w:rsidRPr="00B95EA3" w:rsidRDefault="00B95EA3" w:rsidP="0056141F">
      <w:pPr>
        <w:spacing w:after="120" w:line="240" w:lineRule="auto"/>
        <w:jc w:val="center"/>
        <w:outlineLvl w:val="0"/>
        <w:rPr>
          <w:rFonts w:ascii="Times New Roman" w:hAnsi="Times New Roman"/>
          <w:iCs/>
          <w:sz w:val="20"/>
          <w:szCs w:val="20"/>
        </w:rPr>
      </w:pPr>
      <w:r w:rsidRPr="00B95EA3">
        <w:rPr>
          <w:rFonts w:ascii="Times New Roman" w:hAnsi="Times New Roman"/>
          <w:bCs/>
          <w:sz w:val="20"/>
          <w:szCs w:val="20"/>
        </w:rPr>
        <w:t xml:space="preserve">Table 3. </w:t>
      </w:r>
      <w:r w:rsidR="0056141F">
        <w:rPr>
          <w:rFonts w:ascii="Times New Roman" w:hAnsi="Times New Roman"/>
          <w:bCs/>
          <w:sz w:val="20"/>
          <w:szCs w:val="20"/>
        </w:rPr>
        <w:t xml:space="preserve"> </w:t>
      </w:r>
      <w:r w:rsidRPr="00B95EA3">
        <w:rPr>
          <w:rFonts w:ascii="Times New Roman" w:hAnsi="Times New Roman"/>
          <w:bCs/>
          <w:sz w:val="20"/>
          <w:szCs w:val="20"/>
        </w:rPr>
        <w:t>Limits of detection (LOD) and limits of quantification (LOQ) in chicken tissue (µg/g)</w:t>
      </w:r>
    </w:p>
    <w:tbl>
      <w:tblPr>
        <w:tblW w:w="3245" w:type="dxa"/>
        <w:jc w:val="center"/>
        <w:tblLook w:val="01E0" w:firstRow="1" w:lastRow="1" w:firstColumn="1" w:lastColumn="1" w:noHBand="0" w:noVBand="0"/>
      </w:tblPr>
      <w:tblGrid>
        <w:gridCol w:w="1313"/>
        <w:gridCol w:w="966"/>
        <w:gridCol w:w="966"/>
      </w:tblGrid>
      <w:tr w:rsidR="00B95EA3" w:rsidRPr="00B95EA3" w:rsidTr="0056141F">
        <w:trPr>
          <w:trHeight w:val="264"/>
          <w:jc w:val="center"/>
        </w:trPr>
        <w:tc>
          <w:tcPr>
            <w:tcW w:w="0" w:type="auto"/>
            <w:tcBorders>
              <w:top w:val="single" w:sz="4" w:space="0" w:color="auto"/>
              <w:bottom w:val="single" w:sz="4" w:space="0" w:color="auto"/>
            </w:tcBorders>
          </w:tcPr>
          <w:p w:rsidR="00B95EA3" w:rsidRPr="00B95EA3" w:rsidRDefault="00B95EA3" w:rsidP="0056141F">
            <w:pPr>
              <w:spacing w:before="60" w:after="60" w:line="240" w:lineRule="auto"/>
              <w:outlineLvl w:val="0"/>
              <w:rPr>
                <w:rFonts w:ascii="Times New Roman" w:hAnsi="Times New Roman"/>
                <w:b/>
                <w:bCs/>
                <w:sz w:val="20"/>
                <w:szCs w:val="20"/>
                <w:lang w:val="es-AR"/>
              </w:rPr>
            </w:pPr>
            <w:r w:rsidRPr="00B95EA3">
              <w:rPr>
                <w:rFonts w:ascii="Times New Roman" w:hAnsi="Times New Roman"/>
                <w:b/>
                <w:bCs/>
                <w:sz w:val="20"/>
                <w:szCs w:val="20"/>
                <w:lang w:val="es-AR"/>
              </w:rPr>
              <w:t>Matrix</w:t>
            </w:r>
          </w:p>
        </w:tc>
        <w:tc>
          <w:tcPr>
            <w:tcW w:w="0" w:type="auto"/>
            <w:tcBorders>
              <w:top w:val="single" w:sz="4" w:space="0" w:color="auto"/>
              <w:bottom w:val="single" w:sz="4" w:space="0" w:color="auto"/>
            </w:tcBorders>
          </w:tcPr>
          <w:p w:rsidR="00B95EA3" w:rsidRPr="00B95EA3" w:rsidRDefault="00B95EA3" w:rsidP="0056141F">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
                <w:bCs/>
                <w:sz w:val="20"/>
                <w:szCs w:val="20"/>
                <w:lang w:val="es-AR"/>
              </w:rPr>
              <w:t>LOD</w:t>
            </w:r>
          </w:p>
        </w:tc>
        <w:tc>
          <w:tcPr>
            <w:tcW w:w="0" w:type="auto"/>
            <w:tcBorders>
              <w:top w:val="single" w:sz="4" w:space="0" w:color="auto"/>
              <w:bottom w:val="single" w:sz="4" w:space="0" w:color="auto"/>
            </w:tcBorders>
          </w:tcPr>
          <w:p w:rsidR="00B95EA3" w:rsidRPr="00B95EA3" w:rsidRDefault="00B95EA3" w:rsidP="0056141F">
            <w:pPr>
              <w:spacing w:before="60" w:after="60" w:line="240" w:lineRule="auto"/>
              <w:jc w:val="center"/>
              <w:outlineLvl w:val="0"/>
              <w:rPr>
                <w:rFonts w:ascii="Times New Roman" w:hAnsi="Times New Roman"/>
                <w:b/>
                <w:bCs/>
                <w:sz w:val="20"/>
                <w:szCs w:val="20"/>
                <w:lang w:val="es-AR"/>
              </w:rPr>
            </w:pPr>
            <w:r w:rsidRPr="00B95EA3">
              <w:rPr>
                <w:rFonts w:ascii="Times New Roman" w:hAnsi="Times New Roman"/>
                <w:b/>
                <w:bCs/>
                <w:sz w:val="20"/>
                <w:szCs w:val="20"/>
                <w:lang w:val="es-AR"/>
              </w:rPr>
              <w:t>LOQ</w:t>
            </w:r>
          </w:p>
        </w:tc>
      </w:tr>
      <w:tr w:rsidR="00B95EA3" w:rsidRPr="00B95EA3" w:rsidTr="0056141F">
        <w:trPr>
          <w:trHeight w:val="248"/>
          <w:jc w:val="center"/>
        </w:trPr>
        <w:tc>
          <w:tcPr>
            <w:tcW w:w="0" w:type="auto"/>
            <w:tcBorders>
              <w:top w:val="single" w:sz="4" w:space="0" w:color="auto"/>
            </w:tcBorders>
          </w:tcPr>
          <w:p w:rsidR="00B95EA3" w:rsidRPr="00B95EA3" w:rsidRDefault="00B95EA3" w:rsidP="0056141F">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Plasma</w:t>
            </w:r>
          </w:p>
        </w:tc>
        <w:tc>
          <w:tcPr>
            <w:tcW w:w="0" w:type="auto"/>
            <w:tcBorders>
              <w:top w:val="single" w:sz="4" w:space="0" w:color="auto"/>
            </w:tcBorders>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0.002</w:t>
            </w:r>
          </w:p>
        </w:tc>
        <w:tc>
          <w:tcPr>
            <w:tcW w:w="0" w:type="auto"/>
            <w:tcBorders>
              <w:top w:val="single" w:sz="4" w:space="0" w:color="auto"/>
            </w:tcBorders>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0.006</w:t>
            </w:r>
          </w:p>
        </w:tc>
      </w:tr>
      <w:tr w:rsidR="00B95EA3" w:rsidRPr="00B95EA3" w:rsidTr="0006629E">
        <w:trPr>
          <w:trHeight w:val="264"/>
          <w:jc w:val="center"/>
        </w:trPr>
        <w:tc>
          <w:tcPr>
            <w:tcW w:w="0" w:type="auto"/>
          </w:tcPr>
          <w:p w:rsidR="00B95EA3" w:rsidRPr="00B95EA3" w:rsidRDefault="00B95EA3" w:rsidP="0056141F">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Muscule</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0.003</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w:t>
            </w:r>
          </w:p>
        </w:tc>
      </w:tr>
      <w:tr w:rsidR="00B95EA3" w:rsidRPr="00B95EA3" w:rsidTr="0006629E">
        <w:trPr>
          <w:trHeight w:val="264"/>
          <w:jc w:val="center"/>
        </w:trPr>
        <w:tc>
          <w:tcPr>
            <w:tcW w:w="0" w:type="auto"/>
          </w:tcPr>
          <w:p w:rsidR="00B95EA3" w:rsidRPr="00B95EA3" w:rsidRDefault="00B95EA3" w:rsidP="0056141F">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Liver</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0.003</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0.009</w:t>
            </w:r>
          </w:p>
        </w:tc>
      </w:tr>
      <w:tr w:rsidR="00B95EA3" w:rsidRPr="00B95EA3" w:rsidTr="0006629E">
        <w:trPr>
          <w:trHeight w:val="264"/>
          <w:jc w:val="center"/>
        </w:trPr>
        <w:tc>
          <w:tcPr>
            <w:tcW w:w="0" w:type="auto"/>
          </w:tcPr>
          <w:p w:rsidR="00B95EA3" w:rsidRPr="00B95EA3" w:rsidRDefault="00B95EA3" w:rsidP="0056141F">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Kidney</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0.006</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0.018</w:t>
            </w:r>
          </w:p>
        </w:tc>
      </w:tr>
      <w:tr w:rsidR="00B95EA3" w:rsidRPr="00B95EA3" w:rsidTr="0056141F">
        <w:trPr>
          <w:trHeight w:val="264"/>
          <w:jc w:val="center"/>
        </w:trPr>
        <w:tc>
          <w:tcPr>
            <w:tcW w:w="0" w:type="auto"/>
          </w:tcPr>
          <w:p w:rsidR="00B95EA3" w:rsidRPr="00B95EA3" w:rsidRDefault="00B95EA3" w:rsidP="0056141F">
            <w:pPr>
              <w:spacing w:before="60" w:after="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Lung</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0.005</w:t>
            </w:r>
          </w:p>
        </w:tc>
        <w:tc>
          <w:tcPr>
            <w:tcW w:w="0" w:type="auto"/>
          </w:tcPr>
          <w:p w:rsidR="00B95EA3" w:rsidRPr="00B95EA3" w:rsidRDefault="00B95EA3" w:rsidP="0056141F">
            <w:pPr>
              <w:spacing w:before="60" w:after="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0.017</w:t>
            </w:r>
          </w:p>
        </w:tc>
      </w:tr>
      <w:tr w:rsidR="00B95EA3" w:rsidRPr="00B95EA3" w:rsidTr="0056141F">
        <w:trPr>
          <w:trHeight w:val="264"/>
          <w:jc w:val="center"/>
        </w:trPr>
        <w:tc>
          <w:tcPr>
            <w:tcW w:w="0" w:type="auto"/>
            <w:tcBorders>
              <w:bottom w:val="single" w:sz="4" w:space="0" w:color="auto"/>
            </w:tcBorders>
          </w:tcPr>
          <w:p w:rsidR="00B95EA3" w:rsidRPr="00B95EA3" w:rsidRDefault="00B95EA3" w:rsidP="0056141F">
            <w:pPr>
              <w:spacing w:before="60" w:after="60" w:line="240" w:lineRule="auto"/>
              <w:outlineLvl w:val="0"/>
              <w:rPr>
                <w:rFonts w:ascii="Times New Roman" w:hAnsi="Times New Roman"/>
                <w:bCs/>
                <w:sz w:val="20"/>
                <w:szCs w:val="20"/>
                <w:lang w:val="es-AR"/>
              </w:rPr>
            </w:pPr>
            <w:r w:rsidRPr="00B95EA3">
              <w:rPr>
                <w:rFonts w:ascii="Times New Roman" w:hAnsi="Times New Roman"/>
                <w:bCs/>
                <w:sz w:val="20"/>
                <w:szCs w:val="20"/>
                <w:lang w:val="es-AR"/>
              </w:rPr>
              <w:t>Skin</w:t>
            </w:r>
          </w:p>
        </w:tc>
        <w:tc>
          <w:tcPr>
            <w:tcW w:w="0" w:type="auto"/>
            <w:tcBorders>
              <w:bottom w:val="single" w:sz="4" w:space="0" w:color="auto"/>
            </w:tcBorders>
          </w:tcPr>
          <w:p w:rsidR="00B95EA3" w:rsidRPr="00B95EA3" w:rsidRDefault="00B95EA3" w:rsidP="0056141F">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0.006</w:t>
            </w:r>
          </w:p>
        </w:tc>
        <w:tc>
          <w:tcPr>
            <w:tcW w:w="0" w:type="auto"/>
            <w:tcBorders>
              <w:bottom w:val="single" w:sz="4" w:space="0" w:color="auto"/>
            </w:tcBorders>
          </w:tcPr>
          <w:p w:rsidR="00B95EA3" w:rsidRPr="00B95EA3" w:rsidRDefault="00B95EA3" w:rsidP="0056141F">
            <w:pPr>
              <w:spacing w:before="60" w:after="60" w:line="240" w:lineRule="auto"/>
              <w:jc w:val="center"/>
              <w:outlineLvl w:val="0"/>
              <w:rPr>
                <w:rFonts w:ascii="Times New Roman" w:hAnsi="Times New Roman"/>
                <w:bCs/>
                <w:sz w:val="20"/>
                <w:szCs w:val="20"/>
                <w:lang w:val="es-AR"/>
              </w:rPr>
            </w:pPr>
            <w:r w:rsidRPr="00B95EA3">
              <w:rPr>
                <w:rFonts w:ascii="Times New Roman" w:hAnsi="Times New Roman"/>
                <w:bCs/>
                <w:sz w:val="20"/>
                <w:szCs w:val="20"/>
                <w:lang w:val="es-AR"/>
              </w:rPr>
              <w:t>0.018</w:t>
            </w:r>
          </w:p>
        </w:tc>
      </w:tr>
    </w:tbl>
    <w:p w:rsidR="00B95EA3" w:rsidRPr="00B95EA3" w:rsidRDefault="00B95EA3" w:rsidP="0056141F">
      <w:pPr>
        <w:spacing w:after="120" w:line="240" w:lineRule="auto"/>
        <w:jc w:val="both"/>
        <w:outlineLvl w:val="0"/>
        <w:rPr>
          <w:rFonts w:ascii="Times New Roman" w:hAnsi="Times New Roman"/>
          <w:sz w:val="20"/>
          <w:szCs w:val="20"/>
        </w:rPr>
      </w:pPr>
    </w:p>
    <w:p w:rsidR="00B95EA3" w:rsidRPr="00B95EA3" w:rsidRDefault="00B95EA3" w:rsidP="00B95EA3">
      <w:pPr>
        <w:spacing w:after="0" w:line="240" w:lineRule="auto"/>
        <w:jc w:val="both"/>
        <w:outlineLvl w:val="0"/>
        <w:rPr>
          <w:rFonts w:ascii="Times New Roman" w:hAnsi="Times New Roman"/>
          <w:sz w:val="20"/>
          <w:szCs w:val="20"/>
        </w:rPr>
      </w:pPr>
      <w:r w:rsidRPr="00B95EA3">
        <w:rPr>
          <w:rFonts w:ascii="Times New Roman" w:hAnsi="Times New Roman"/>
          <w:sz w:val="20"/>
          <w:szCs w:val="20"/>
        </w:rPr>
        <w:t>Considering the complexity of determining fluoroquinolones for their amphoteric character [22], added to the complexity of the matrices worked (muscle, kidney, lung, liver and skin), the processes of sample preparation and analyte extraction are complicated, with great quantity of organic solvents, for dilution and cleaning of the sample, removing macromolecules that interfere with the correct determination of the analyte. The above shows that our study by optimizing the process of sample preparation and extraction of the analyte, in addition to the validation of the analytical method, demonstrates the reliability of routine studies for marbofloxacin in the edible tissues of broiler chickens.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AC0033" w:rsidRPr="00F447A7" w:rsidRDefault="0056141F" w:rsidP="0056141F">
      <w:pPr>
        <w:spacing w:after="0" w:line="240" w:lineRule="auto"/>
        <w:jc w:val="both"/>
        <w:outlineLvl w:val="0"/>
        <w:rPr>
          <w:rFonts w:ascii="Times New Roman" w:hAnsi="Times New Roman"/>
          <w:sz w:val="20"/>
          <w:szCs w:val="20"/>
        </w:rPr>
      </w:pPr>
      <w:r w:rsidRPr="0056141F">
        <w:rPr>
          <w:rFonts w:ascii="Times New Roman" w:hAnsi="Times New Roman"/>
          <w:sz w:val="20"/>
          <w:szCs w:val="20"/>
        </w:rPr>
        <w:t>The optimization method developed in this study for the determination and quantification of MBX in plasma and edible tissues of broiler chickens (muscle, lung, kidney, liver and skin) could be considered as reliable, efficient, fast, precise, and also economical procedure due to the low amount of solvents used, being a useful tool for the monitoring of the pharmacokinetics and/or residues of MBX in broiler chickens, since it has been determined in previous studies as a potential therapeutic tool in poultry farming.</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E6ECD" w:rsidRDefault="00DD3A6B"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Hermo, M.</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 xml:space="preserve">P., Barrón, D. and Barbosa, J. (2006). </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 xml:space="preserve">Development </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of</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 xml:space="preserve"> analytical </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methods</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 xml:space="preserve"> for </w:t>
      </w:r>
      <w:r w:rsidR="00A353E6" w:rsidRPr="00DE6ECD">
        <w:rPr>
          <w:rFonts w:ascii="Times New Roman" w:hAnsi="Times New Roman"/>
          <w:noProof/>
          <w:sz w:val="20"/>
          <w:szCs w:val="20"/>
          <w:lang w:val="en-GB"/>
        </w:rPr>
        <w:t xml:space="preserve"> </w:t>
      </w:r>
      <w:r w:rsidR="0056141F" w:rsidRPr="00DE6ECD">
        <w:rPr>
          <w:rFonts w:ascii="Times New Roman" w:hAnsi="Times New Roman"/>
          <w:noProof/>
          <w:sz w:val="20"/>
          <w:szCs w:val="20"/>
          <w:lang w:val="en-GB"/>
        </w:rPr>
        <w:t>multiresidue determination of quinolones in pig muscle samples by liquid chromatography with ultraviolet detection, liquid chromatography–mass  spectrometry and liquid chromagraphy–tandem mass spectrometry. </w:t>
      </w:r>
      <w:r w:rsidR="0056141F" w:rsidRPr="00DE6ECD">
        <w:rPr>
          <w:rFonts w:ascii="Times New Roman" w:hAnsi="Times New Roman"/>
          <w:i/>
          <w:iCs/>
          <w:noProof/>
          <w:sz w:val="20"/>
          <w:szCs w:val="20"/>
          <w:lang w:val="en-GB"/>
        </w:rPr>
        <w:t>Journal of Chromatography A</w:t>
      </w:r>
      <w:r w:rsidR="0056141F" w:rsidRPr="00DE6ECD">
        <w:rPr>
          <w:rFonts w:ascii="Times New Roman" w:hAnsi="Times New Roman"/>
          <w:noProof/>
          <w:sz w:val="20"/>
          <w:szCs w:val="20"/>
          <w:lang w:val="en-GB"/>
        </w:rPr>
        <w:t>, </w:t>
      </w:r>
      <w:r w:rsidR="0056141F" w:rsidRPr="00DE6ECD">
        <w:rPr>
          <w:rFonts w:ascii="Times New Roman" w:hAnsi="Times New Roman"/>
          <w:iCs/>
          <w:noProof/>
          <w:sz w:val="20"/>
          <w:szCs w:val="20"/>
          <w:lang w:val="en-GB"/>
        </w:rPr>
        <w:t>1104</w:t>
      </w:r>
      <w:r w:rsidR="0056141F" w:rsidRPr="00DE6ECD">
        <w:rPr>
          <w:rFonts w:ascii="Times New Roman" w:hAnsi="Times New Roman"/>
          <w:noProof/>
          <w:sz w:val="20"/>
          <w:szCs w:val="20"/>
          <w:lang w:val="en-GB"/>
        </w:rPr>
        <w:t>(1): 132-139.</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Garcia, M. A., Solans, C., Aramayona, J. J., Rueda, S. and Bregante, M. A. (1999). Determination of marbofloxacin in plasma samples by high-performance liquid chromatography using fluorescence detection. </w:t>
      </w:r>
      <w:r w:rsidRPr="00DE6ECD">
        <w:rPr>
          <w:rFonts w:ascii="Times New Roman" w:hAnsi="Times New Roman"/>
          <w:i/>
          <w:iCs/>
          <w:noProof/>
          <w:sz w:val="20"/>
          <w:szCs w:val="20"/>
          <w:lang w:val="en-GB"/>
        </w:rPr>
        <w:t>Journal of Chromatography B: Biomedical Sciences and Applications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729</w:t>
      </w:r>
      <w:r w:rsidRPr="00DE6ECD">
        <w:rPr>
          <w:rFonts w:ascii="Times New Roman" w:hAnsi="Times New Roman"/>
          <w:noProof/>
          <w:sz w:val="20"/>
          <w:szCs w:val="20"/>
          <w:lang w:val="en-GB"/>
        </w:rPr>
        <w:t>(1): 157-161.</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Talero-Pérez, Y. V., Medina, O. J. and Rozo-Núñez, W. (2014). Técnicas analíticas contemporáneas para la identificación de residuos de sulfonamidas, quinolonas y cloranfenicol. </w:t>
      </w:r>
      <w:r w:rsidRPr="00DE6ECD">
        <w:rPr>
          <w:rFonts w:ascii="Times New Roman" w:hAnsi="Times New Roman"/>
          <w:i/>
          <w:iCs/>
          <w:noProof/>
          <w:sz w:val="20"/>
          <w:szCs w:val="20"/>
          <w:lang w:val="en-GB"/>
        </w:rPr>
        <w:t>Universitas Scientiarum</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19</w:t>
      </w:r>
      <w:r w:rsidRPr="00DE6ECD">
        <w:rPr>
          <w:rFonts w:ascii="Times New Roman" w:hAnsi="Times New Roman"/>
          <w:noProof/>
          <w:sz w:val="20"/>
          <w:szCs w:val="20"/>
          <w:lang w:val="en-GB"/>
        </w:rPr>
        <w:t>(1):11-29.</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Teixeira, A. M. (2009). Determinação de resíduos de fluoroquinolonas em amostras de tecido muscular de frangos e respectivo </w:t>
      </w:r>
      <w:r w:rsidR="00DE6ECD">
        <w:rPr>
          <w:rFonts w:ascii="Times New Roman" w:hAnsi="Times New Roman"/>
          <w:noProof/>
          <w:sz w:val="20"/>
          <w:szCs w:val="20"/>
          <w:lang w:val="en-GB"/>
        </w:rPr>
        <w:t xml:space="preserve"> </w:t>
      </w:r>
      <w:r w:rsidRPr="00DE6ECD">
        <w:rPr>
          <w:rFonts w:ascii="Times New Roman" w:hAnsi="Times New Roman"/>
          <w:noProof/>
          <w:sz w:val="20"/>
          <w:szCs w:val="20"/>
          <w:lang w:val="en-GB"/>
        </w:rPr>
        <w:t xml:space="preserve">impacto </w:t>
      </w:r>
      <w:r w:rsidR="00DE6ECD">
        <w:rPr>
          <w:rFonts w:ascii="Times New Roman" w:hAnsi="Times New Roman"/>
          <w:noProof/>
          <w:sz w:val="20"/>
          <w:szCs w:val="20"/>
          <w:lang w:val="en-GB"/>
        </w:rPr>
        <w:t xml:space="preserve"> </w:t>
      </w:r>
      <w:r w:rsidRPr="00DE6ECD">
        <w:rPr>
          <w:rFonts w:ascii="Times New Roman" w:hAnsi="Times New Roman"/>
          <w:noProof/>
          <w:sz w:val="20"/>
          <w:szCs w:val="20"/>
          <w:lang w:val="en-GB"/>
        </w:rPr>
        <w:t>na saúde humana. Tesis doctorado de Universidade de Coimbra. Portugal: pp. 44-45.</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Landoni, M. F. and Albarellos, G. (2015). The use of antimicrobial agents in broiler chickens. </w:t>
      </w:r>
      <w:r w:rsidRPr="00DE6ECD">
        <w:rPr>
          <w:rFonts w:ascii="Times New Roman" w:hAnsi="Times New Roman"/>
          <w:i/>
          <w:iCs/>
          <w:noProof/>
          <w:sz w:val="20"/>
          <w:szCs w:val="20"/>
          <w:lang w:val="en-GB"/>
        </w:rPr>
        <w:t>The Veterinary Journal</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205</w:t>
      </w:r>
      <w:r w:rsidRPr="00DE6ECD">
        <w:rPr>
          <w:rFonts w:ascii="Times New Roman" w:hAnsi="Times New Roman"/>
          <w:noProof/>
          <w:sz w:val="20"/>
          <w:szCs w:val="20"/>
          <w:lang w:val="en-GB"/>
        </w:rPr>
        <w:t>(1): 21-27.</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Anadón A., Martínez-Larragaña, M. R. Días, M. J., Martínez, M. A., Frejo, M. T. Martínez, M., Tafur, M. and Castellano, V. J. (2002). Pharmacokinetic characteristics and tissue residues for marbofloxacin and its metabolite N-desmethyl-marbofloxacin in broiler chickens. </w:t>
      </w:r>
      <w:r w:rsidRPr="00DE6ECD">
        <w:rPr>
          <w:rFonts w:ascii="Times New Roman" w:hAnsi="Times New Roman"/>
          <w:i/>
          <w:iCs/>
          <w:noProof/>
          <w:sz w:val="20"/>
          <w:szCs w:val="20"/>
          <w:lang w:val="en-GB"/>
        </w:rPr>
        <w:t>American Journal of Veterinary Research</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63</w:t>
      </w:r>
      <w:r w:rsidRPr="00DE6ECD">
        <w:rPr>
          <w:rFonts w:ascii="Times New Roman" w:hAnsi="Times New Roman"/>
          <w:noProof/>
          <w:sz w:val="20"/>
          <w:szCs w:val="20"/>
          <w:lang w:val="en-GB"/>
        </w:rPr>
        <w:t>(7): 927-933.</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lastRenderedPageBreak/>
        <w:t>Spreng, M., Deleforge, J., Thomas, V., Boisrame, B. and Drugeon, H. (1995). Antibacterial activity of marbofloxacin. A new fluoroquinolone for veterinary use against canine and feline isolates.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18</w:t>
      </w:r>
      <w:r w:rsidRPr="00DE6ECD">
        <w:rPr>
          <w:rFonts w:ascii="Times New Roman" w:hAnsi="Times New Roman"/>
          <w:noProof/>
          <w:sz w:val="20"/>
          <w:szCs w:val="20"/>
          <w:lang w:val="en-GB"/>
        </w:rPr>
        <w:t xml:space="preserve">(4): 284-289. </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Ding, H., Wang, L., Shen, X., Gu, X., Zeng, D. and Zeng, Z. (2013). Plasma and tissue pharmacokinetics of marbofloxacin in experimentally infected chickens with </w:t>
      </w:r>
      <w:r w:rsidRPr="00DE6ECD">
        <w:rPr>
          <w:rFonts w:ascii="Times New Roman" w:hAnsi="Times New Roman"/>
          <w:i/>
          <w:noProof/>
          <w:sz w:val="20"/>
          <w:szCs w:val="20"/>
          <w:lang w:val="en-GB"/>
        </w:rPr>
        <w:t>Mycoplasma gallisepticum</w:t>
      </w:r>
      <w:r w:rsidRPr="00DE6ECD">
        <w:rPr>
          <w:rFonts w:ascii="Times New Roman" w:hAnsi="Times New Roman"/>
          <w:noProof/>
          <w:sz w:val="20"/>
          <w:szCs w:val="20"/>
          <w:lang w:val="en-GB"/>
        </w:rPr>
        <w:t xml:space="preserve"> and </w:t>
      </w:r>
      <w:r w:rsidRPr="00DE6ECD">
        <w:rPr>
          <w:rFonts w:ascii="Times New Roman" w:hAnsi="Times New Roman"/>
          <w:i/>
          <w:noProof/>
          <w:sz w:val="20"/>
          <w:szCs w:val="20"/>
          <w:lang w:val="en-GB"/>
        </w:rPr>
        <w:t>Escherichia coli.</w:t>
      </w:r>
      <w:r w:rsidRPr="00DE6ECD">
        <w:rPr>
          <w:rFonts w:ascii="Times New Roman" w:hAnsi="Times New Roman"/>
          <w:noProof/>
          <w:sz w:val="20"/>
          <w:szCs w:val="20"/>
          <w:lang w:val="en-GB"/>
        </w:rPr>
        <w:t>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36</w:t>
      </w:r>
      <w:r w:rsidRPr="00DE6ECD">
        <w:rPr>
          <w:rFonts w:ascii="Times New Roman" w:hAnsi="Times New Roman"/>
          <w:noProof/>
          <w:sz w:val="20"/>
          <w:szCs w:val="20"/>
          <w:lang w:val="en-GB"/>
        </w:rPr>
        <w:t xml:space="preserve">(5): 511-515. </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El-Komy, A., Attia, T., El Latif, A. A. and Fathy, H. (2016). Bioavailability pharmacokinetics and residues of marbofloxacin in normal and E. coli infected broiler chicken. </w:t>
      </w:r>
      <w:r w:rsidRPr="00DE6ECD">
        <w:rPr>
          <w:rFonts w:ascii="Times New Roman" w:hAnsi="Times New Roman"/>
          <w:i/>
          <w:iCs/>
          <w:noProof/>
          <w:sz w:val="20"/>
          <w:szCs w:val="20"/>
          <w:lang w:val="en-GB"/>
        </w:rPr>
        <w:t>International Journal of Pharmacology and Toxicology</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4</w:t>
      </w:r>
      <w:r w:rsidRPr="00DE6ECD">
        <w:rPr>
          <w:rFonts w:ascii="Times New Roman" w:hAnsi="Times New Roman"/>
          <w:noProof/>
          <w:sz w:val="20"/>
          <w:szCs w:val="20"/>
          <w:lang w:val="en-GB"/>
        </w:rPr>
        <w:t>(2): 144-149.</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Huang, X. H., Chen, Z. L. and Zhang, S. T. (2003). Influence of experimentally </w:t>
      </w:r>
      <w:r w:rsidRPr="00DE6ECD">
        <w:rPr>
          <w:rFonts w:ascii="Times New Roman" w:hAnsi="Times New Roman"/>
          <w:i/>
          <w:noProof/>
          <w:sz w:val="20"/>
          <w:szCs w:val="20"/>
          <w:lang w:val="en-GB"/>
        </w:rPr>
        <w:t>Pasteurella multocida</w:t>
      </w:r>
      <w:r w:rsidRPr="00DE6ECD">
        <w:rPr>
          <w:rFonts w:ascii="Times New Roman" w:hAnsi="Times New Roman"/>
          <w:noProof/>
          <w:sz w:val="20"/>
          <w:szCs w:val="20"/>
          <w:lang w:val="en-GB"/>
        </w:rPr>
        <w:t xml:space="preserve"> infection on the pharmacokinetics of marbofloxacin in broiler chickens. </w:t>
      </w:r>
      <w:r w:rsidRPr="00DE6ECD">
        <w:rPr>
          <w:rFonts w:ascii="Times New Roman" w:hAnsi="Times New Roman"/>
          <w:i/>
          <w:iCs/>
          <w:noProof/>
          <w:sz w:val="20"/>
          <w:szCs w:val="20"/>
          <w:lang w:val="en-GB"/>
        </w:rPr>
        <w:t>Acta Veterinaria et Zootechnica Sinica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34</w:t>
      </w:r>
      <w:r w:rsidRPr="00DE6ECD">
        <w:rPr>
          <w:rFonts w:ascii="Times New Roman" w:hAnsi="Times New Roman"/>
          <w:noProof/>
          <w:sz w:val="20"/>
          <w:szCs w:val="20"/>
          <w:lang w:val="en-GB"/>
        </w:rPr>
        <w:t>(1): 98-102.</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Verdon, E., Couëdor, P. and Sanders, P. (2004). Validation of a multi-quinolone, multi-matrix, multi-species method for the determination of quinolone residues by HPLC with fluorescence detection.  CRL AFSSA  LERMVD.  Posters.</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 xml:space="preserve">Zhao, S. Jiang, H.  Li, X.  Mi, T. Li, C. and Shen, J. (2007). Simultaneous determination of trace levels of 10 quinolones in swine, chicken, and shrimp muscle tissues using HPLC with programmable fluorescence detection. </w:t>
      </w:r>
      <w:r w:rsidRPr="00DE6ECD">
        <w:rPr>
          <w:rFonts w:ascii="Times New Roman" w:hAnsi="Times New Roman"/>
          <w:i/>
          <w:noProof/>
          <w:sz w:val="20"/>
          <w:szCs w:val="20"/>
          <w:lang w:val="en-GB"/>
        </w:rPr>
        <w:t>Journal of Agricultural and Food Chemistry</w:t>
      </w:r>
      <w:r w:rsidRPr="00DE6ECD">
        <w:rPr>
          <w:rFonts w:ascii="Times New Roman" w:hAnsi="Times New Roman"/>
          <w:noProof/>
          <w:sz w:val="20"/>
          <w:szCs w:val="20"/>
          <w:lang w:val="en-GB"/>
        </w:rPr>
        <w:t>, 55(10): 3829-3834.</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Yang, F., Yang, Y. R., Wang, L., Huang, X. H., Qiao, G. and Zeng, Z. L. (2014). Estimating marbofloxacin withdrawal time in broiler chickens using a population physiologically based pharmacokinetics model.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37</w:t>
      </w:r>
      <w:r w:rsidRPr="00DE6ECD">
        <w:rPr>
          <w:rFonts w:ascii="Times New Roman" w:hAnsi="Times New Roman"/>
          <w:noProof/>
          <w:sz w:val="20"/>
          <w:szCs w:val="20"/>
          <w:lang w:val="en-GB"/>
        </w:rPr>
        <w:t>(6): 579-588.</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Yorke, J. C. and Froc, P. (2000). Quantitation of nine quinolones in chicken tissues by high-performance liquid chromatography with fluorescence detection.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882</w:t>
      </w:r>
      <w:r w:rsidRPr="00DE6ECD">
        <w:rPr>
          <w:rFonts w:ascii="Times New Roman" w:hAnsi="Times New Roman"/>
          <w:noProof/>
          <w:sz w:val="20"/>
          <w:szCs w:val="20"/>
          <w:lang w:val="en-GB"/>
        </w:rPr>
        <w:t xml:space="preserve">(1): 63-77. </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Gigosos, P. G., Revesado, P. R., Cadahıa, O., Fente, C. A., Vazquez, B. I., Franco, C. M. and Cepeda, A. (2000). Determination of quinolones in animal tissues and eggs by high-performance liquid chromatography with photodiode-array detection.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871</w:t>
      </w:r>
      <w:r w:rsidRPr="00DE6ECD">
        <w:rPr>
          <w:rFonts w:ascii="Times New Roman" w:hAnsi="Times New Roman"/>
          <w:noProof/>
          <w:sz w:val="20"/>
          <w:szCs w:val="20"/>
          <w:lang w:val="en-GB"/>
        </w:rPr>
        <w:t xml:space="preserve">(1): 31-36. </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Yu, H., Tao, Y., Chen, D., Pan, Y., Liu, Z., Wang, Y. and Yuan, Z. (2012). Simultaneous determination of fluoroquinolones in foods of animal origin by a high performance liquid chromatography and a liquid chromatography tandem mass spectrometry with accelerated solvent extraction. </w:t>
      </w:r>
      <w:r w:rsidRPr="00DE6ECD">
        <w:rPr>
          <w:rFonts w:ascii="Times New Roman" w:hAnsi="Times New Roman"/>
          <w:i/>
          <w:iCs/>
          <w:noProof/>
          <w:sz w:val="20"/>
          <w:szCs w:val="20"/>
          <w:lang w:val="en-GB"/>
        </w:rPr>
        <w:t>Journal of Chromatography B</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885</w:t>
      </w:r>
      <w:r w:rsidRPr="00DE6ECD">
        <w:rPr>
          <w:rFonts w:ascii="Times New Roman" w:hAnsi="Times New Roman"/>
          <w:noProof/>
          <w:sz w:val="20"/>
          <w:szCs w:val="20"/>
          <w:lang w:val="en-GB"/>
        </w:rPr>
        <w:t>: 150-159.</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Rocha, D. G., Santos, F. A., da Silva, J. C. C., Augusti, R. and Faria, A. F. (2015). Multiresidue determination of fluoroquinolones in poultry muscle and kidney according to the regulation 2002/657/EC. A systematic comparison of two different approaches: Liquid chromatography coupled to high-resolution mass spectrometry or tandem mass spectrometry. </w:t>
      </w:r>
      <w:r w:rsidRPr="00DE6ECD">
        <w:rPr>
          <w:rFonts w:ascii="Times New Roman" w:hAnsi="Times New Roman"/>
          <w:i/>
          <w:iCs/>
          <w:noProof/>
          <w:sz w:val="20"/>
          <w:szCs w:val="20"/>
          <w:lang w:val="en-GB"/>
        </w:rPr>
        <w:t>Journal of Chromatography A</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1379</w:t>
      </w:r>
      <w:r w:rsidRPr="00DE6ECD">
        <w:rPr>
          <w:rFonts w:ascii="Times New Roman" w:hAnsi="Times New Roman"/>
          <w:noProof/>
          <w:sz w:val="20"/>
          <w:szCs w:val="20"/>
          <w:lang w:val="en-GB"/>
        </w:rPr>
        <w:t>: 83-91.</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Valle, M., Schneider, M., Galland, D., Giboin, H. and Woehrle, F. (2012). Pharmacokinetic and pharmacodynamic testing of marbofloxacin administered as a single injection for the treatment of bovine respiratory disease. </w:t>
      </w:r>
      <w:r w:rsidRPr="00DE6ECD">
        <w:rPr>
          <w:rFonts w:ascii="Times New Roman" w:hAnsi="Times New Roman"/>
          <w:i/>
          <w:iCs/>
          <w:noProof/>
          <w:sz w:val="20"/>
          <w:szCs w:val="20"/>
          <w:lang w:val="en-GB"/>
        </w:rPr>
        <w:t>Journal of Veterinary Pharmacology And Therapeutics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35</w:t>
      </w:r>
      <w:r w:rsidRPr="00DE6ECD">
        <w:rPr>
          <w:rFonts w:ascii="Times New Roman" w:hAnsi="Times New Roman"/>
          <w:noProof/>
          <w:sz w:val="20"/>
          <w:szCs w:val="20"/>
          <w:lang w:val="en-GB"/>
        </w:rPr>
        <w:t>(6): 519-528.</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Silva, N. and Sousa, M. (2017). Is marbofloxacin a good candidate for treating pigs in Europe?. </w:t>
      </w:r>
      <w:r w:rsidRPr="00DE6ECD">
        <w:rPr>
          <w:rFonts w:ascii="Times New Roman" w:hAnsi="Times New Roman"/>
          <w:i/>
          <w:iCs/>
          <w:noProof/>
          <w:sz w:val="20"/>
          <w:szCs w:val="20"/>
          <w:lang w:val="en-GB"/>
        </w:rPr>
        <w:t>Veterinary Record</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180</w:t>
      </w:r>
      <w:r w:rsidRPr="00DE6ECD">
        <w:rPr>
          <w:rFonts w:ascii="Times New Roman" w:hAnsi="Times New Roman"/>
          <w:noProof/>
          <w:sz w:val="20"/>
          <w:szCs w:val="20"/>
          <w:lang w:val="en-GB"/>
        </w:rPr>
        <w:t>(24): 588-590.</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Böttcher, S., Baum, H. V., Hoppe-Tichy, T., Benz, C. and Sonntag, H. G. (2001). An HPLC assay and a microbiological assay to determine levofloxacin in soft tissue, bone, bile and serum. </w:t>
      </w:r>
      <w:r w:rsidRPr="00DE6ECD">
        <w:rPr>
          <w:rFonts w:ascii="Times New Roman" w:hAnsi="Times New Roman"/>
          <w:i/>
          <w:iCs/>
          <w:noProof/>
          <w:sz w:val="20"/>
          <w:szCs w:val="20"/>
          <w:lang w:val="en-GB"/>
        </w:rPr>
        <w:t>Journal of Pharmaceutical and Biomedical Analysis</w:t>
      </w:r>
      <w:r w:rsidRPr="00DE6ECD">
        <w:rPr>
          <w:rFonts w:ascii="Times New Roman" w:hAnsi="Times New Roman"/>
          <w:noProof/>
          <w:sz w:val="20"/>
          <w:szCs w:val="20"/>
          <w:lang w:val="en-GB"/>
        </w:rPr>
        <w:t>, </w:t>
      </w:r>
      <w:r w:rsidRPr="00DE6ECD">
        <w:rPr>
          <w:rFonts w:ascii="Times New Roman" w:hAnsi="Times New Roman"/>
          <w:iCs/>
          <w:noProof/>
          <w:sz w:val="20"/>
          <w:szCs w:val="20"/>
          <w:lang w:val="en-GB"/>
        </w:rPr>
        <w:t>25</w:t>
      </w:r>
      <w:r w:rsidRPr="00DE6ECD">
        <w:rPr>
          <w:rFonts w:ascii="Times New Roman" w:hAnsi="Times New Roman"/>
          <w:noProof/>
          <w:sz w:val="20"/>
          <w:szCs w:val="20"/>
          <w:lang w:val="en-GB"/>
        </w:rPr>
        <w:t xml:space="preserve">(2): 197-203. </w:t>
      </w:r>
    </w:p>
    <w:p w:rsid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noProof/>
          <w:sz w:val="20"/>
          <w:szCs w:val="20"/>
          <w:lang w:val="en-GB"/>
        </w:rPr>
        <w:t>EMEA. 2002, 2002/657/EC: Commission Decision of 12 August 2002 implementing Council Directive 96/23/EC concerning the performance of analytical methods and the interpretation of results (Text with EEA relevance) (notified under document number C (3044), European Medicines Agency.</w:t>
      </w:r>
    </w:p>
    <w:p w:rsidR="0056141F" w:rsidRPr="00DE6ECD" w:rsidRDefault="0056141F" w:rsidP="00DE6ECD">
      <w:pPr>
        <w:pStyle w:val="ListParagraph"/>
        <w:numPr>
          <w:ilvl w:val="0"/>
          <w:numId w:val="5"/>
        </w:numPr>
        <w:spacing w:after="0" w:line="240" w:lineRule="auto"/>
        <w:ind w:left="360"/>
        <w:jc w:val="both"/>
        <w:rPr>
          <w:rFonts w:ascii="Times New Roman" w:hAnsi="Times New Roman"/>
          <w:noProof/>
          <w:sz w:val="20"/>
          <w:szCs w:val="20"/>
          <w:lang w:val="en-GB"/>
        </w:rPr>
      </w:pPr>
      <w:r w:rsidRPr="00DE6ECD">
        <w:rPr>
          <w:rFonts w:ascii="Times New Roman" w:hAnsi="Times New Roman"/>
          <w:bCs/>
          <w:noProof/>
          <w:sz w:val="20"/>
          <w:szCs w:val="20"/>
          <w:lang w:val="en-GB"/>
        </w:rPr>
        <w:t>Bailac, S., Ballesteros, O., Jiménez-Lozano, E., Barrón, D., Sanz-Nebot, V., Navalón A. and Barbosa, J. (2004). Determination of quinolones in chicken tissues by liquid chromatography with ultraviolet absorbance detection. </w:t>
      </w:r>
      <w:r w:rsidRPr="00DE6ECD">
        <w:rPr>
          <w:rFonts w:ascii="Times New Roman" w:hAnsi="Times New Roman"/>
          <w:bCs/>
          <w:i/>
          <w:noProof/>
          <w:sz w:val="20"/>
          <w:szCs w:val="20"/>
          <w:lang w:val="en-GB"/>
        </w:rPr>
        <w:t xml:space="preserve">Journal Chromatography. </w:t>
      </w:r>
      <w:r w:rsidRPr="00DE6ECD">
        <w:rPr>
          <w:rFonts w:ascii="Times New Roman" w:hAnsi="Times New Roman"/>
          <w:bCs/>
          <w:i/>
          <w:iCs/>
          <w:noProof/>
          <w:sz w:val="20"/>
          <w:szCs w:val="20"/>
          <w:lang w:val="en-GB"/>
        </w:rPr>
        <w:t>A</w:t>
      </w:r>
      <w:r w:rsidRPr="00DE6ECD">
        <w:rPr>
          <w:rFonts w:ascii="Times New Roman" w:hAnsi="Times New Roman"/>
          <w:bCs/>
          <w:noProof/>
          <w:sz w:val="20"/>
          <w:szCs w:val="20"/>
          <w:lang w:val="en-GB"/>
        </w:rPr>
        <w:t>, </w:t>
      </w:r>
      <w:r w:rsidRPr="00DE6ECD">
        <w:rPr>
          <w:rFonts w:ascii="Times New Roman" w:hAnsi="Times New Roman"/>
          <w:bCs/>
          <w:iCs/>
          <w:noProof/>
          <w:sz w:val="20"/>
          <w:szCs w:val="20"/>
          <w:lang w:val="en-GB"/>
        </w:rPr>
        <w:t xml:space="preserve">1029 </w:t>
      </w:r>
      <w:r w:rsidRPr="00DE6ECD">
        <w:rPr>
          <w:rFonts w:ascii="Times New Roman" w:hAnsi="Times New Roman"/>
          <w:bCs/>
          <w:noProof/>
          <w:sz w:val="20"/>
          <w:szCs w:val="20"/>
          <w:lang w:val="en-GB"/>
        </w:rPr>
        <w:t>(1):145-151.</w:t>
      </w:r>
    </w:p>
    <w:p w:rsidR="005C7E1C" w:rsidRPr="003A2A26" w:rsidRDefault="005C7E1C" w:rsidP="0056141F">
      <w:pPr>
        <w:jc w:val="both"/>
        <w:outlineLvl w:val="0"/>
        <w:rPr>
          <w:rFonts w:ascii="Times New Roman" w:hAnsi="Times New Roman"/>
          <w:b/>
          <w:color w:val="548DD4" w:themeColor="text2" w:themeTint="99"/>
          <w:szCs w:val="20"/>
        </w:rPr>
      </w:pPr>
    </w:p>
    <w:sectPr w:rsidR="005C7E1C" w:rsidRPr="003A2A26" w:rsidSect="006C495B">
      <w:headerReference w:type="even" r:id="rId11"/>
      <w:headerReference w:type="default" r:id="rId12"/>
      <w:footerReference w:type="even" r:id="rId13"/>
      <w:footerReference w:type="default" r:id="rId14"/>
      <w:pgSz w:w="12240" w:h="15840" w:code="1"/>
      <w:pgMar w:top="1800" w:right="1469" w:bottom="1699" w:left="1440" w:header="706" w:footer="706" w:gutter="0"/>
      <w:pgNumType w:start="19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26BB6">
      <w:rPr>
        <w:rFonts w:ascii="Times New Roman" w:hAnsi="Times New Roman"/>
        <w:noProof/>
      </w:rPr>
      <w:t>202</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26BB6">
      <w:rPr>
        <w:rFonts w:ascii="Times New Roman" w:hAnsi="Times New Roman"/>
        <w:noProof/>
      </w:rPr>
      <w:t>201</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E1C" w:rsidRPr="005C7E1C" w:rsidRDefault="005C7E1C" w:rsidP="005C7E1C">
    <w:pPr>
      <w:spacing w:after="0" w:line="240" w:lineRule="auto"/>
      <w:ind w:left="1080" w:hanging="1080"/>
      <w:outlineLvl w:val="0"/>
      <w:rPr>
        <w:rFonts w:ascii="Times New Roman" w:hAnsi="Times New Roman"/>
        <w:bCs/>
        <w:sz w:val="20"/>
        <w:szCs w:val="20"/>
      </w:rPr>
    </w:pPr>
    <w:r>
      <w:rPr>
        <w:rFonts w:ascii="Times New Roman" w:hAnsi="Times New Roman"/>
        <w:sz w:val="20"/>
        <w:szCs w:val="20"/>
      </w:rPr>
      <w:t>Urzua et al</w:t>
    </w:r>
    <w:r w:rsidR="006B72B0" w:rsidRPr="005C7E1C">
      <w:rPr>
        <w:rFonts w:ascii="Times New Roman" w:hAnsi="Times New Roman"/>
        <w:sz w:val="20"/>
        <w:szCs w:val="20"/>
      </w:rPr>
      <w:t xml:space="preserve">: </w:t>
    </w:r>
    <w:r w:rsidR="00070F31" w:rsidRPr="005C7E1C">
      <w:rPr>
        <w:rFonts w:ascii="Times New Roman" w:hAnsi="Times New Roman"/>
        <w:sz w:val="20"/>
        <w:szCs w:val="20"/>
      </w:rPr>
      <w:t xml:space="preserve"> </w:t>
    </w:r>
    <w:r w:rsidRPr="005C7E1C">
      <w:rPr>
        <w:rFonts w:ascii="Times New Roman" w:hAnsi="Times New Roman"/>
        <w:sz w:val="20"/>
        <w:szCs w:val="20"/>
      </w:rPr>
      <w:t xml:space="preserve"> VALIDATION METHOD FOR EXTRACTION AND DETERMINATION OF MARBOFLOXACIN IN PLASMA AND </w:t>
    </w:r>
    <w:r w:rsidRPr="005C7E1C">
      <w:rPr>
        <w:rFonts w:ascii="Times New Roman" w:hAnsi="Times New Roman"/>
        <w:bCs/>
        <w:sz w:val="20"/>
        <w:szCs w:val="20"/>
      </w:rPr>
      <w:t>EDIBLE CHICKEN TISSUES</w:t>
    </w:r>
  </w:p>
  <w:p w:rsidR="00A14DB9" w:rsidRPr="00070F31" w:rsidRDefault="00A14DB9" w:rsidP="00070F31">
    <w:pPr>
      <w:autoSpaceDE w:val="0"/>
      <w:autoSpaceDN w:val="0"/>
      <w:adjustRightInd w:val="0"/>
      <w:spacing w:after="0" w:line="240" w:lineRule="auto"/>
      <w:ind w:left="1260" w:hanging="1260"/>
      <w:rPr>
        <w:rFonts w:ascii="Times New Roman" w:hAnsi="Times New Roman"/>
        <w:color w:val="000000" w:themeColor="text1"/>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47088F">
      <w:rPr>
        <w:rFonts w:ascii="Times New Roman" w:hAnsi="Times New Roman"/>
        <w:i/>
        <w:lang w:val="en-US"/>
      </w:rPr>
      <w:t>2</w:t>
    </w:r>
    <w:r>
      <w:rPr>
        <w:rFonts w:ascii="Times New Roman" w:hAnsi="Times New Roman"/>
        <w:i/>
      </w:rPr>
      <w:t xml:space="preserve"> </w:t>
    </w:r>
    <w:r w:rsidR="00002A02">
      <w:rPr>
        <w:rFonts w:ascii="Times New Roman" w:hAnsi="Times New Roman"/>
        <w:i/>
        <w:lang w:val="en-US"/>
      </w:rPr>
      <w:t>No 2</w:t>
    </w:r>
    <w:r>
      <w:rPr>
        <w:rFonts w:ascii="Times New Roman" w:hAnsi="Times New Roman"/>
        <w:i/>
      </w:rPr>
      <w:t xml:space="preserve"> (201</w:t>
    </w:r>
    <w:r w:rsidR="0047088F">
      <w:rPr>
        <w:rFonts w:ascii="Times New Roman" w:hAnsi="Times New Roman"/>
        <w:i/>
        <w:lang w:val="en-US"/>
      </w:rPr>
      <w:t>8</w:t>
    </w:r>
    <w:r w:rsidRPr="00D75B35">
      <w:rPr>
        <w:rFonts w:ascii="Times New Roman" w:hAnsi="Times New Roman"/>
        <w:i/>
      </w:rPr>
      <w:t xml:space="preserve">): </w:t>
    </w:r>
    <w:r w:rsidR="006C495B">
      <w:rPr>
        <w:rFonts w:ascii="Times New Roman" w:hAnsi="Times New Roman"/>
        <w:i/>
        <w:lang w:val="en-US"/>
      </w:rPr>
      <w:t>197</w:t>
    </w:r>
    <w:r>
      <w:rPr>
        <w:rFonts w:ascii="Times New Roman" w:hAnsi="Times New Roman"/>
        <w:i/>
        <w:lang w:val="en-US"/>
      </w:rPr>
      <w:t xml:space="preserve"> </w:t>
    </w:r>
    <w:r w:rsidR="007A0583">
      <w:rPr>
        <w:rFonts w:ascii="Times New Roman" w:hAnsi="Times New Roman"/>
        <w:i/>
        <w:lang w:val="en-US"/>
      </w:rPr>
      <w:t>-</w:t>
    </w:r>
    <w:r w:rsidR="006C495B">
      <w:rPr>
        <w:rFonts w:ascii="Times New Roman" w:hAnsi="Times New Roman"/>
        <w:i/>
        <w:lang w:val="en-US"/>
      </w:rPr>
      <w:t xml:space="preserve"> 202</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47088F">
      <w:rPr>
        <w:rFonts w:ascii="Times New Roman" w:hAnsi="Times New Roman"/>
        <w:i/>
        <w:lang w:val="en-US"/>
      </w:rPr>
      <w:t>doi.org/10.17576/mjas-2018-22</w:t>
    </w:r>
    <w:r w:rsidR="00B91DE7">
      <w:rPr>
        <w:rFonts w:ascii="Times New Roman" w:hAnsi="Times New Roman"/>
        <w:i/>
        <w:lang w:val="en-US"/>
      </w:rPr>
      <w:t>0</w:t>
    </w:r>
    <w:r w:rsidR="00002A02">
      <w:rPr>
        <w:rFonts w:ascii="Times New Roman" w:hAnsi="Times New Roman"/>
        <w:i/>
        <w:lang w:val="en-US"/>
      </w:rPr>
      <w:t>2</w:t>
    </w:r>
    <w:r w:rsidR="006C495B">
      <w:rPr>
        <w:rFonts w:ascii="Times New Roman" w:hAnsi="Times New Roman"/>
        <w:i/>
        <w:lang w:val="en-US"/>
      </w:rPr>
      <w:t>-04</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0C01BE8"/>
    <w:multiLevelType w:val="hybridMultilevel"/>
    <w:tmpl w:val="905E0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AEE7463"/>
    <w:multiLevelType w:val="hybridMultilevel"/>
    <w:tmpl w:val="9334B76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6F270C6E"/>
    <w:multiLevelType w:val="hybridMultilevel"/>
    <w:tmpl w:val="28B28D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2A02"/>
    <w:rsid w:val="00016385"/>
    <w:rsid w:val="0003330A"/>
    <w:rsid w:val="00067E6B"/>
    <w:rsid w:val="00070F31"/>
    <w:rsid w:val="00084936"/>
    <w:rsid w:val="000875CD"/>
    <w:rsid w:val="000C49FF"/>
    <w:rsid w:val="000D16A1"/>
    <w:rsid w:val="000D2B0C"/>
    <w:rsid w:val="000F77DA"/>
    <w:rsid w:val="001068E8"/>
    <w:rsid w:val="001106D8"/>
    <w:rsid w:val="00117BCD"/>
    <w:rsid w:val="00126BB6"/>
    <w:rsid w:val="001D035A"/>
    <w:rsid w:val="001D3855"/>
    <w:rsid w:val="001D6F2C"/>
    <w:rsid w:val="00277498"/>
    <w:rsid w:val="0028007D"/>
    <w:rsid w:val="002860B7"/>
    <w:rsid w:val="00286F51"/>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07CEC"/>
    <w:rsid w:val="0047088F"/>
    <w:rsid w:val="004760D4"/>
    <w:rsid w:val="00494C46"/>
    <w:rsid w:val="004B43FF"/>
    <w:rsid w:val="004D7E25"/>
    <w:rsid w:val="00502641"/>
    <w:rsid w:val="0056141F"/>
    <w:rsid w:val="005C6768"/>
    <w:rsid w:val="005C7E1C"/>
    <w:rsid w:val="005E4871"/>
    <w:rsid w:val="00601C8A"/>
    <w:rsid w:val="00623CB8"/>
    <w:rsid w:val="006257E5"/>
    <w:rsid w:val="00634C25"/>
    <w:rsid w:val="006416AB"/>
    <w:rsid w:val="0065447F"/>
    <w:rsid w:val="006768E9"/>
    <w:rsid w:val="00687982"/>
    <w:rsid w:val="0069647A"/>
    <w:rsid w:val="006B3EC8"/>
    <w:rsid w:val="006B72B0"/>
    <w:rsid w:val="006C495B"/>
    <w:rsid w:val="006C7920"/>
    <w:rsid w:val="006D286E"/>
    <w:rsid w:val="006D695E"/>
    <w:rsid w:val="00725A6A"/>
    <w:rsid w:val="007943F3"/>
    <w:rsid w:val="007A0583"/>
    <w:rsid w:val="007A738C"/>
    <w:rsid w:val="007B134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012E7"/>
    <w:rsid w:val="00A14DB9"/>
    <w:rsid w:val="00A353E6"/>
    <w:rsid w:val="00A4762A"/>
    <w:rsid w:val="00A74A7E"/>
    <w:rsid w:val="00A91EFF"/>
    <w:rsid w:val="00AC0033"/>
    <w:rsid w:val="00AD1B8A"/>
    <w:rsid w:val="00AE713F"/>
    <w:rsid w:val="00AF2305"/>
    <w:rsid w:val="00AF2821"/>
    <w:rsid w:val="00B1121C"/>
    <w:rsid w:val="00B25B65"/>
    <w:rsid w:val="00B2770A"/>
    <w:rsid w:val="00B314AD"/>
    <w:rsid w:val="00B75BF6"/>
    <w:rsid w:val="00B7735A"/>
    <w:rsid w:val="00B91DE7"/>
    <w:rsid w:val="00B95EA3"/>
    <w:rsid w:val="00BA1595"/>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DD3A6B"/>
    <w:rsid w:val="00DE6ECD"/>
    <w:rsid w:val="00E16130"/>
    <w:rsid w:val="00E25547"/>
    <w:rsid w:val="00E3287E"/>
    <w:rsid w:val="00E54D12"/>
    <w:rsid w:val="00E66197"/>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13F5-EE10-4D9D-B928-B830DC3CE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3282</Words>
  <Characters>19031</Characters>
  <Application>Microsoft Office Word</Application>
  <DocSecurity>0</DocSecurity>
  <Lines>378</Lines>
  <Paragraphs>172</Paragraphs>
  <ScaleCrop>false</ScaleCrop>
  <HeadingPairs>
    <vt:vector size="2" baseType="variant">
      <vt:variant>
        <vt:lpstr>Title</vt:lpstr>
      </vt:variant>
      <vt:variant>
        <vt:i4>1</vt:i4>
      </vt:variant>
    </vt:vector>
  </HeadingPairs>
  <TitlesOfParts>
    <vt:vector size="1" baseType="lpstr">
      <vt:lpstr>MJAS Vol 22 No 2 (2018)</vt:lpstr>
    </vt:vector>
  </TitlesOfParts>
  <Company>UKM</Company>
  <LinksUpToDate>false</LinksUpToDate>
  <CharactersWithSpaces>22246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2 (2018)</dc:title>
  <dc:creator>Harun Hj Hamzah</dc:creator>
  <cp:lastModifiedBy>Harun Hamzah</cp:lastModifiedBy>
  <cp:revision>11</cp:revision>
  <cp:lastPrinted>2018-04-24T16:03:00Z</cp:lastPrinted>
  <dcterms:created xsi:type="dcterms:W3CDTF">2018-03-03T16:16:00Z</dcterms:created>
  <dcterms:modified xsi:type="dcterms:W3CDTF">2018-04-24T16:03:00Z</dcterms:modified>
</cp:coreProperties>
</file>