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ED8" w:rsidRDefault="00B04ED8" w:rsidP="00B04ED8">
      <w:pPr>
        <w:adjustRightInd w:val="0"/>
        <w:spacing w:after="0" w:line="240" w:lineRule="auto"/>
        <w:rPr>
          <w:rFonts w:ascii="Times New Roman" w:hAnsi="Times New Roman"/>
          <w:sz w:val="24"/>
          <w:szCs w:val="24"/>
        </w:rPr>
      </w:pPr>
      <w:r>
        <w:rPr>
          <w:rFonts w:ascii="Times New Roman" w:hAnsi="Times New Roman"/>
          <w:sz w:val="24"/>
          <w:szCs w:val="24"/>
        </w:rPr>
        <w:t xml:space="preserve">Malaysian Journal of Analytical </w:t>
      </w:r>
      <w:r w:rsidR="00185D61">
        <w:rPr>
          <w:rFonts w:ascii="Times New Roman" w:hAnsi="Times New Roman"/>
          <w:sz w:val="24"/>
          <w:szCs w:val="24"/>
        </w:rPr>
        <w:t>Sciences Vol 22 No 2 (2018): 326 - 332</w:t>
      </w:r>
      <w:bookmarkStart w:id="0" w:name="_GoBack"/>
      <w:bookmarkEnd w:id="0"/>
    </w:p>
    <w:p w:rsidR="00B04ED8" w:rsidRDefault="00B04ED8" w:rsidP="00B04ED8">
      <w:pPr>
        <w:adjustRightInd w:val="0"/>
        <w:spacing w:after="0" w:line="240" w:lineRule="auto"/>
        <w:rPr>
          <w:rFonts w:ascii="Times New Roman" w:hAnsi="Times New Roman"/>
          <w:sz w:val="24"/>
          <w:szCs w:val="24"/>
        </w:rPr>
      </w:pPr>
    </w:p>
    <w:p w:rsidR="00B04ED8" w:rsidRDefault="00B04ED8" w:rsidP="00B04ED8">
      <w:pPr>
        <w:adjustRightInd w:val="0"/>
        <w:spacing w:after="0" w:line="240" w:lineRule="auto"/>
        <w:rPr>
          <w:rFonts w:ascii="Times New Roman" w:hAnsi="Times New Roman"/>
          <w:sz w:val="24"/>
          <w:szCs w:val="24"/>
        </w:rPr>
      </w:pPr>
    </w:p>
    <w:p w:rsidR="00B04ED8" w:rsidRPr="00B04ED8" w:rsidRDefault="00B04ED8" w:rsidP="00B04ED8">
      <w:pPr>
        <w:adjustRightInd w:val="0"/>
        <w:spacing w:after="0" w:line="240" w:lineRule="auto"/>
        <w:rPr>
          <w:rFonts w:ascii="Times New Roman" w:hAnsi="Times New Roman"/>
          <w:sz w:val="24"/>
          <w:szCs w:val="24"/>
        </w:rPr>
      </w:pPr>
    </w:p>
    <w:p w:rsidR="00B04ED8" w:rsidRPr="00355E94" w:rsidRDefault="00B04ED8" w:rsidP="00B04ED8">
      <w:pPr>
        <w:adjustRightInd w:val="0"/>
        <w:spacing w:after="0" w:line="240" w:lineRule="auto"/>
        <w:jc w:val="center"/>
        <w:rPr>
          <w:rFonts w:ascii="Times New Roman" w:hAnsi="Times New Roman"/>
          <w:i/>
          <w:sz w:val="28"/>
          <w:szCs w:val="28"/>
          <w:lang w:val="tr-TR"/>
        </w:rPr>
      </w:pPr>
      <w:r w:rsidRPr="00355E94">
        <w:rPr>
          <w:rFonts w:ascii="Times New Roman" w:hAnsi="Times New Roman"/>
          <w:sz w:val="28"/>
          <w:szCs w:val="28"/>
        </w:rPr>
        <w:t>CHARACTERISTICS OF RICE HUSK BIOCHAR BLENDED WITH COAL FLY ASH FOR POTENTIAL SORPTION MATERIAL</w:t>
      </w:r>
    </w:p>
    <w:p w:rsidR="00B04ED8" w:rsidRPr="00355E94" w:rsidRDefault="00B04ED8" w:rsidP="00B04ED8">
      <w:pPr>
        <w:adjustRightInd w:val="0"/>
        <w:spacing w:after="0" w:line="240" w:lineRule="auto"/>
        <w:jc w:val="center"/>
        <w:rPr>
          <w:rFonts w:ascii="Times New Roman" w:hAnsi="Times New Roman"/>
          <w:b/>
          <w:sz w:val="24"/>
          <w:szCs w:val="24"/>
        </w:rPr>
      </w:pPr>
    </w:p>
    <w:p w:rsidR="00B04ED8" w:rsidRPr="00355E94" w:rsidRDefault="00B04ED8" w:rsidP="00B04ED8">
      <w:pPr>
        <w:adjustRightInd w:val="0"/>
        <w:spacing w:after="0" w:line="240" w:lineRule="auto"/>
        <w:jc w:val="center"/>
        <w:rPr>
          <w:rFonts w:ascii="Times New Roman" w:hAnsi="Times New Roman"/>
          <w:sz w:val="24"/>
          <w:szCs w:val="24"/>
        </w:rPr>
      </w:pPr>
      <w:r w:rsidRPr="00355E94">
        <w:rPr>
          <w:rFonts w:ascii="Times New Roman" w:hAnsi="Times New Roman"/>
          <w:sz w:val="24"/>
          <w:szCs w:val="24"/>
        </w:rPr>
        <w:t>(Ciri-Ciri Gabungan Biochar dari Sekam Padi dengan Abu Terbang Arang Batu Sebagai Potensi Bahan Penjerab)</w:t>
      </w:r>
    </w:p>
    <w:p w:rsidR="00B04ED8" w:rsidRPr="00355E94" w:rsidRDefault="00B04ED8" w:rsidP="00B04ED8">
      <w:pPr>
        <w:adjustRightInd w:val="0"/>
        <w:spacing w:after="0" w:line="240" w:lineRule="auto"/>
        <w:jc w:val="center"/>
        <w:rPr>
          <w:rFonts w:ascii="Times New Roman" w:hAnsi="Times New Roman"/>
          <w:sz w:val="20"/>
          <w:szCs w:val="20"/>
        </w:rPr>
      </w:pPr>
    </w:p>
    <w:p w:rsidR="00B04ED8" w:rsidRDefault="00B04ED8" w:rsidP="00B04ED8">
      <w:pPr>
        <w:tabs>
          <w:tab w:val="center" w:pos="4513"/>
          <w:tab w:val="left" w:pos="7027"/>
        </w:tabs>
        <w:spacing w:after="0" w:line="240" w:lineRule="auto"/>
        <w:jc w:val="center"/>
        <w:rPr>
          <w:rFonts w:ascii="Times New Roman" w:hAnsi="Times New Roman"/>
          <w:sz w:val="20"/>
          <w:szCs w:val="20"/>
          <w:lang w:val="en-GB"/>
        </w:rPr>
      </w:pPr>
      <w:r w:rsidRPr="00355E94">
        <w:rPr>
          <w:rFonts w:ascii="Times New Roman" w:hAnsi="Times New Roman"/>
          <w:sz w:val="20"/>
          <w:szCs w:val="20"/>
          <w:lang w:val="en-GB"/>
        </w:rPr>
        <w:t>Nurul Farhana Ahmad</w:t>
      </w:r>
      <w:r w:rsidRPr="00355E94">
        <w:rPr>
          <w:rFonts w:ascii="Times New Roman" w:hAnsi="Times New Roman"/>
          <w:sz w:val="20"/>
          <w:szCs w:val="20"/>
          <w:vertAlign w:val="superscript"/>
        </w:rPr>
        <w:t>1</w:t>
      </w:r>
      <w:r w:rsidRPr="00355E94">
        <w:rPr>
          <w:rFonts w:ascii="Times New Roman" w:hAnsi="Times New Roman"/>
          <w:sz w:val="20"/>
          <w:szCs w:val="20"/>
          <w:lang w:val="en-GB"/>
        </w:rPr>
        <w:t>, Azil Bahari Alias</w:t>
      </w:r>
      <w:r w:rsidRPr="00355E94">
        <w:rPr>
          <w:rFonts w:ascii="Times New Roman" w:hAnsi="Times New Roman"/>
          <w:sz w:val="20"/>
          <w:szCs w:val="20"/>
          <w:vertAlign w:val="superscript"/>
          <w:lang w:val="en-GB"/>
        </w:rPr>
        <w:t>1</w:t>
      </w:r>
      <w:r w:rsidRPr="00355E94">
        <w:rPr>
          <w:rFonts w:ascii="Times New Roman" w:hAnsi="Times New Roman"/>
          <w:sz w:val="20"/>
          <w:szCs w:val="20"/>
          <w:lang w:val="en-GB"/>
        </w:rPr>
        <w:t xml:space="preserve">*, </w:t>
      </w:r>
      <w:r w:rsidRPr="00355E94">
        <w:rPr>
          <w:rFonts w:ascii="Times New Roman" w:eastAsia="MS Mincho" w:hAnsi="Times New Roman"/>
          <w:bCs/>
          <w:sz w:val="20"/>
          <w:szCs w:val="20"/>
          <w:lang w:val="en-MY" w:eastAsia="ja-JP"/>
        </w:rPr>
        <w:t>Norhayati Talib</w:t>
      </w:r>
      <w:r w:rsidRPr="00355E94">
        <w:rPr>
          <w:rFonts w:ascii="Times New Roman" w:hAnsi="Times New Roman"/>
          <w:sz w:val="20"/>
          <w:szCs w:val="20"/>
          <w:vertAlign w:val="superscript"/>
          <w:lang w:val="en-GB"/>
        </w:rPr>
        <w:t>1</w:t>
      </w:r>
      <w:r w:rsidRPr="00355E94">
        <w:rPr>
          <w:rFonts w:ascii="Times New Roman" w:hAnsi="Times New Roman"/>
          <w:sz w:val="20"/>
          <w:szCs w:val="20"/>
          <w:lang w:val="en-GB"/>
        </w:rPr>
        <w:t xml:space="preserve">, </w:t>
      </w:r>
      <w:r w:rsidRPr="00355E94">
        <w:rPr>
          <w:rFonts w:ascii="Times New Roman" w:eastAsia="MS Mincho" w:hAnsi="Times New Roman"/>
          <w:sz w:val="20"/>
          <w:szCs w:val="20"/>
          <w:lang w:val="it-IT" w:eastAsia="ja-JP"/>
        </w:rPr>
        <w:t>Zulkifli Abd Rashid</w:t>
      </w:r>
      <w:r w:rsidRPr="00355E94">
        <w:rPr>
          <w:rFonts w:ascii="Times New Roman" w:hAnsi="Times New Roman"/>
          <w:sz w:val="20"/>
          <w:szCs w:val="20"/>
          <w:vertAlign w:val="superscript"/>
          <w:lang w:val="en-GB"/>
        </w:rPr>
        <w:t xml:space="preserve"> 1</w:t>
      </w:r>
      <w:r w:rsidRPr="00355E94">
        <w:rPr>
          <w:rFonts w:ascii="Times New Roman" w:hAnsi="Times New Roman"/>
          <w:sz w:val="20"/>
          <w:szCs w:val="20"/>
          <w:lang w:val="en-GB"/>
        </w:rPr>
        <w:t xml:space="preserve">, </w:t>
      </w:r>
    </w:p>
    <w:p w:rsidR="00B04ED8" w:rsidRPr="00355E94" w:rsidRDefault="00B04ED8" w:rsidP="00B04ED8">
      <w:pPr>
        <w:tabs>
          <w:tab w:val="center" w:pos="4513"/>
          <w:tab w:val="left" w:pos="7027"/>
        </w:tabs>
        <w:spacing w:after="0" w:line="240" w:lineRule="auto"/>
        <w:jc w:val="center"/>
        <w:rPr>
          <w:rFonts w:ascii="Times New Roman" w:hAnsi="Times New Roman"/>
          <w:sz w:val="20"/>
          <w:szCs w:val="20"/>
          <w:lang w:val="en-GB"/>
        </w:rPr>
      </w:pPr>
      <w:r w:rsidRPr="00355E94">
        <w:rPr>
          <w:rFonts w:ascii="Times New Roman" w:eastAsia="MS Mincho" w:hAnsi="Times New Roman"/>
          <w:sz w:val="20"/>
          <w:szCs w:val="20"/>
          <w:lang w:val="it-IT" w:eastAsia="ja-JP"/>
        </w:rPr>
        <w:t>Wan Azlina Wan Ab Karim Ghani</w:t>
      </w:r>
      <w:r w:rsidRPr="00355E94">
        <w:rPr>
          <w:rFonts w:ascii="Times New Roman" w:eastAsia="MS Mincho" w:hAnsi="Times New Roman"/>
          <w:sz w:val="20"/>
          <w:szCs w:val="20"/>
          <w:vertAlign w:val="superscript"/>
          <w:lang w:val="it-IT" w:eastAsia="ja-JP"/>
        </w:rPr>
        <w:t>2</w:t>
      </w:r>
    </w:p>
    <w:p w:rsidR="00B04ED8" w:rsidRPr="00B04ED8" w:rsidRDefault="00B04ED8" w:rsidP="00B04ED8">
      <w:pPr>
        <w:tabs>
          <w:tab w:val="center" w:pos="4513"/>
          <w:tab w:val="left" w:pos="7027"/>
        </w:tabs>
        <w:spacing w:after="0" w:line="240" w:lineRule="auto"/>
        <w:jc w:val="center"/>
        <w:rPr>
          <w:rFonts w:ascii="Times New Roman" w:eastAsia="MS Mincho" w:hAnsi="Times New Roman"/>
          <w:sz w:val="20"/>
          <w:szCs w:val="20"/>
          <w:lang w:val="it-IT" w:eastAsia="ja-JP"/>
        </w:rPr>
      </w:pPr>
    </w:p>
    <w:p w:rsidR="00B04ED8" w:rsidRPr="00B04ED8" w:rsidRDefault="00B04ED8" w:rsidP="00B04ED8">
      <w:pPr>
        <w:spacing w:after="0" w:line="240" w:lineRule="auto"/>
        <w:jc w:val="center"/>
        <w:rPr>
          <w:rFonts w:ascii="Times New Roman" w:eastAsia="MS Mincho" w:hAnsi="Times New Roman"/>
          <w:i/>
          <w:sz w:val="20"/>
          <w:szCs w:val="20"/>
          <w:lang w:eastAsia="ja-JP"/>
        </w:rPr>
      </w:pPr>
      <w:r w:rsidRPr="00B04ED8">
        <w:rPr>
          <w:rFonts w:ascii="Times New Roman" w:eastAsia="MS Mincho" w:hAnsi="Times New Roman"/>
          <w:i/>
          <w:sz w:val="20"/>
          <w:szCs w:val="20"/>
          <w:vertAlign w:val="superscript"/>
          <w:lang w:eastAsia="ja-JP"/>
        </w:rPr>
        <w:t>1</w:t>
      </w:r>
      <w:r w:rsidRPr="00B04ED8">
        <w:rPr>
          <w:rFonts w:ascii="Times New Roman" w:eastAsia="MS Mincho" w:hAnsi="Times New Roman"/>
          <w:i/>
          <w:sz w:val="20"/>
          <w:szCs w:val="20"/>
          <w:lang w:eastAsia="ja-JP"/>
        </w:rPr>
        <w:t xml:space="preserve">Faculty of Chemical Engineering, </w:t>
      </w:r>
    </w:p>
    <w:p w:rsidR="00B04ED8" w:rsidRPr="00B04ED8" w:rsidRDefault="00B04ED8" w:rsidP="00B04ED8">
      <w:pPr>
        <w:spacing w:after="0" w:line="240" w:lineRule="auto"/>
        <w:jc w:val="center"/>
        <w:rPr>
          <w:rFonts w:ascii="Times New Roman" w:eastAsia="MS Mincho" w:hAnsi="Times New Roman"/>
          <w:i/>
          <w:sz w:val="20"/>
          <w:szCs w:val="20"/>
          <w:lang w:eastAsia="ja-JP"/>
        </w:rPr>
      </w:pPr>
      <w:r w:rsidRPr="00B04ED8">
        <w:rPr>
          <w:rFonts w:ascii="Times New Roman" w:eastAsia="MS Mincho" w:hAnsi="Times New Roman"/>
          <w:i/>
          <w:sz w:val="20"/>
          <w:szCs w:val="20"/>
          <w:lang w:eastAsia="ja-JP"/>
        </w:rPr>
        <w:t>Universiti Teknologi MARA, 40450 Shah Alam, Selangor Darul Ehsan, Malaysia</w:t>
      </w:r>
    </w:p>
    <w:p w:rsidR="00B04ED8" w:rsidRPr="00B04ED8" w:rsidRDefault="00B04ED8" w:rsidP="00B04ED8">
      <w:pPr>
        <w:spacing w:after="0" w:line="240" w:lineRule="auto"/>
        <w:jc w:val="center"/>
        <w:rPr>
          <w:rFonts w:ascii="Times New Roman" w:eastAsia="MS Mincho" w:hAnsi="Times New Roman"/>
          <w:i/>
          <w:sz w:val="20"/>
          <w:szCs w:val="20"/>
          <w:lang w:eastAsia="ja-JP"/>
        </w:rPr>
      </w:pPr>
      <w:r w:rsidRPr="00B04ED8">
        <w:rPr>
          <w:rFonts w:ascii="Times New Roman" w:eastAsia="MS Mincho" w:hAnsi="Times New Roman"/>
          <w:i/>
          <w:sz w:val="20"/>
          <w:szCs w:val="20"/>
          <w:vertAlign w:val="superscript"/>
          <w:lang w:eastAsia="ja-JP"/>
        </w:rPr>
        <w:t>2</w:t>
      </w:r>
      <w:r w:rsidRPr="00B04ED8">
        <w:rPr>
          <w:rFonts w:ascii="Times New Roman" w:eastAsia="MS Mincho" w:hAnsi="Times New Roman"/>
          <w:i/>
          <w:sz w:val="20"/>
          <w:szCs w:val="20"/>
          <w:lang w:eastAsia="ja-JP"/>
        </w:rPr>
        <w:t xml:space="preserve">Department of Chemical and Environmental Engineering, </w:t>
      </w:r>
    </w:p>
    <w:p w:rsidR="00B04ED8" w:rsidRPr="00B04ED8" w:rsidRDefault="00B04ED8" w:rsidP="00B04ED8">
      <w:pPr>
        <w:spacing w:after="0" w:line="240" w:lineRule="auto"/>
        <w:jc w:val="center"/>
        <w:rPr>
          <w:rFonts w:ascii="Times New Roman" w:eastAsia="MS Mincho" w:hAnsi="Times New Roman"/>
          <w:i/>
          <w:sz w:val="20"/>
          <w:szCs w:val="20"/>
          <w:lang w:eastAsia="ja-JP"/>
        </w:rPr>
      </w:pPr>
      <w:r w:rsidRPr="00B04ED8">
        <w:rPr>
          <w:rFonts w:ascii="Times New Roman" w:eastAsia="MS Mincho" w:hAnsi="Times New Roman"/>
          <w:i/>
          <w:sz w:val="20"/>
          <w:szCs w:val="20"/>
          <w:lang w:eastAsia="ja-JP"/>
        </w:rPr>
        <w:t>Universiti Putra Malaysia, 43400 Serdang, Selangor Darul Ehsan, Malaysia</w:t>
      </w:r>
    </w:p>
    <w:p w:rsidR="00B04ED8" w:rsidRPr="00B04ED8" w:rsidRDefault="00B04ED8" w:rsidP="00B04ED8">
      <w:pPr>
        <w:spacing w:after="0" w:line="240" w:lineRule="auto"/>
        <w:jc w:val="center"/>
        <w:rPr>
          <w:rFonts w:ascii="Times New Roman" w:eastAsia="MS Mincho" w:hAnsi="Times New Roman"/>
          <w:i/>
          <w:sz w:val="20"/>
          <w:szCs w:val="20"/>
          <w:lang w:eastAsia="ja-JP"/>
        </w:rPr>
      </w:pPr>
    </w:p>
    <w:p w:rsidR="00B04ED8" w:rsidRPr="00B04ED8" w:rsidRDefault="00B04ED8" w:rsidP="00B04ED8">
      <w:pPr>
        <w:spacing w:after="0" w:line="240" w:lineRule="auto"/>
        <w:jc w:val="center"/>
        <w:rPr>
          <w:rFonts w:ascii="Times New Roman" w:hAnsi="Times New Roman"/>
          <w:i/>
          <w:sz w:val="20"/>
          <w:szCs w:val="20"/>
          <w:vertAlign w:val="superscript"/>
        </w:rPr>
      </w:pPr>
      <w:r w:rsidRPr="00B04ED8">
        <w:rPr>
          <w:rFonts w:ascii="Times New Roman" w:hAnsi="Times New Roman"/>
          <w:i/>
          <w:sz w:val="20"/>
          <w:szCs w:val="20"/>
        </w:rPr>
        <w:t>*Corresponding author:  azilbahari@salam.uitm.edu.my</w:t>
      </w:r>
    </w:p>
    <w:p w:rsidR="00B04ED8" w:rsidRPr="00B04ED8" w:rsidRDefault="00B04ED8" w:rsidP="00B04ED8">
      <w:pPr>
        <w:spacing w:after="0" w:line="240" w:lineRule="auto"/>
        <w:jc w:val="center"/>
        <w:rPr>
          <w:rFonts w:ascii="Times New Roman" w:hAnsi="Times New Roman"/>
          <w:noProof/>
          <w:sz w:val="20"/>
          <w:szCs w:val="20"/>
          <w:lang w:bidi="ar-SA"/>
        </w:rPr>
      </w:pPr>
    </w:p>
    <w:p w:rsidR="00B04ED8" w:rsidRPr="00B04ED8" w:rsidRDefault="00B04ED8" w:rsidP="00B04ED8">
      <w:pPr>
        <w:spacing w:after="0" w:line="240" w:lineRule="auto"/>
        <w:jc w:val="center"/>
        <w:rPr>
          <w:rFonts w:ascii="Times New Roman" w:hAnsi="Times New Roman"/>
          <w:noProof/>
          <w:sz w:val="20"/>
          <w:szCs w:val="20"/>
          <w:lang w:bidi="ar-SA"/>
        </w:rPr>
      </w:pPr>
    </w:p>
    <w:p w:rsidR="00B04ED8" w:rsidRPr="00B04ED8" w:rsidRDefault="00B04ED8" w:rsidP="00B04ED8">
      <w:pPr>
        <w:spacing w:after="0" w:line="240" w:lineRule="auto"/>
        <w:jc w:val="center"/>
        <w:rPr>
          <w:rFonts w:ascii="Times New Roman" w:hAnsi="Times New Roman"/>
          <w:noProof/>
          <w:sz w:val="20"/>
          <w:szCs w:val="20"/>
          <w:lang w:bidi="ar-SA"/>
        </w:rPr>
      </w:pPr>
      <w:r w:rsidRPr="00B04ED8">
        <w:rPr>
          <w:rFonts w:ascii="Times New Roman" w:hAnsi="Times New Roman"/>
          <w:noProof/>
          <w:sz w:val="20"/>
          <w:szCs w:val="20"/>
          <w:lang w:bidi="ar-SA"/>
        </w:rPr>
        <w:t>Received: 15 February 2017; Accepted: 2 January 2018</w:t>
      </w:r>
    </w:p>
    <w:p w:rsidR="00B04ED8" w:rsidRPr="00B04ED8" w:rsidRDefault="00B04ED8" w:rsidP="00B04ED8">
      <w:pPr>
        <w:spacing w:after="0" w:line="240" w:lineRule="auto"/>
        <w:jc w:val="center"/>
        <w:rPr>
          <w:rFonts w:ascii="Times New Roman" w:hAnsi="Times New Roman"/>
          <w:noProof/>
          <w:sz w:val="20"/>
          <w:szCs w:val="20"/>
          <w:lang w:bidi="ar-SA"/>
        </w:rPr>
      </w:pPr>
    </w:p>
    <w:p w:rsidR="00B04ED8" w:rsidRPr="00B04ED8" w:rsidRDefault="00B04ED8" w:rsidP="00B04ED8">
      <w:pPr>
        <w:spacing w:after="0" w:line="240" w:lineRule="auto"/>
        <w:jc w:val="center"/>
        <w:rPr>
          <w:rFonts w:ascii="Times New Roman" w:hAnsi="Times New Roman"/>
          <w:noProof/>
          <w:sz w:val="20"/>
          <w:szCs w:val="20"/>
          <w:lang w:bidi="ar-SA"/>
        </w:rPr>
      </w:pPr>
    </w:p>
    <w:p w:rsidR="00B04ED8" w:rsidRPr="00B04ED8" w:rsidRDefault="00B04ED8" w:rsidP="00B04ED8">
      <w:pPr>
        <w:spacing w:after="0" w:line="240" w:lineRule="auto"/>
        <w:jc w:val="center"/>
        <w:rPr>
          <w:rFonts w:ascii="Times New Roman" w:hAnsi="Times New Roman"/>
          <w:b/>
          <w:noProof/>
          <w:sz w:val="20"/>
          <w:szCs w:val="20"/>
          <w:lang w:bidi="ar-SA"/>
        </w:rPr>
      </w:pPr>
      <w:r w:rsidRPr="00B04ED8">
        <w:rPr>
          <w:rFonts w:ascii="Times New Roman" w:hAnsi="Times New Roman"/>
          <w:b/>
          <w:noProof/>
          <w:sz w:val="20"/>
          <w:szCs w:val="20"/>
          <w:lang w:bidi="ar-SA"/>
        </w:rPr>
        <w:t>Abstract</w:t>
      </w:r>
    </w:p>
    <w:p w:rsidR="00B04ED8" w:rsidRPr="00B04ED8" w:rsidRDefault="00B04ED8" w:rsidP="00B04ED8">
      <w:pPr>
        <w:adjustRightInd w:val="0"/>
        <w:spacing w:after="0" w:line="240" w:lineRule="auto"/>
        <w:jc w:val="both"/>
        <w:rPr>
          <w:rFonts w:ascii="Times New Roman" w:hAnsi="Times New Roman"/>
          <w:sz w:val="20"/>
          <w:szCs w:val="20"/>
        </w:rPr>
      </w:pPr>
      <w:r w:rsidRPr="00B04ED8">
        <w:rPr>
          <w:rFonts w:ascii="Times New Roman" w:hAnsi="Times New Roman"/>
          <w:sz w:val="20"/>
          <w:szCs w:val="20"/>
        </w:rPr>
        <w:t>Biochar has received a great attention recently due to abundant biomass left in Malaysia. Besides that, the application of biochar in environmental aspects widely used in the world to improvise soil fertility and water quality. In this research, biochar is produced from rice husk (RH) by pyrolysis at 500 °C using fixed-bed tube reactor. Then the biochar will be blended with coal fly ash (CFA) using the ratio of rice husk biochar (RHB) to CFA (0.2:0.8, 0.5:0.5, and 0.8:0.2) to be further analyzed on their characteristics. From proximate analysis, the ash content is increasing while moisture content, volatile matter, and fixed carbon decrease as the ratio are decrease. For determination of carbon, hydrogen, oxygen, nitrogen and sulphur, the result from ultimate analysis indicates that hydrogen, carbon and nitrogen increase as the ratio increases. Based on the BET result, the surface area is increase proportionally to the ratio (0.2:0.8, 0.5:0.5, 0.8:0.2). Based on this research, RHB has a great potential to be applied as an adsorbent. However, blended RH with CFA are not giving desire result to be used an adsorbent. It is believed that introduction of  CFA will offer some magnetic effect to the sorbant to attract pollutants.</w:t>
      </w:r>
    </w:p>
    <w:p w:rsidR="00B04ED8" w:rsidRPr="00B04ED8" w:rsidRDefault="00B04ED8" w:rsidP="00B04ED8">
      <w:pPr>
        <w:adjustRightInd w:val="0"/>
        <w:spacing w:after="0" w:line="240" w:lineRule="auto"/>
        <w:jc w:val="both"/>
        <w:rPr>
          <w:rFonts w:ascii="Times New Roman" w:hAnsi="Times New Roman"/>
          <w:sz w:val="20"/>
          <w:szCs w:val="20"/>
        </w:rPr>
      </w:pPr>
    </w:p>
    <w:p w:rsidR="00B04ED8" w:rsidRPr="00B04ED8" w:rsidRDefault="00B04ED8" w:rsidP="00B04ED8">
      <w:pPr>
        <w:pStyle w:val="TTPSectionHeading"/>
        <w:spacing w:before="0" w:after="0"/>
        <w:rPr>
          <w:b w:val="0"/>
          <w:sz w:val="20"/>
          <w:szCs w:val="20"/>
        </w:rPr>
      </w:pPr>
      <w:r w:rsidRPr="00B04ED8">
        <w:rPr>
          <w:bCs w:val="0"/>
          <w:sz w:val="20"/>
          <w:szCs w:val="20"/>
        </w:rPr>
        <w:t>Keywords:</w:t>
      </w:r>
      <w:r w:rsidRPr="00B04ED8">
        <w:rPr>
          <w:b w:val="0"/>
          <w:sz w:val="20"/>
          <w:szCs w:val="20"/>
        </w:rPr>
        <w:t xml:space="preserve">  biochar, biomass, coal fly ash, pyrolysis, rice husk</w:t>
      </w:r>
    </w:p>
    <w:p w:rsidR="00B04ED8" w:rsidRPr="00B04ED8" w:rsidRDefault="00B04ED8" w:rsidP="00B04ED8">
      <w:pPr>
        <w:pStyle w:val="TTPParagraph1st"/>
        <w:jc w:val="center"/>
        <w:rPr>
          <w:sz w:val="20"/>
          <w:szCs w:val="20"/>
        </w:rPr>
      </w:pPr>
    </w:p>
    <w:p w:rsidR="00B04ED8" w:rsidRPr="00B04ED8" w:rsidRDefault="00B04ED8" w:rsidP="00B04ED8">
      <w:pPr>
        <w:adjustRightInd w:val="0"/>
        <w:spacing w:after="0" w:line="240" w:lineRule="auto"/>
        <w:jc w:val="center"/>
        <w:rPr>
          <w:rFonts w:ascii="Times New Roman" w:hAnsi="Times New Roman"/>
          <w:sz w:val="20"/>
          <w:szCs w:val="20"/>
        </w:rPr>
      </w:pPr>
      <w:r w:rsidRPr="00B04ED8">
        <w:rPr>
          <w:rFonts w:ascii="Times New Roman" w:hAnsi="Times New Roman"/>
          <w:b/>
          <w:bCs/>
          <w:sz w:val="20"/>
          <w:szCs w:val="20"/>
        </w:rPr>
        <w:t>Abstrak</w:t>
      </w:r>
    </w:p>
    <w:p w:rsidR="00B04ED8" w:rsidRPr="00B04ED8" w:rsidRDefault="00B04ED8" w:rsidP="00B04ED8">
      <w:pPr>
        <w:adjustRightInd w:val="0"/>
        <w:spacing w:after="0" w:line="240" w:lineRule="auto"/>
        <w:jc w:val="both"/>
        <w:rPr>
          <w:rFonts w:ascii="Times New Roman" w:hAnsi="Times New Roman"/>
          <w:sz w:val="20"/>
          <w:szCs w:val="20"/>
        </w:rPr>
      </w:pPr>
      <w:r w:rsidRPr="00B04ED8">
        <w:rPr>
          <w:rFonts w:ascii="Times New Roman" w:hAnsi="Times New Roman"/>
          <w:sz w:val="20"/>
          <w:szCs w:val="20"/>
        </w:rPr>
        <w:t xml:space="preserve">Biochar telah diberi perhatian besar baru-baru ini disebabkan kuantiti biojisim terbuang ini yang amat banyak di Malaysia. Selain itu, biochar ini banyak digunakan di dalam aspek alam sekitar iaitu secara meluas untuk penambahbaikkan kesuburan tanah dan kualiti air. Dalam penyelidikan ini, biochar dihasilkan dari sekam padi (RH) oleh proses pirolisis pada 500 °C menggunakan reaktor tiub lapisan tetap. Kemudian biochar akan dicampurkan dengan abu terbang (CFA) batu arang menggunakan nisbah sekam padi biochar (RHB) kepada CFA (0.2:0.8, 0.5:0.5 dan 0.8:0.2) seterusnya dianalisis ciri-ciri mereka. Dari analisis proksimat, kandungan abu bertambah manakala kandungan lembapan, jirim meruap dan karbon tetap berkurang dengan pengurangan nisbah RHB kepada CFA. Untuk nilai karbon, hidrogen, oksigen, nitrogen dan sulfur, keputusan dari analisis muktamad menunjukkan kadar hidrogen, karbon dan nitrogen dan sulfur meningkat dengan peningkatan nisbah RHB kepada CFA. Berdasarkan keputusan BET, luas permukaan meningkat secara berkadaran kepada nisbah (0.2:0.8, 0.5:0.5, 0.8:0.2) RHB kepada CFA. Berdasarkan penyelidikan ini, RHB mempunyai potensi besar untuk digunakan sebagai satu </w:t>
      </w:r>
      <w:r w:rsidRPr="00B04ED8">
        <w:rPr>
          <w:rFonts w:ascii="Times New Roman" w:hAnsi="Times New Roman"/>
          <w:sz w:val="20"/>
          <w:szCs w:val="20"/>
        </w:rPr>
        <w:lastRenderedPageBreak/>
        <w:t>bahan penjerap. Walaubagaimanapun, dengan mencampurkan RH dengan CFA tidak memberi keputusan positif untuk diguna pakai sebagai bahan penjerap. Penambahan CFA dipercayai akan memberi kesan magnet kepada bahan penjerab bagi menarik bahan pencemar.</w:t>
      </w:r>
    </w:p>
    <w:p w:rsidR="00B04ED8" w:rsidRPr="00B04ED8" w:rsidRDefault="00B04ED8" w:rsidP="00B04ED8">
      <w:pPr>
        <w:adjustRightInd w:val="0"/>
        <w:spacing w:after="0" w:line="240" w:lineRule="auto"/>
        <w:jc w:val="both"/>
        <w:rPr>
          <w:rFonts w:ascii="Times New Roman" w:hAnsi="Times New Roman"/>
          <w:sz w:val="20"/>
          <w:szCs w:val="20"/>
        </w:rPr>
      </w:pPr>
    </w:p>
    <w:p w:rsidR="00EF58B1" w:rsidRDefault="00B04ED8" w:rsidP="00B04ED8">
      <w:pPr>
        <w:pStyle w:val="TTPSectionHeading"/>
        <w:spacing w:before="0" w:after="0"/>
        <w:rPr>
          <w:b w:val="0"/>
          <w:sz w:val="20"/>
          <w:szCs w:val="20"/>
          <w:lang w:val="ms-MY"/>
        </w:rPr>
      </w:pPr>
      <w:r w:rsidRPr="00B04ED8">
        <w:rPr>
          <w:bCs w:val="0"/>
          <w:sz w:val="20"/>
          <w:szCs w:val="20"/>
        </w:rPr>
        <w:t>Kata kunci:</w:t>
      </w:r>
      <w:r w:rsidRPr="00B04ED8">
        <w:rPr>
          <w:b w:val="0"/>
          <w:sz w:val="20"/>
          <w:szCs w:val="20"/>
        </w:rPr>
        <w:t xml:space="preserve">  </w:t>
      </w:r>
      <w:r w:rsidRPr="00B04ED8">
        <w:rPr>
          <w:b w:val="0"/>
          <w:sz w:val="20"/>
          <w:szCs w:val="20"/>
          <w:lang w:val="ms-MY"/>
        </w:rPr>
        <w:t>biochar, biojisim, abu terbang arang batu, pirolisis, sekam padi</w:t>
      </w:r>
    </w:p>
    <w:p w:rsidR="00B04ED8" w:rsidRDefault="00B04ED8" w:rsidP="00B04ED8">
      <w:pPr>
        <w:pStyle w:val="TTPParagraph1st"/>
        <w:rPr>
          <w:sz w:val="20"/>
          <w:szCs w:val="20"/>
          <w:lang w:val="ms-MY"/>
        </w:rPr>
      </w:pPr>
    </w:p>
    <w:p w:rsidR="00B04ED8" w:rsidRPr="00F447A7" w:rsidRDefault="00B04ED8" w:rsidP="00B04ED8">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B04ED8" w:rsidRDefault="00B04ED8" w:rsidP="00B04ED8">
      <w:pPr>
        <w:pStyle w:val="Paragraph"/>
        <w:numPr>
          <w:ilvl w:val="0"/>
          <w:numId w:val="1"/>
        </w:numPr>
        <w:ind w:left="360"/>
      </w:pPr>
      <w:r w:rsidRPr="00A4628F">
        <w:t>Mekhilef, S., Saidur, R.</w:t>
      </w:r>
      <w:r>
        <w:t xml:space="preserve"> and </w:t>
      </w:r>
      <w:r w:rsidRPr="00A4628F">
        <w:t>Mustaffa, W.</w:t>
      </w:r>
      <w:r>
        <w:t xml:space="preserve"> </w:t>
      </w:r>
      <w:r w:rsidRPr="00A4628F">
        <w:t>E.</w:t>
      </w:r>
      <w:r>
        <w:t xml:space="preserve"> </w:t>
      </w:r>
      <w:r w:rsidRPr="00A4628F">
        <w:t>S.</w:t>
      </w:r>
      <w:r>
        <w:t xml:space="preserve"> </w:t>
      </w:r>
      <w:r w:rsidRPr="00A4628F">
        <w:t xml:space="preserve">B. (2011). Biomass energy in Malaysia: Current state and prospects. </w:t>
      </w:r>
      <w:r w:rsidRPr="00A4628F">
        <w:rPr>
          <w:i/>
        </w:rPr>
        <w:t>Renewable and Sustainable Energy Reviews</w:t>
      </w:r>
      <w:r w:rsidRPr="00A4628F">
        <w:t>,</w:t>
      </w:r>
      <w:r>
        <w:t xml:space="preserve"> 15(7)</w:t>
      </w:r>
      <w:r w:rsidRPr="00A4628F">
        <w:t>: 3360-3370.</w:t>
      </w:r>
    </w:p>
    <w:p w:rsidR="00B04ED8" w:rsidRDefault="00B04ED8" w:rsidP="00B04ED8">
      <w:pPr>
        <w:pStyle w:val="Paragraph"/>
        <w:numPr>
          <w:ilvl w:val="0"/>
          <w:numId w:val="1"/>
        </w:numPr>
        <w:ind w:left="360"/>
      </w:pPr>
      <w:r w:rsidRPr="004B01C8">
        <w:t>Moghtaderi, B., Meesri, C.</w:t>
      </w:r>
      <w:r>
        <w:t xml:space="preserve"> and </w:t>
      </w:r>
      <w:r w:rsidRPr="004B01C8">
        <w:t xml:space="preserve">Wall, T. F. (2004). Pyrolytic characteristics of blended coal and woody biomass. </w:t>
      </w:r>
      <w:r w:rsidRPr="006A5FF4">
        <w:rPr>
          <w:i/>
        </w:rPr>
        <w:t>Fuel</w:t>
      </w:r>
      <w:r w:rsidRPr="004B01C8">
        <w:t>, 83(6), 745-750.</w:t>
      </w:r>
    </w:p>
    <w:p w:rsidR="00B04ED8" w:rsidRDefault="00B04ED8" w:rsidP="00B04ED8">
      <w:pPr>
        <w:pStyle w:val="Paragraph"/>
        <w:numPr>
          <w:ilvl w:val="0"/>
          <w:numId w:val="1"/>
        </w:numPr>
        <w:ind w:left="360"/>
      </w:pPr>
      <w:r w:rsidRPr="00A4628F">
        <w:t>Frederik</w:t>
      </w:r>
      <w:r>
        <w:t>,</w:t>
      </w:r>
      <w:r w:rsidRPr="00A4628F">
        <w:t xml:space="preserve"> R., Sven, V., Dane, D. </w:t>
      </w:r>
      <w:r>
        <w:t xml:space="preserve">and </w:t>
      </w:r>
      <w:r w:rsidRPr="00A4628F">
        <w:t xml:space="preserve">Wolter, P. (2013). Production and characterization of slow pyrolysis biochar: </w:t>
      </w:r>
      <w:r>
        <w:t>I</w:t>
      </w:r>
      <w:r w:rsidRPr="00A4628F">
        <w:t xml:space="preserve">nfluence of feedsstock type and pyrolysis conditions, </w:t>
      </w:r>
      <w:r w:rsidRPr="00926F60">
        <w:rPr>
          <w:i/>
        </w:rPr>
        <w:t>GCB Bioenergy</w:t>
      </w:r>
      <w:r w:rsidRPr="00A4628F">
        <w:t>, 5: 104</w:t>
      </w:r>
      <w:r>
        <w:t>-</w:t>
      </w:r>
      <w:r w:rsidRPr="00A4628F">
        <w:t>115,</w:t>
      </w:r>
    </w:p>
    <w:p w:rsidR="00B04ED8" w:rsidRDefault="00B04ED8" w:rsidP="00B04ED8">
      <w:pPr>
        <w:pStyle w:val="Paragraph"/>
        <w:numPr>
          <w:ilvl w:val="0"/>
          <w:numId w:val="1"/>
        </w:numPr>
        <w:ind w:left="360"/>
      </w:pPr>
      <w:r w:rsidRPr="004B01C8">
        <w:t>Windeatt, J. H., Ross, A. B., Williams, P. T., Forster, P. M., Nahil, M. A.</w:t>
      </w:r>
      <w:r>
        <w:t xml:space="preserve"> and </w:t>
      </w:r>
      <w:r w:rsidRPr="004B01C8">
        <w:t xml:space="preserve">Singh, S. (2014). Characteristics of biochars from crop residues: </w:t>
      </w:r>
      <w:r>
        <w:t>P</w:t>
      </w:r>
      <w:r w:rsidRPr="004B01C8">
        <w:t xml:space="preserve">otential for carbon sequestration and soil amendment. </w:t>
      </w:r>
      <w:r w:rsidRPr="00926F60">
        <w:rPr>
          <w:i/>
        </w:rPr>
        <w:t>Journal of Environmental Management</w:t>
      </w:r>
      <w:r w:rsidRPr="004B01C8">
        <w:t>, 146</w:t>
      </w:r>
      <w:r>
        <w:t>:</w:t>
      </w:r>
      <w:r w:rsidRPr="004B01C8">
        <w:t xml:space="preserve"> 189-197.</w:t>
      </w:r>
    </w:p>
    <w:p w:rsidR="00B04ED8" w:rsidRDefault="00B04ED8" w:rsidP="00B04ED8">
      <w:pPr>
        <w:pStyle w:val="Paragraph"/>
        <w:numPr>
          <w:ilvl w:val="0"/>
          <w:numId w:val="1"/>
        </w:numPr>
        <w:ind w:left="360"/>
      </w:pPr>
      <w:r w:rsidRPr="004B01C8">
        <w:t>Mahmoud, D. K., Salleh, M. A. M., Karim, W. A. W. A., Idris, A.</w:t>
      </w:r>
      <w:r>
        <w:t xml:space="preserve"> and </w:t>
      </w:r>
      <w:r w:rsidRPr="004B01C8">
        <w:t xml:space="preserve">Abidin, Z. Z. (2012). Batch adsorption of basic dye using acid treated kenaf fibre char: </w:t>
      </w:r>
      <w:r>
        <w:t>E</w:t>
      </w:r>
      <w:r w:rsidRPr="004B01C8">
        <w:t xml:space="preserve">quilibrium, kinetic and thermodynamic studies. </w:t>
      </w:r>
      <w:r w:rsidRPr="00926F60">
        <w:rPr>
          <w:i/>
        </w:rPr>
        <w:t>Chemical Engineering Journal</w:t>
      </w:r>
      <w:r w:rsidRPr="004B01C8">
        <w:t>, 181, 449-457.</w:t>
      </w:r>
    </w:p>
    <w:p w:rsidR="00B04ED8" w:rsidRDefault="00B04ED8" w:rsidP="00B04ED8">
      <w:pPr>
        <w:pStyle w:val="Paragraph"/>
        <w:numPr>
          <w:ilvl w:val="0"/>
          <w:numId w:val="1"/>
        </w:numPr>
        <w:ind w:left="360"/>
      </w:pPr>
      <w:r w:rsidRPr="004B01C8">
        <w:t>Crombie, K., Mašek, O., Sohi, S. P., Brownsort, P.</w:t>
      </w:r>
      <w:r>
        <w:t xml:space="preserve"> and </w:t>
      </w:r>
      <w:r w:rsidRPr="004B01C8">
        <w:t xml:space="preserve">Cross, A. (2013). The effect of pyrolysis conditions on biochar stability as determined by three methods. </w:t>
      </w:r>
      <w:r w:rsidRPr="00926F60">
        <w:rPr>
          <w:i/>
        </w:rPr>
        <w:t>GCB Bioenergy</w:t>
      </w:r>
      <w:r w:rsidRPr="004B01C8">
        <w:t>, 5(2), 122-131.</w:t>
      </w:r>
    </w:p>
    <w:p w:rsidR="00B04ED8" w:rsidRDefault="00B04ED8" w:rsidP="00B04ED8">
      <w:pPr>
        <w:pStyle w:val="Paragraph"/>
        <w:numPr>
          <w:ilvl w:val="0"/>
          <w:numId w:val="1"/>
        </w:numPr>
        <w:ind w:left="360"/>
      </w:pPr>
      <w:r w:rsidRPr="004B01C8">
        <w:t>Kizito, S., Wu, S., Kirui, W. K., Lei, M., Lu, Q., Bah, H.</w:t>
      </w:r>
      <w:r>
        <w:t xml:space="preserve"> and </w:t>
      </w:r>
      <w:r w:rsidRPr="004B01C8">
        <w:t xml:space="preserve">Dong, R. (2015). Evaluation of slow pyrolyzed wood and rice husks biochar for adsorption of ammonium nitrogen from piggery manure anaerobic digestate slurry. </w:t>
      </w:r>
      <w:r w:rsidRPr="00926F60">
        <w:rPr>
          <w:i/>
        </w:rPr>
        <w:t>Science of the Total Environment</w:t>
      </w:r>
      <w:r w:rsidRPr="004B01C8">
        <w:t>, 505</w:t>
      </w:r>
      <w:r>
        <w:t xml:space="preserve">: </w:t>
      </w:r>
      <w:r w:rsidRPr="004B01C8">
        <w:t>102-112.</w:t>
      </w:r>
    </w:p>
    <w:p w:rsidR="00B04ED8" w:rsidRDefault="00B04ED8" w:rsidP="00B04ED8">
      <w:pPr>
        <w:pStyle w:val="Paragraph"/>
        <w:numPr>
          <w:ilvl w:val="0"/>
          <w:numId w:val="1"/>
        </w:numPr>
        <w:ind w:left="360"/>
      </w:pPr>
      <w:r w:rsidRPr="006A5FF4">
        <w:t>Masto, R. E., Ansari, M. A., George, J., Selvi, V. A.</w:t>
      </w:r>
      <w:r>
        <w:t xml:space="preserve"> and </w:t>
      </w:r>
      <w:r w:rsidRPr="006A5FF4">
        <w:t xml:space="preserve">Ram, L. C. (2013). Co-application of biochar and lignite fly ash on soil nutrients and biological parameters at different crop growth stages of Zea mays. </w:t>
      </w:r>
      <w:r w:rsidRPr="00926F60">
        <w:rPr>
          <w:i/>
        </w:rPr>
        <w:t>Ecological Engineering</w:t>
      </w:r>
      <w:r w:rsidRPr="006A5FF4">
        <w:t>, 58</w:t>
      </w:r>
      <w:r>
        <w:t>:</w:t>
      </w:r>
      <w:r w:rsidRPr="006A5FF4">
        <w:t xml:space="preserve"> 314-322.</w:t>
      </w:r>
    </w:p>
    <w:p w:rsidR="00B04ED8" w:rsidRDefault="00B04ED8" w:rsidP="00B04ED8">
      <w:pPr>
        <w:pStyle w:val="Paragraph"/>
        <w:numPr>
          <w:ilvl w:val="0"/>
          <w:numId w:val="1"/>
        </w:numPr>
        <w:ind w:left="360"/>
      </w:pPr>
      <w:r w:rsidRPr="006A5FF4">
        <w:t>Claoston, N., Samsuri, A. W., Ahmad Husni, M. H.</w:t>
      </w:r>
      <w:r>
        <w:t xml:space="preserve"> and </w:t>
      </w:r>
      <w:r w:rsidRPr="006A5FF4">
        <w:t xml:space="preserve">Mohd Amran, M. S. (2014). Effects of pyrolysis temperature on the physicochemical properties of empty fruit bunch and rice husk biochars. </w:t>
      </w:r>
      <w:r w:rsidRPr="00926F60">
        <w:rPr>
          <w:i/>
        </w:rPr>
        <w:t>Waste Management &amp; Research</w:t>
      </w:r>
      <w:r w:rsidRPr="006A5FF4">
        <w:t>, 32(4)</w:t>
      </w:r>
      <w:r>
        <w:t xml:space="preserve">: </w:t>
      </w:r>
      <w:r w:rsidRPr="006A5FF4">
        <w:t>331-339.</w:t>
      </w:r>
    </w:p>
    <w:p w:rsidR="00B04ED8" w:rsidRPr="00926F60" w:rsidRDefault="00B04ED8" w:rsidP="00B04ED8">
      <w:pPr>
        <w:pStyle w:val="Paragraph"/>
        <w:numPr>
          <w:ilvl w:val="0"/>
          <w:numId w:val="1"/>
        </w:numPr>
        <w:ind w:left="360"/>
      </w:pPr>
      <w:r w:rsidRPr="006A5FF4">
        <w:t xml:space="preserve">Ronsse, F., Van Hecke, S., Dickinson, D., &amp; Prins, W. (2013). Production and characterization of slow pyrolysis biochar: influence of feedstock type and pyrolysis conditions. </w:t>
      </w:r>
      <w:r w:rsidRPr="00926F60">
        <w:rPr>
          <w:i/>
        </w:rPr>
        <w:t>GCB Bioenergy</w:t>
      </w:r>
      <w:r w:rsidRPr="006A5FF4">
        <w:t>, 5(2)</w:t>
      </w:r>
      <w:r>
        <w:t>:</w:t>
      </w:r>
      <w:r w:rsidRPr="006A5FF4">
        <w:t xml:space="preserve"> 104-115.</w:t>
      </w:r>
    </w:p>
    <w:p w:rsidR="00B04ED8" w:rsidRPr="00B04ED8" w:rsidRDefault="00B04ED8" w:rsidP="00B04ED8">
      <w:pPr>
        <w:rPr>
          <w:rFonts w:ascii="Times New Roman" w:hAnsi="Times New Roman"/>
          <w:sz w:val="20"/>
          <w:szCs w:val="20"/>
          <w:lang w:val="ms-MY" w:bidi="ar-SA"/>
        </w:rPr>
      </w:pPr>
    </w:p>
    <w:p w:rsidR="00B04ED8" w:rsidRPr="00B04ED8" w:rsidRDefault="00B04ED8" w:rsidP="00B04ED8">
      <w:pPr>
        <w:rPr>
          <w:lang w:val="ms-MY" w:bidi="ar-SA"/>
        </w:rPr>
      </w:pPr>
    </w:p>
    <w:sectPr w:rsidR="00B04ED8" w:rsidRPr="00B04ED8" w:rsidSect="00B04ED8">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E413DC"/>
    <w:multiLevelType w:val="hybridMultilevel"/>
    <w:tmpl w:val="398889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ED8"/>
    <w:rsid w:val="00185D61"/>
    <w:rsid w:val="00B04ED8"/>
    <w:rsid w:val="00D0718B"/>
    <w:rsid w:val="00D40B1F"/>
    <w:rsid w:val="00EF5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ED8"/>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TPSectionHeading">
    <w:name w:val="TTP Section Heading"/>
    <w:basedOn w:val="Normal"/>
    <w:next w:val="TTPParagraph1st"/>
    <w:uiPriority w:val="99"/>
    <w:rsid w:val="00B04ED8"/>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Normal"/>
    <w:uiPriority w:val="99"/>
    <w:rsid w:val="00B04ED8"/>
    <w:pPr>
      <w:autoSpaceDE w:val="0"/>
      <w:autoSpaceDN w:val="0"/>
      <w:spacing w:after="0" w:line="240" w:lineRule="auto"/>
      <w:jc w:val="both"/>
    </w:pPr>
    <w:rPr>
      <w:rFonts w:ascii="Times New Roman" w:hAnsi="Times New Roman"/>
      <w:sz w:val="24"/>
      <w:szCs w:val="24"/>
      <w:lang w:bidi="ar-SA"/>
    </w:rPr>
  </w:style>
  <w:style w:type="paragraph" w:customStyle="1" w:styleId="Paragraph">
    <w:name w:val="Paragraph"/>
    <w:basedOn w:val="Normal"/>
    <w:rsid w:val="00B04ED8"/>
    <w:pPr>
      <w:spacing w:after="0" w:line="240" w:lineRule="auto"/>
      <w:ind w:firstLine="284"/>
      <w:jc w:val="both"/>
    </w:pPr>
    <w:rPr>
      <w:rFonts w:ascii="Times New Roman" w:hAnsi="Times New Roman"/>
      <w:sz w:val="20"/>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ED8"/>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TPSectionHeading">
    <w:name w:val="TTP Section Heading"/>
    <w:basedOn w:val="Normal"/>
    <w:next w:val="TTPParagraph1st"/>
    <w:uiPriority w:val="99"/>
    <w:rsid w:val="00B04ED8"/>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Normal"/>
    <w:uiPriority w:val="99"/>
    <w:rsid w:val="00B04ED8"/>
    <w:pPr>
      <w:autoSpaceDE w:val="0"/>
      <w:autoSpaceDN w:val="0"/>
      <w:spacing w:after="0" w:line="240" w:lineRule="auto"/>
      <w:jc w:val="both"/>
    </w:pPr>
    <w:rPr>
      <w:rFonts w:ascii="Times New Roman" w:hAnsi="Times New Roman"/>
      <w:sz w:val="24"/>
      <w:szCs w:val="24"/>
      <w:lang w:bidi="ar-SA"/>
    </w:rPr>
  </w:style>
  <w:style w:type="paragraph" w:customStyle="1" w:styleId="Paragraph">
    <w:name w:val="Paragraph"/>
    <w:basedOn w:val="Normal"/>
    <w:rsid w:val="00B04ED8"/>
    <w:pPr>
      <w:spacing w:after="0" w:line="240" w:lineRule="auto"/>
      <w:ind w:firstLine="284"/>
      <w:jc w:val="both"/>
    </w:pPr>
    <w:rPr>
      <w:rFonts w:ascii="Times New Roman" w:hAnsi="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857</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2018-04-21T08:16:00Z</dcterms:created>
  <dcterms:modified xsi:type="dcterms:W3CDTF">2018-04-25T15:48:00Z</dcterms:modified>
</cp:coreProperties>
</file>