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BA8" w:rsidRDefault="00326BA8" w:rsidP="00326BA8">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22 No 2 (2018): 197 - 202</w:t>
      </w:r>
    </w:p>
    <w:p w:rsidR="00326BA8" w:rsidRDefault="00326BA8" w:rsidP="00326BA8">
      <w:pPr>
        <w:spacing w:after="0" w:line="240" w:lineRule="auto"/>
        <w:outlineLvl w:val="0"/>
        <w:rPr>
          <w:rFonts w:ascii="Times New Roman" w:hAnsi="Times New Roman"/>
          <w:sz w:val="24"/>
          <w:szCs w:val="24"/>
        </w:rPr>
      </w:pPr>
    </w:p>
    <w:p w:rsidR="00326BA8" w:rsidRDefault="00326BA8" w:rsidP="00326BA8">
      <w:pPr>
        <w:spacing w:after="0" w:line="240" w:lineRule="auto"/>
        <w:outlineLvl w:val="0"/>
        <w:rPr>
          <w:rFonts w:ascii="Times New Roman" w:hAnsi="Times New Roman"/>
          <w:sz w:val="24"/>
          <w:szCs w:val="24"/>
        </w:rPr>
      </w:pPr>
    </w:p>
    <w:p w:rsidR="00326BA8" w:rsidRPr="00326BA8" w:rsidRDefault="00326BA8" w:rsidP="00326BA8">
      <w:pPr>
        <w:spacing w:after="0" w:line="240" w:lineRule="auto"/>
        <w:outlineLvl w:val="0"/>
        <w:rPr>
          <w:rFonts w:ascii="Times New Roman" w:hAnsi="Times New Roman"/>
          <w:sz w:val="24"/>
          <w:szCs w:val="24"/>
        </w:rPr>
      </w:pPr>
    </w:p>
    <w:p w:rsidR="00326BA8" w:rsidRPr="005C7E1C" w:rsidRDefault="00326BA8" w:rsidP="00326BA8">
      <w:pPr>
        <w:spacing w:after="0" w:line="240" w:lineRule="auto"/>
        <w:jc w:val="center"/>
        <w:outlineLvl w:val="0"/>
        <w:rPr>
          <w:rFonts w:ascii="Times New Roman" w:hAnsi="Times New Roman"/>
          <w:bCs/>
          <w:sz w:val="28"/>
        </w:rPr>
      </w:pPr>
      <w:r w:rsidRPr="005C7E1C">
        <w:rPr>
          <w:rFonts w:ascii="Times New Roman" w:hAnsi="Times New Roman"/>
          <w:sz w:val="28"/>
        </w:rPr>
        <w:t xml:space="preserve">VALIDATION METHOD FOR EXTRACTION AND DETERMINATION OF MARBOFLOXACIN IN PLASMA AND </w:t>
      </w:r>
      <w:r w:rsidRPr="005C7E1C">
        <w:rPr>
          <w:rFonts w:ascii="Times New Roman" w:hAnsi="Times New Roman"/>
          <w:bCs/>
          <w:sz w:val="28"/>
        </w:rPr>
        <w:t>EDIBLE CHICKEN TISSUES</w:t>
      </w:r>
    </w:p>
    <w:p w:rsidR="00326BA8" w:rsidRPr="005C7E1C" w:rsidRDefault="00326BA8" w:rsidP="00326BA8">
      <w:pPr>
        <w:spacing w:after="0" w:line="240" w:lineRule="auto"/>
        <w:jc w:val="center"/>
        <w:outlineLvl w:val="0"/>
        <w:rPr>
          <w:rFonts w:ascii="Times New Roman" w:hAnsi="Times New Roman"/>
          <w:b/>
          <w:color w:val="548DD4" w:themeColor="text2" w:themeTint="99"/>
          <w:sz w:val="24"/>
          <w:szCs w:val="24"/>
        </w:rPr>
      </w:pPr>
      <w:r w:rsidRPr="005C7E1C">
        <w:rPr>
          <w:rFonts w:ascii="Times New Roman" w:hAnsi="Times New Roman"/>
          <w:b/>
          <w:color w:val="548DD4" w:themeColor="text2" w:themeTint="99"/>
          <w:szCs w:val="20"/>
        </w:rPr>
        <w:t xml:space="preserve"> </w:t>
      </w:r>
    </w:p>
    <w:p w:rsidR="00326BA8" w:rsidRPr="005C7E1C" w:rsidRDefault="00326BA8" w:rsidP="00326BA8">
      <w:pPr>
        <w:spacing w:after="0" w:line="240" w:lineRule="auto"/>
        <w:jc w:val="center"/>
        <w:outlineLvl w:val="0"/>
        <w:rPr>
          <w:rFonts w:ascii="Times New Roman" w:hAnsi="Times New Roman"/>
          <w:sz w:val="24"/>
          <w:lang w:val="es-AR"/>
        </w:rPr>
      </w:pPr>
      <w:r w:rsidRPr="005C7E1C">
        <w:rPr>
          <w:rFonts w:ascii="Times New Roman" w:hAnsi="Times New Roman"/>
          <w:sz w:val="24"/>
        </w:rPr>
        <w:t xml:space="preserve"> </w:t>
      </w:r>
      <w:r w:rsidRPr="005C7E1C">
        <w:rPr>
          <w:rFonts w:ascii="Times New Roman" w:hAnsi="Times New Roman"/>
          <w:sz w:val="24"/>
          <w:lang w:val="es-AR"/>
        </w:rPr>
        <w:t>(Kaedah Validasi bagi Pengesktrakan dan Penentuan Marbofloxacin di dalam Plasma dan Tisu Ayam yang Boleh Di Makan)</w:t>
      </w:r>
    </w:p>
    <w:p w:rsidR="00326BA8" w:rsidRPr="005C7E1C" w:rsidRDefault="00326BA8" w:rsidP="00326BA8">
      <w:pPr>
        <w:spacing w:after="0" w:line="240" w:lineRule="auto"/>
        <w:jc w:val="center"/>
        <w:outlineLvl w:val="0"/>
        <w:rPr>
          <w:rFonts w:ascii="Times New Roman" w:hAnsi="Times New Roman"/>
          <w:b/>
          <w:color w:val="548DD4" w:themeColor="text2" w:themeTint="99"/>
          <w:sz w:val="20"/>
          <w:szCs w:val="20"/>
        </w:rPr>
      </w:pPr>
    </w:p>
    <w:p w:rsidR="00326BA8" w:rsidRPr="005C7E1C" w:rsidRDefault="00326BA8" w:rsidP="00326BA8">
      <w:pPr>
        <w:spacing w:after="0" w:line="240" w:lineRule="auto"/>
        <w:jc w:val="center"/>
        <w:outlineLvl w:val="0"/>
        <w:rPr>
          <w:rFonts w:ascii="Times New Roman" w:hAnsi="Times New Roman"/>
          <w:sz w:val="20"/>
          <w:szCs w:val="20"/>
          <w:lang w:val="es-AR"/>
        </w:rPr>
      </w:pPr>
      <w:r w:rsidRPr="005C7E1C">
        <w:rPr>
          <w:rFonts w:ascii="Times New Roman" w:hAnsi="Times New Roman"/>
          <w:sz w:val="20"/>
          <w:szCs w:val="20"/>
          <w:lang w:val="es-AR"/>
        </w:rPr>
        <w:t>Natalia Francisca Urzúa</w:t>
      </w:r>
      <w:r w:rsidRPr="005C7E1C">
        <w:rPr>
          <w:rFonts w:ascii="Times New Roman" w:hAnsi="Times New Roman"/>
          <w:sz w:val="20"/>
          <w:szCs w:val="20"/>
          <w:vertAlign w:val="superscript"/>
          <w:lang w:val="es-AR"/>
        </w:rPr>
        <w:t>1</w:t>
      </w:r>
      <w:r w:rsidRPr="005C7E1C">
        <w:rPr>
          <w:rFonts w:ascii="Times New Roman" w:hAnsi="Times New Roman"/>
          <w:sz w:val="20"/>
          <w:szCs w:val="20"/>
          <w:lang w:val="es-AR"/>
        </w:rPr>
        <w:t>*, Guillermo Fermín Prieto</w:t>
      </w:r>
      <w:r w:rsidRPr="005C7E1C">
        <w:rPr>
          <w:rFonts w:ascii="Times New Roman" w:hAnsi="Times New Roman"/>
          <w:sz w:val="20"/>
          <w:szCs w:val="20"/>
          <w:vertAlign w:val="superscript"/>
          <w:lang w:val="es-AR"/>
        </w:rPr>
        <w:t>1</w:t>
      </w:r>
      <w:r w:rsidRPr="005C7E1C">
        <w:rPr>
          <w:rFonts w:ascii="Times New Roman" w:hAnsi="Times New Roman"/>
          <w:sz w:val="20"/>
          <w:szCs w:val="20"/>
          <w:lang w:val="es-AR"/>
        </w:rPr>
        <w:t>, Carlos Fernando Lüders</w:t>
      </w:r>
      <w:r w:rsidRPr="005C7E1C">
        <w:rPr>
          <w:rFonts w:ascii="Times New Roman" w:hAnsi="Times New Roman"/>
          <w:sz w:val="20"/>
          <w:szCs w:val="20"/>
          <w:vertAlign w:val="superscript"/>
          <w:lang w:val="es-AR"/>
        </w:rPr>
        <w:t>2</w:t>
      </w:r>
      <w:r w:rsidRPr="005C7E1C">
        <w:rPr>
          <w:rFonts w:ascii="Times New Roman" w:hAnsi="Times New Roman"/>
          <w:sz w:val="20"/>
          <w:szCs w:val="20"/>
          <w:lang w:val="es-AR"/>
        </w:rPr>
        <w:t>, Maria Paula Tonini</w:t>
      </w:r>
      <w:r w:rsidRPr="005C7E1C">
        <w:rPr>
          <w:rFonts w:ascii="Times New Roman" w:hAnsi="Times New Roman"/>
          <w:sz w:val="20"/>
          <w:szCs w:val="20"/>
          <w:vertAlign w:val="superscript"/>
          <w:lang w:val="es-AR"/>
        </w:rPr>
        <w:t>1</w:t>
      </w:r>
      <w:r w:rsidRPr="005C7E1C">
        <w:rPr>
          <w:rFonts w:ascii="Times New Roman" w:hAnsi="Times New Roman"/>
          <w:sz w:val="20"/>
          <w:szCs w:val="20"/>
          <w:lang w:val="es-AR"/>
        </w:rPr>
        <w:t xml:space="preserve">, </w:t>
      </w:r>
    </w:p>
    <w:p w:rsidR="00326BA8" w:rsidRPr="005C7E1C" w:rsidRDefault="00326BA8" w:rsidP="00326BA8">
      <w:pPr>
        <w:spacing w:after="0" w:line="240" w:lineRule="auto"/>
        <w:jc w:val="center"/>
        <w:outlineLvl w:val="0"/>
        <w:rPr>
          <w:rFonts w:ascii="Times New Roman" w:hAnsi="Times New Roman"/>
          <w:b/>
          <w:sz w:val="20"/>
          <w:szCs w:val="20"/>
          <w:lang w:val="es-AR"/>
        </w:rPr>
      </w:pPr>
      <w:r w:rsidRPr="005C7E1C">
        <w:rPr>
          <w:rFonts w:ascii="Times New Roman" w:hAnsi="Times New Roman"/>
          <w:sz w:val="20"/>
          <w:szCs w:val="20"/>
          <w:lang w:val="es-AR"/>
        </w:rPr>
        <w:t>Eduardo Jesús Picco</w:t>
      </w:r>
      <w:r w:rsidRPr="005C7E1C">
        <w:rPr>
          <w:rFonts w:ascii="Times New Roman" w:hAnsi="Times New Roman"/>
          <w:sz w:val="20"/>
          <w:szCs w:val="20"/>
          <w:vertAlign w:val="superscript"/>
          <w:lang w:val="es-AR"/>
        </w:rPr>
        <w:t>3</w:t>
      </w:r>
      <w:r w:rsidRPr="005C7E1C">
        <w:rPr>
          <w:rFonts w:ascii="Times New Roman" w:hAnsi="Times New Roman"/>
          <w:sz w:val="20"/>
          <w:szCs w:val="20"/>
          <w:lang w:val="es-AR"/>
        </w:rPr>
        <w:t>, Carlos Alberto Errecalde</w:t>
      </w:r>
      <w:r w:rsidRPr="005C7E1C">
        <w:rPr>
          <w:rFonts w:ascii="Times New Roman" w:hAnsi="Times New Roman"/>
          <w:sz w:val="20"/>
          <w:szCs w:val="20"/>
          <w:vertAlign w:val="superscript"/>
          <w:lang w:val="es-AR"/>
        </w:rPr>
        <w:t>1</w:t>
      </w:r>
    </w:p>
    <w:p w:rsidR="00326BA8" w:rsidRPr="00326BA8" w:rsidRDefault="00326BA8" w:rsidP="00326BA8">
      <w:pPr>
        <w:spacing w:after="0" w:line="240" w:lineRule="auto"/>
        <w:jc w:val="center"/>
        <w:outlineLvl w:val="0"/>
        <w:rPr>
          <w:rFonts w:ascii="Times New Roman" w:hAnsi="Times New Roman"/>
          <w:b/>
          <w:color w:val="FF0000"/>
          <w:sz w:val="20"/>
          <w:szCs w:val="20"/>
          <w:lang w:val="es-AR"/>
        </w:rPr>
      </w:pPr>
    </w:p>
    <w:p w:rsidR="00326BA8" w:rsidRPr="00326BA8" w:rsidRDefault="00326BA8" w:rsidP="00326BA8">
      <w:pPr>
        <w:spacing w:after="0" w:line="240" w:lineRule="auto"/>
        <w:jc w:val="center"/>
        <w:outlineLvl w:val="0"/>
        <w:rPr>
          <w:rFonts w:ascii="Times New Roman" w:hAnsi="Times New Roman"/>
          <w:i/>
          <w:sz w:val="20"/>
          <w:szCs w:val="20"/>
        </w:rPr>
      </w:pPr>
      <w:r w:rsidRPr="00326BA8">
        <w:rPr>
          <w:rFonts w:ascii="Times New Roman" w:hAnsi="Times New Roman"/>
          <w:i/>
          <w:sz w:val="20"/>
          <w:szCs w:val="20"/>
          <w:vertAlign w:val="superscript"/>
        </w:rPr>
        <w:t xml:space="preserve">1 </w:t>
      </w:r>
      <w:r w:rsidRPr="00326BA8">
        <w:rPr>
          <w:rFonts w:ascii="Times New Roman" w:hAnsi="Times New Roman"/>
          <w:i/>
          <w:sz w:val="20"/>
          <w:szCs w:val="20"/>
        </w:rPr>
        <w:t xml:space="preserve">Department of Animal Clinic, Faculty of Agronomy and Veterinary Medicine, </w:t>
      </w:r>
    </w:p>
    <w:p w:rsidR="00326BA8" w:rsidRPr="00326BA8" w:rsidRDefault="00326BA8" w:rsidP="00326BA8">
      <w:pPr>
        <w:spacing w:after="0" w:line="240" w:lineRule="auto"/>
        <w:jc w:val="center"/>
        <w:outlineLvl w:val="0"/>
        <w:rPr>
          <w:rFonts w:ascii="Times New Roman" w:hAnsi="Times New Roman"/>
          <w:i/>
          <w:sz w:val="20"/>
          <w:szCs w:val="20"/>
        </w:rPr>
      </w:pPr>
      <w:r w:rsidRPr="00326BA8">
        <w:rPr>
          <w:rFonts w:ascii="Times New Roman" w:hAnsi="Times New Roman"/>
          <w:i/>
          <w:sz w:val="20"/>
          <w:szCs w:val="20"/>
        </w:rPr>
        <w:t xml:space="preserve">University National of Rio Cuarto, Route 36 Km 601, Rio Cuarto, Argentina </w:t>
      </w:r>
    </w:p>
    <w:p w:rsidR="00326BA8" w:rsidRPr="00326BA8" w:rsidRDefault="00326BA8" w:rsidP="00326BA8">
      <w:pPr>
        <w:spacing w:after="0" w:line="240" w:lineRule="auto"/>
        <w:jc w:val="center"/>
        <w:outlineLvl w:val="0"/>
        <w:rPr>
          <w:rFonts w:ascii="Times New Roman" w:hAnsi="Times New Roman"/>
          <w:i/>
          <w:sz w:val="20"/>
          <w:szCs w:val="20"/>
        </w:rPr>
      </w:pPr>
      <w:r w:rsidRPr="00326BA8">
        <w:rPr>
          <w:rFonts w:ascii="Times New Roman" w:hAnsi="Times New Roman"/>
          <w:i/>
          <w:sz w:val="20"/>
          <w:szCs w:val="20"/>
          <w:vertAlign w:val="superscript"/>
        </w:rPr>
        <w:t xml:space="preserve">2 </w:t>
      </w:r>
      <w:r w:rsidRPr="00326BA8">
        <w:rPr>
          <w:rFonts w:ascii="Times New Roman" w:hAnsi="Times New Roman"/>
          <w:i/>
          <w:sz w:val="20"/>
          <w:szCs w:val="20"/>
        </w:rPr>
        <w:t xml:space="preserve">School of Veterinary Medicine, </w:t>
      </w:r>
    </w:p>
    <w:p w:rsidR="00326BA8" w:rsidRPr="00326BA8" w:rsidRDefault="00326BA8" w:rsidP="00326BA8">
      <w:pPr>
        <w:spacing w:after="0" w:line="240" w:lineRule="auto"/>
        <w:jc w:val="center"/>
        <w:outlineLvl w:val="0"/>
        <w:rPr>
          <w:rFonts w:ascii="Times New Roman" w:hAnsi="Times New Roman"/>
          <w:i/>
          <w:sz w:val="20"/>
          <w:szCs w:val="20"/>
        </w:rPr>
      </w:pPr>
      <w:r w:rsidRPr="00326BA8">
        <w:rPr>
          <w:rFonts w:ascii="Times New Roman" w:hAnsi="Times New Roman"/>
          <w:i/>
          <w:sz w:val="20"/>
          <w:szCs w:val="20"/>
        </w:rPr>
        <w:t xml:space="preserve">Catholic University of Temuco, Casilla 15D, Temuco, Chile </w:t>
      </w:r>
    </w:p>
    <w:p w:rsidR="00326BA8" w:rsidRPr="00326BA8" w:rsidRDefault="00326BA8" w:rsidP="00326BA8">
      <w:pPr>
        <w:spacing w:after="0" w:line="240" w:lineRule="auto"/>
        <w:jc w:val="center"/>
        <w:outlineLvl w:val="0"/>
        <w:rPr>
          <w:rFonts w:ascii="Times New Roman" w:hAnsi="Times New Roman"/>
          <w:i/>
          <w:sz w:val="20"/>
          <w:szCs w:val="20"/>
        </w:rPr>
      </w:pPr>
      <w:r w:rsidRPr="00326BA8">
        <w:rPr>
          <w:rFonts w:ascii="Times New Roman" w:hAnsi="Times New Roman"/>
          <w:i/>
          <w:sz w:val="20"/>
          <w:szCs w:val="20"/>
          <w:vertAlign w:val="superscript"/>
        </w:rPr>
        <w:t xml:space="preserve">3 </w:t>
      </w:r>
      <w:r w:rsidRPr="00326BA8">
        <w:rPr>
          <w:rFonts w:ascii="Times New Roman" w:hAnsi="Times New Roman"/>
          <w:i/>
          <w:sz w:val="20"/>
          <w:szCs w:val="20"/>
        </w:rPr>
        <w:t xml:space="preserve">Chair of Pharmacology, Faculty of Veterinary Sciences, </w:t>
      </w:r>
    </w:p>
    <w:p w:rsidR="00326BA8" w:rsidRPr="00326BA8" w:rsidRDefault="00326BA8" w:rsidP="00326BA8">
      <w:pPr>
        <w:spacing w:after="0" w:line="240" w:lineRule="auto"/>
        <w:jc w:val="center"/>
        <w:outlineLvl w:val="0"/>
        <w:rPr>
          <w:rFonts w:ascii="Times New Roman" w:hAnsi="Times New Roman"/>
          <w:i/>
          <w:sz w:val="20"/>
          <w:szCs w:val="20"/>
        </w:rPr>
      </w:pPr>
      <w:r w:rsidRPr="00326BA8">
        <w:rPr>
          <w:rFonts w:ascii="Times New Roman" w:hAnsi="Times New Roman"/>
          <w:i/>
          <w:sz w:val="20"/>
          <w:szCs w:val="20"/>
        </w:rPr>
        <w:t>University National of the Litoral, Kreder 2805, Esperanza, Argentina</w:t>
      </w:r>
    </w:p>
    <w:p w:rsidR="00326BA8" w:rsidRPr="00326BA8" w:rsidRDefault="00326BA8" w:rsidP="00326BA8">
      <w:pPr>
        <w:spacing w:after="0" w:line="240" w:lineRule="auto"/>
        <w:jc w:val="center"/>
        <w:outlineLvl w:val="0"/>
        <w:rPr>
          <w:rFonts w:ascii="Times New Roman" w:hAnsi="Times New Roman"/>
          <w:b/>
          <w:color w:val="548DD4" w:themeColor="text2" w:themeTint="99"/>
          <w:sz w:val="20"/>
          <w:szCs w:val="20"/>
        </w:rPr>
      </w:pPr>
    </w:p>
    <w:p w:rsidR="00326BA8" w:rsidRPr="00326BA8" w:rsidRDefault="00326BA8" w:rsidP="00326BA8">
      <w:pPr>
        <w:spacing w:after="0" w:line="240" w:lineRule="auto"/>
        <w:jc w:val="center"/>
        <w:outlineLvl w:val="0"/>
        <w:rPr>
          <w:rFonts w:ascii="Times New Roman" w:hAnsi="Times New Roman"/>
          <w:b/>
          <w:color w:val="FF0000"/>
          <w:sz w:val="20"/>
          <w:szCs w:val="20"/>
        </w:rPr>
      </w:pPr>
      <w:r w:rsidRPr="00326BA8">
        <w:rPr>
          <w:rFonts w:ascii="Times New Roman" w:hAnsi="Times New Roman"/>
          <w:i/>
          <w:sz w:val="20"/>
          <w:szCs w:val="20"/>
          <w:vertAlign w:val="superscript"/>
        </w:rPr>
        <w:t>*</w:t>
      </w:r>
      <w:r w:rsidRPr="00326BA8">
        <w:rPr>
          <w:rFonts w:ascii="Times New Roman" w:hAnsi="Times New Roman"/>
          <w:i/>
          <w:sz w:val="20"/>
          <w:szCs w:val="20"/>
        </w:rPr>
        <w:t>Corresponding author:  nurzuapizarro@ayv.unrc.edu.ar</w:t>
      </w:r>
    </w:p>
    <w:p w:rsidR="00326BA8" w:rsidRPr="00326BA8" w:rsidRDefault="00326BA8" w:rsidP="00326BA8">
      <w:pPr>
        <w:spacing w:after="0" w:line="240" w:lineRule="auto"/>
        <w:jc w:val="center"/>
        <w:rPr>
          <w:rFonts w:ascii="Times New Roman" w:hAnsi="Times New Roman"/>
          <w:noProof/>
          <w:sz w:val="20"/>
          <w:szCs w:val="20"/>
          <w:lang w:bidi="ar-SA"/>
        </w:rPr>
      </w:pPr>
    </w:p>
    <w:p w:rsidR="00326BA8" w:rsidRPr="00326BA8" w:rsidRDefault="00326BA8" w:rsidP="00326BA8">
      <w:pPr>
        <w:spacing w:after="0" w:line="240" w:lineRule="auto"/>
        <w:jc w:val="center"/>
        <w:rPr>
          <w:rFonts w:ascii="Times New Roman" w:hAnsi="Times New Roman"/>
          <w:noProof/>
          <w:sz w:val="20"/>
          <w:szCs w:val="20"/>
          <w:lang w:bidi="ar-SA"/>
        </w:rPr>
      </w:pPr>
    </w:p>
    <w:p w:rsidR="00326BA8" w:rsidRPr="00326BA8" w:rsidRDefault="00326BA8" w:rsidP="00326BA8">
      <w:pPr>
        <w:spacing w:after="0" w:line="240" w:lineRule="auto"/>
        <w:jc w:val="center"/>
        <w:rPr>
          <w:rFonts w:ascii="Times New Roman" w:hAnsi="Times New Roman"/>
          <w:noProof/>
          <w:sz w:val="20"/>
          <w:szCs w:val="20"/>
          <w:lang w:bidi="ar-SA"/>
        </w:rPr>
      </w:pPr>
      <w:r w:rsidRPr="00326BA8">
        <w:rPr>
          <w:rFonts w:ascii="Times New Roman" w:hAnsi="Times New Roman"/>
          <w:noProof/>
          <w:sz w:val="20"/>
          <w:szCs w:val="20"/>
          <w:lang w:bidi="ar-SA"/>
        </w:rPr>
        <w:t>Received: 16 December 2017; Accepted: 16 February 2018</w:t>
      </w:r>
    </w:p>
    <w:p w:rsidR="00326BA8" w:rsidRPr="00326BA8" w:rsidRDefault="00326BA8" w:rsidP="00326BA8">
      <w:pPr>
        <w:spacing w:after="0" w:line="240" w:lineRule="auto"/>
        <w:jc w:val="center"/>
        <w:rPr>
          <w:rFonts w:ascii="Times New Roman" w:hAnsi="Times New Roman"/>
          <w:noProof/>
          <w:sz w:val="20"/>
          <w:szCs w:val="20"/>
          <w:lang w:bidi="ar-SA"/>
        </w:rPr>
      </w:pPr>
    </w:p>
    <w:p w:rsidR="00326BA8" w:rsidRPr="00326BA8" w:rsidRDefault="00326BA8" w:rsidP="00326BA8">
      <w:pPr>
        <w:spacing w:after="0" w:line="240" w:lineRule="auto"/>
        <w:jc w:val="center"/>
        <w:rPr>
          <w:rFonts w:ascii="Times New Roman" w:hAnsi="Times New Roman"/>
          <w:noProof/>
          <w:sz w:val="20"/>
          <w:szCs w:val="20"/>
          <w:lang w:bidi="ar-SA"/>
        </w:rPr>
      </w:pPr>
    </w:p>
    <w:p w:rsidR="00326BA8" w:rsidRPr="00326BA8" w:rsidRDefault="00326BA8" w:rsidP="00326BA8">
      <w:pPr>
        <w:spacing w:after="0" w:line="240" w:lineRule="auto"/>
        <w:jc w:val="center"/>
        <w:rPr>
          <w:rFonts w:ascii="Times New Roman" w:hAnsi="Times New Roman"/>
          <w:b/>
          <w:noProof/>
          <w:sz w:val="20"/>
          <w:szCs w:val="20"/>
          <w:lang w:bidi="ar-SA"/>
        </w:rPr>
      </w:pPr>
      <w:r w:rsidRPr="00326BA8">
        <w:rPr>
          <w:rFonts w:ascii="Times New Roman" w:hAnsi="Times New Roman"/>
          <w:b/>
          <w:noProof/>
          <w:sz w:val="20"/>
          <w:szCs w:val="20"/>
          <w:lang w:bidi="ar-SA"/>
        </w:rPr>
        <w:t>Abstract</w:t>
      </w:r>
    </w:p>
    <w:p w:rsidR="00326BA8" w:rsidRPr="00326BA8" w:rsidRDefault="00326BA8" w:rsidP="00326BA8">
      <w:pPr>
        <w:spacing w:after="0" w:line="240" w:lineRule="auto"/>
        <w:jc w:val="both"/>
        <w:outlineLvl w:val="0"/>
        <w:rPr>
          <w:rFonts w:ascii="Times New Roman" w:hAnsi="Times New Roman"/>
          <w:sz w:val="20"/>
          <w:szCs w:val="20"/>
        </w:rPr>
      </w:pPr>
      <w:r w:rsidRPr="00326BA8">
        <w:rPr>
          <w:rFonts w:ascii="Times New Roman" w:hAnsi="Times New Roman"/>
          <w:sz w:val="20"/>
          <w:szCs w:val="20"/>
        </w:rPr>
        <w:t xml:space="preserve">Marbofloxacin (MBX) is an antimicrobial for exclusive veterinary use, relatively new and of which there are few analytical methods for the extraction, identification and quantification in plasma and edible tissues (muscle, liver, kidney, lung, skin) in broiler chickens. The objective of developing a simple, sensitive and efficient extraction and detection method through </w:t>
      </w:r>
      <w:r w:rsidRPr="00326BA8">
        <w:rPr>
          <w:rFonts w:ascii="Times New Roman" w:hAnsi="Times New Roman"/>
          <w:bCs/>
          <w:sz w:val="20"/>
          <w:szCs w:val="20"/>
        </w:rPr>
        <w:t>high</w:t>
      </w:r>
      <w:r w:rsidRPr="00326BA8">
        <w:rPr>
          <w:rFonts w:ascii="Times New Roman" w:hAnsi="Times New Roman"/>
          <w:sz w:val="20"/>
          <w:szCs w:val="20"/>
        </w:rPr>
        <w:t>-</w:t>
      </w:r>
      <w:r w:rsidRPr="00326BA8">
        <w:rPr>
          <w:rFonts w:ascii="Times New Roman" w:hAnsi="Times New Roman"/>
          <w:bCs/>
          <w:sz w:val="20"/>
          <w:szCs w:val="20"/>
        </w:rPr>
        <w:t>performance </w:t>
      </w:r>
      <w:r w:rsidRPr="00326BA8">
        <w:rPr>
          <w:rFonts w:ascii="Times New Roman" w:hAnsi="Times New Roman"/>
          <w:sz w:val="20"/>
          <w:szCs w:val="20"/>
        </w:rPr>
        <w:t xml:space="preserve">liquid chromatography (HPLC) with fluorescence detection. </w:t>
      </w:r>
      <w:r w:rsidRPr="00326BA8">
        <w:rPr>
          <w:rFonts w:ascii="Times New Roman" w:hAnsi="Times New Roman"/>
          <w:bCs/>
          <w:iCs/>
          <w:sz w:val="20"/>
          <w:szCs w:val="20"/>
        </w:rPr>
        <w:t xml:space="preserve">For the preparation of the samples, known concentrations of MBX, enrofloxacin (ENX) as internal standard, methanol, water and perchloric acid, were added to plasma or tissues. Chromatographic conditions were: fluorescence detector at </w:t>
      </w:r>
      <w:r w:rsidRPr="00326BA8">
        <w:rPr>
          <w:rFonts w:ascii="Times New Roman" w:hAnsi="Times New Roman"/>
          <w:bCs/>
          <w:iCs/>
          <w:sz w:val="20"/>
          <w:szCs w:val="20"/>
          <w:lang w:val="es-AR"/>
        </w:rPr>
        <w:t>λ</w:t>
      </w:r>
      <w:r w:rsidRPr="00326BA8">
        <w:rPr>
          <w:rFonts w:ascii="Times New Roman" w:hAnsi="Times New Roman"/>
          <w:bCs/>
          <w:iCs/>
          <w:sz w:val="20"/>
          <w:szCs w:val="20"/>
        </w:rPr>
        <w:t xml:space="preserve">ex 295 and </w:t>
      </w:r>
      <w:r w:rsidRPr="00326BA8">
        <w:rPr>
          <w:rFonts w:ascii="Times New Roman" w:hAnsi="Times New Roman"/>
          <w:bCs/>
          <w:iCs/>
          <w:sz w:val="20"/>
          <w:szCs w:val="20"/>
          <w:lang w:val="es-AR"/>
        </w:rPr>
        <w:t>λ</w:t>
      </w:r>
      <w:r w:rsidRPr="00326BA8">
        <w:rPr>
          <w:rFonts w:ascii="Times New Roman" w:hAnsi="Times New Roman"/>
          <w:bCs/>
          <w:iCs/>
          <w:sz w:val="20"/>
          <w:szCs w:val="20"/>
        </w:rPr>
        <w:t>em 490 nm, mobile phase composed of deionized water, acetonitrile and triethylamine adjusted to pH 3.0. For all matrices, the method was linear (r</w:t>
      </w:r>
      <w:r w:rsidRPr="00326BA8">
        <w:rPr>
          <w:rFonts w:ascii="Times New Roman" w:hAnsi="Times New Roman"/>
          <w:bCs/>
          <w:iCs/>
          <w:sz w:val="20"/>
          <w:szCs w:val="20"/>
          <w:vertAlign w:val="superscript"/>
        </w:rPr>
        <w:t>2</w:t>
      </w:r>
      <w:r w:rsidRPr="00326BA8">
        <w:rPr>
          <w:rFonts w:ascii="Times New Roman" w:hAnsi="Times New Roman"/>
          <w:bCs/>
          <w:iCs/>
          <w:sz w:val="20"/>
          <w:szCs w:val="20"/>
        </w:rPr>
        <w:t xml:space="preserve">= 0.99) for MAR concentrations (0.039 to 2.5 </w:t>
      </w:r>
      <w:r w:rsidRPr="00326BA8">
        <w:rPr>
          <w:rFonts w:ascii="Times New Roman" w:hAnsi="Times New Roman"/>
          <w:bCs/>
          <w:iCs/>
          <w:sz w:val="20"/>
          <w:szCs w:val="20"/>
          <w:lang w:val="es-AR"/>
        </w:rPr>
        <w:t>μ</w:t>
      </w:r>
      <w:r w:rsidRPr="00326BA8">
        <w:rPr>
          <w:rFonts w:ascii="Times New Roman" w:hAnsi="Times New Roman"/>
          <w:bCs/>
          <w:iCs/>
          <w:sz w:val="20"/>
          <w:szCs w:val="20"/>
        </w:rPr>
        <w:t xml:space="preserve">g/ml or gr), with an average retention time for MBX in the different matrices of 3.97 ± 0.144 minutes, and 4.99 ± 0.24 minutes for the internal standard (enrofloxacin). Detection limit in all matrices was less than 0.006 </w:t>
      </w:r>
      <w:r w:rsidRPr="00326BA8">
        <w:rPr>
          <w:rFonts w:ascii="Times New Roman" w:hAnsi="Times New Roman"/>
          <w:bCs/>
          <w:iCs/>
          <w:sz w:val="20"/>
          <w:szCs w:val="20"/>
          <w:lang w:val="es-AR"/>
        </w:rPr>
        <w:t>μ</w:t>
      </w:r>
      <w:r w:rsidRPr="00326BA8">
        <w:rPr>
          <w:rFonts w:ascii="Times New Roman" w:hAnsi="Times New Roman"/>
          <w:bCs/>
          <w:iCs/>
          <w:sz w:val="20"/>
          <w:szCs w:val="20"/>
        </w:rPr>
        <w:t>g/ml, while recoverability percentage was 89 ± 4.65% and variation coefficients in intraday-interday assay ≤ 1.4%, determining the accuracy of the study. The analytical method applied is efficient, sensitive and reliable for future residue determinations or pharmacokinetic studies of marbofloxacin in plasma, muscle, liver, kidney, skin and lung in broiler chickens.</w:t>
      </w:r>
    </w:p>
    <w:p w:rsidR="00326BA8" w:rsidRPr="00326BA8" w:rsidRDefault="00326BA8" w:rsidP="00326BA8">
      <w:pPr>
        <w:spacing w:after="0" w:line="240" w:lineRule="auto"/>
        <w:jc w:val="both"/>
        <w:outlineLvl w:val="0"/>
        <w:rPr>
          <w:rFonts w:ascii="Times New Roman" w:hAnsi="Times New Roman"/>
          <w:sz w:val="20"/>
          <w:szCs w:val="20"/>
        </w:rPr>
      </w:pPr>
    </w:p>
    <w:p w:rsidR="00326BA8" w:rsidRPr="00326BA8" w:rsidRDefault="00326BA8" w:rsidP="00326BA8">
      <w:pPr>
        <w:spacing w:after="0" w:line="240" w:lineRule="auto"/>
        <w:jc w:val="both"/>
        <w:outlineLvl w:val="0"/>
        <w:rPr>
          <w:rFonts w:ascii="Times New Roman" w:hAnsi="Times New Roman"/>
          <w:sz w:val="20"/>
          <w:szCs w:val="20"/>
        </w:rPr>
      </w:pPr>
      <w:r w:rsidRPr="00326BA8">
        <w:rPr>
          <w:rFonts w:ascii="Times New Roman" w:hAnsi="Times New Roman"/>
          <w:b/>
          <w:sz w:val="20"/>
          <w:szCs w:val="20"/>
        </w:rPr>
        <w:t>Keywords</w:t>
      </w:r>
      <w:r w:rsidRPr="00326BA8">
        <w:rPr>
          <w:rFonts w:ascii="Times New Roman" w:hAnsi="Times New Roman"/>
          <w:sz w:val="20"/>
          <w:szCs w:val="20"/>
        </w:rPr>
        <w:t xml:space="preserve">:  marbofloxacin, </w:t>
      </w:r>
      <w:r w:rsidRPr="00326BA8">
        <w:rPr>
          <w:rFonts w:ascii="Times New Roman" w:hAnsi="Times New Roman"/>
          <w:bCs/>
          <w:sz w:val="20"/>
          <w:szCs w:val="20"/>
        </w:rPr>
        <w:t>high</w:t>
      </w:r>
      <w:r w:rsidRPr="00326BA8">
        <w:rPr>
          <w:rFonts w:ascii="Times New Roman" w:hAnsi="Times New Roman"/>
          <w:sz w:val="20"/>
          <w:szCs w:val="20"/>
        </w:rPr>
        <w:t>-</w:t>
      </w:r>
      <w:r w:rsidRPr="00326BA8">
        <w:rPr>
          <w:rFonts w:ascii="Times New Roman" w:hAnsi="Times New Roman"/>
          <w:bCs/>
          <w:sz w:val="20"/>
          <w:szCs w:val="20"/>
        </w:rPr>
        <w:t>performance </w:t>
      </w:r>
      <w:r w:rsidRPr="00326BA8">
        <w:rPr>
          <w:rFonts w:ascii="Times New Roman" w:hAnsi="Times New Roman"/>
          <w:sz w:val="20"/>
          <w:szCs w:val="20"/>
        </w:rPr>
        <w:t>liquid chromatography, chicken</w:t>
      </w:r>
    </w:p>
    <w:p w:rsidR="00326BA8" w:rsidRPr="00326BA8" w:rsidRDefault="00326BA8" w:rsidP="00326BA8">
      <w:pPr>
        <w:spacing w:after="0" w:line="240" w:lineRule="auto"/>
        <w:jc w:val="center"/>
        <w:outlineLvl w:val="0"/>
        <w:rPr>
          <w:rFonts w:ascii="Times New Roman" w:hAnsi="Times New Roman"/>
          <w:b/>
          <w:color w:val="548DD4" w:themeColor="text2" w:themeTint="99"/>
          <w:sz w:val="20"/>
          <w:szCs w:val="20"/>
        </w:rPr>
      </w:pPr>
    </w:p>
    <w:p w:rsidR="00326BA8" w:rsidRPr="00326BA8" w:rsidRDefault="00326BA8" w:rsidP="00326BA8">
      <w:pPr>
        <w:spacing w:after="0" w:line="240" w:lineRule="auto"/>
        <w:jc w:val="center"/>
        <w:outlineLvl w:val="0"/>
        <w:rPr>
          <w:rFonts w:ascii="Times New Roman" w:hAnsi="Times New Roman"/>
          <w:b/>
          <w:sz w:val="20"/>
          <w:szCs w:val="20"/>
        </w:rPr>
      </w:pPr>
      <w:r w:rsidRPr="00326BA8">
        <w:rPr>
          <w:rFonts w:ascii="Times New Roman" w:hAnsi="Times New Roman"/>
          <w:b/>
          <w:sz w:val="20"/>
          <w:szCs w:val="20"/>
        </w:rPr>
        <w:t>Abstrak</w:t>
      </w:r>
    </w:p>
    <w:p w:rsidR="00326BA8" w:rsidRPr="00326BA8" w:rsidRDefault="00326BA8" w:rsidP="00326BA8">
      <w:pPr>
        <w:spacing w:after="0" w:line="240" w:lineRule="auto"/>
        <w:jc w:val="both"/>
        <w:outlineLvl w:val="0"/>
        <w:rPr>
          <w:rFonts w:ascii="Times New Roman" w:hAnsi="Times New Roman"/>
          <w:noProof/>
          <w:sz w:val="20"/>
          <w:szCs w:val="20"/>
          <w:lang w:val="ms-MY"/>
        </w:rPr>
      </w:pPr>
      <w:r w:rsidRPr="00326BA8">
        <w:rPr>
          <w:rFonts w:ascii="Times New Roman" w:hAnsi="Times New Roman"/>
          <w:noProof/>
          <w:sz w:val="20"/>
          <w:szCs w:val="20"/>
          <w:lang w:val="ms-MY"/>
        </w:rPr>
        <w:t xml:space="preserve">Marbofloxacin (MBX) ialah antimikrob yang digunakan secara eksklusif bagi veterinar, secara relatifnya adalah baru dan hanya beberapa kaedah analisis bagi pengekstrakan, pengenalpastian dan kuantifikasi di dalam plasma dan tisu yang boleh di makan (otot, hati, buah pinggang, paru-paru dan kulit) di dalam ayam daging telah di perkenal. Objektif kajian adalah pembangunan kaedah pengesanan yang mudah, sensitif dan berkesan menggunakan kromatografi cecair berprestasi tinggi (HPLC) dengan pengesan pendaflour. Bagi penyediaan sampel, kepekatan MBX, enrofloxacin (ENX) sebagai piawai dalam, metanol, air dan asid perklorik ditambah ke dalam tisu plasma. Tetapan kromatografi adalah: pengesan pendaflour pada </w:t>
      </w:r>
      <w:r w:rsidRPr="00326BA8">
        <w:rPr>
          <w:rFonts w:ascii="Times New Roman" w:hAnsi="Times New Roman"/>
          <w:bCs/>
          <w:iCs/>
          <w:noProof/>
          <w:sz w:val="20"/>
          <w:szCs w:val="20"/>
          <w:lang w:val="ms-MY"/>
        </w:rPr>
        <w:t xml:space="preserve">λex 295 dan λem 490 nm, fasa bergerak terdiri daripada air </w:t>
      </w:r>
      <w:r w:rsidRPr="00326BA8">
        <w:rPr>
          <w:rFonts w:ascii="Times New Roman" w:hAnsi="Times New Roman"/>
          <w:bCs/>
          <w:iCs/>
          <w:noProof/>
          <w:sz w:val="20"/>
          <w:szCs w:val="20"/>
          <w:lang w:val="ms-MY"/>
        </w:rPr>
        <w:lastRenderedPageBreak/>
        <w:t>ternyahion, asetonitril, dan trietilamina yang diselaraskan pada pH 3.0. Bagi semua matriks sampel, kaedah adalah bersifat linear (r</w:t>
      </w:r>
      <w:r w:rsidRPr="00326BA8">
        <w:rPr>
          <w:rFonts w:ascii="Times New Roman" w:hAnsi="Times New Roman"/>
          <w:bCs/>
          <w:iCs/>
          <w:noProof/>
          <w:sz w:val="20"/>
          <w:szCs w:val="20"/>
          <w:vertAlign w:val="superscript"/>
          <w:lang w:val="ms-MY"/>
        </w:rPr>
        <w:t>2</w:t>
      </w:r>
      <w:r w:rsidRPr="00326BA8">
        <w:rPr>
          <w:rFonts w:ascii="Times New Roman" w:hAnsi="Times New Roman"/>
          <w:bCs/>
          <w:iCs/>
          <w:noProof/>
          <w:sz w:val="20"/>
          <w:szCs w:val="20"/>
          <w:lang w:val="ms-MY"/>
        </w:rPr>
        <w:t xml:space="preserve">= 0.99) bagi kepekatan MBX (0.039 hingga 2.5 μg/ml atau μg/g), dengan purata masa tahanan di dalam matriks berbeza ialah 3.97 ± 0.144 minit, dan 4.99 ± 0.24 minit bagi piawai (enrofloxacin). Had pengesan di dalam semua matriks adalah lebih rendah dari nilai 0.006 μg/ml, manakala peratus perolehan semula ialah 89 ± 4.65% dan pekali variasi bagi ujian intra-hari dan inter-hari ≤ 1.4%, menjelaskan kejituan kaedah. Kaedah analisis yang digunapakai adalah efisien, sensitif, dan dipercayai bagi tujuan penentuan sisa atau kajian farmakokinetik marbofloxacin di dalam plasma, otot, hati, buah pinggang, kulit dan paru-paru ayam daging. </w:t>
      </w:r>
    </w:p>
    <w:p w:rsidR="00326BA8" w:rsidRPr="00326BA8" w:rsidRDefault="00326BA8" w:rsidP="00326BA8">
      <w:pPr>
        <w:spacing w:after="0" w:line="240" w:lineRule="auto"/>
        <w:jc w:val="both"/>
        <w:outlineLvl w:val="0"/>
        <w:rPr>
          <w:rFonts w:ascii="Times New Roman" w:hAnsi="Times New Roman"/>
          <w:sz w:val="20"/>
          <w:szCs w:val="20"/>
        </w:rPr>
      </w:pPr>
    </w:p>
    <w:p w:rsidR="00AE27F8" w:rsidRDefault="00326BA8" w:rsidP="00326BA8">
      <w:pPr>
        <w:spacing w:after="0" w:line="240" w:lineRule="auto"/>
        <w:jc w:val="both"/>
        <w:outlineLvl w:val="0"/>
        <w:rPr>
          <w:rFonts w:ascii="Times New Roman" w:hAnsi="Times New Roman"/>
          <w:noProof/>
          <w:sz w:val="20"/>
          <w:szCs w:val="20"/>
          <w:lang w:val="ms-MY"/>
        </w:rPr>
      </w:pPr>
      <w:r w:rsidRPr="00326BA8">
        <w:rPr>
          <w:rFonts w:ascii="Times New Roman" w:hAnsi="Times New Roman"/>
          <w:b/>
          <w:sz w:val="20"/>
          <w:szCs w:val="20"/>
        </w:rPr>
        <w:t>Kata kunci</w:t>
      </w:r>
      <w:r w:rsidRPr="00326BA8">
        <w:rPr>
          <w:rFonts w:ascii="Times New Roman" w:hAnsi="Times New Roman"/>
          <w:b/>
          <w:color w:val="4F81BD" w:themeColor="accent1"/>
          <w:sz w:val="20"/>
          <w:szCs w:val="20"/>
        </w:rPr>
        <w:t xml:space="preserve">:  </w:t>
      </w:r>
      <w:r w:rsidRPr="00326BA8">
        <w:rPr>
          <w:rFonts w:ascii="Times New Roman" w:hAnsi="Times New Roman"/>
          <w:noProof/>
          <w:sz w:val="20"/>
          <w:szCs w:val="20"/>
          <w:lang w:val="ms-MY"/>
        </w:rPr>
        <w:t>marbofloxacin, kromatografi cecair berprestasi tinggi, ayam</w:t>
      </w:r>
    </w:p>
    <w:p w:rsidR="00326BA8" w:rsidRDefault="00326BA8" w:rsidP="00326BA8">
      <w:pPr>
        <w:spacing w:after="0" w:line="240" w:lineRule="auto"/>
        <w:jc w:val="both"/>
        <w:outlineLvl w:val="0"/>
        <w:rPr>
          <w:rFonts w:ascii="Times New Roman" w:hAnsi="Times New Roman"/>
          <w:noProof/>
          <w:sz w:val="20"/>
          <w:szCs w:val="20"/>
          <w:lang w:val="ms-MY"/>
        </w:rPr>
      </w:pPr>
    </w:p>
    <w:p w:rsidR="00326BA8" w:rsidRDefault="00326BA8" w:rsidP="00326BA8">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Hermo, M. P., Barrón, D. and Barbosa, J. (2006).  Development  of  analytical  methods  for  multiresidue determination of quinolones in pig muscle samples by liquid chromatography with ultraviolet detection, liquid chromatography–mass  spectrometry and liquid chromagraphy–tandem mass spectrometry. </w:t>
      </w:r>
      <w:r w:rsidRPr="00DE6ECD">
        <w:rPr>
          <w:rFonts w:ascii="Times New Roman" w:hAnsi="Times New Roman"/>
          <w:i/>
          <w:iCs/>
          <w:noProof/>
          <w:sz w:val="20"/>
          <w:szCs w:val="20"/>
          <w:lang w:val="en-GB"/>
        </w:rPr>
        <w:t>Journal of Chromatography A</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1104</w:t>
      </w:r>
      <w:r w:rsidRPr="00DE6ECD">
        <w:rPr>
          <w:rFonts w:ascii="Times New Roman" w:hAnsi="Times New Roman"/>
          <w:noProof/>
          <w:sz w:val="20"/>
          <w:szCs w:val="20"/>
          <w:lang w:val="en-GB"/>
        </w:rPr>
        <w:t>(1): 132-139.</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Garcia, M. A., Solans, C., Aramayona, J. J., Rueda, S. and Bregante, M. A. (1999). Determination of marbofloxacin in plasma samples by high-performance liquid chromatography using fluorescence detection. </w:t>
      </w:r>
      <w:r w:rsidRPr="00DE6ECD">
        <w:rPr>
          <w:rFonts w:ascii="Times New Roman" w:hAnsi="Times New Roman"/>
          <w:i/>
          <w:iCs/>
          <w:noProof/>
          <w:sz w:val="20"/>
          <w:szCs w:val="20"/>
          <w:lang w:val="en-GB"/>
        </w:rPr>
        <w:t>Journal of Chromatography B: Biomedical Sciences and Applications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729</w:t>
      </w:r>
      <w:r w:rsidRPr="00DE6ECD">
        <w:rPr>
          <w:rFonts w:ascii="Times New Roman" w:hAnsi="Times New Roman"/>
          <w:noProof/>
          <w:sz w:val="20"/>
          <w:szCs w:val="20"/>
          <w:lang w:val="en-GB"/>
        </w:rPr>
        <w:t>(1): 157-161.</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Talero-Pérez, Y. V., Medina, O. J. and Rozo-Núñez, W. (2014). Técnicas analíticas contemporáneas para la identificación de residuos de sulfonamidas, quinolonas y cloranfenicol. </w:t>
      </w:r>
      <w:r w:rsidRPr="00DE6ECD">
        <w:rPr>
          <w:rFonts w:ascii="Times New Roman" w:hAnsi="Times New Roman"/>
          <w:i/>
          <w:iCs/>
          <w:noProof/>
          <w:sz w:val="20"/>
          <w:szCs w:val="20"/>
          <w:lang w:val="en-GB"/>
        </w:rPr>
        <w:t>Universitas Scientiarum</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19</w:t>
      </w:r>
      <w:r w:rsidRPr="00DE6ECD">
        <w:rPr>
          <w:rFonts w:ascii="Times New Roman" w:hAnsi="Times New Roman"/>
          <w:noProof/>
          <w:sz w:val="20"/>
          <w:szCs w:val="20"/>
          <w:lang w:val="en-GB"/>
        </w:rPr>
        <w:t>(1):11-29.</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 xml:space="preserve">Teixeira, A. M. (2009). Determinação de resíduos de fluoroquinolonas em amostras de tecido muscular de frangos e respectivo </w:t>
      </w:r>
      <w:r>
        <w:rPr>
          <w:rFonts w:ascii="Times New Roman" w:hAnsi="Times New Roman"/>
          <w:noProof/>
          <w:sz w:val="20"/>
          <w:szCs w:val="20"/>
          <w:lang w:val="en-GB"/>
        </w:rPr>
        <w:t xml:space="preserve"> </w:t>
      </w:r>
      <w:r w:rsidRPr="00DE6ECD">
        <w:rPr>
          <w:rFonts w:ascii="Times New Roman" w:hAnsi="Times New Roman"/>
          <w:noProof/>
          <w:sz w:val="20"/>
          <w:szCs w:val="20"/>
          <w:lang w:val="en-GB"/>
        </w:rPr>
        <w:t xml:space="preserve">impacto </w:t>
      </w:r>
      <w:r>
        <w:rPr>
          <w:rFonts w:ascii="Times New Roman" w:hAnsi="Times New Roman"/>
          <w:noProof/>
          <w:sz w:val="20"/>
          <w:szCs w:val="20"/>
          <w:lang w:val="en-GB"/>
        </w:rPr>
        <w:t xml:space="preserve"> </w:t>
      </w:r>
      <w:r w:rsidRPr="00DE6ECD">
        <w:rPr>
          <w:rFonts w:ascii="Times New Roman" w:hAnsi="Times New Roman"/>
          <w:noProof/>
          <w:sz w:val="20"/>
          <w:szCs w:val="20"/>
          <w:lang w:val="en-GB"/>
        </w:rPr>
        <w:t>na saúde humana. Tesis doctorado de Universidade de Coimbra. Portugal: pp. 44-45.</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Landoni, M. F. and Albarellos, G. (2015). The use of antimicrobial agents in broiler chickens. </w:t>
      </w:r>
      <w:r w:rsidRPr="00DE6ECD">
        <w:rPr>
          <w:rFonts w:ascii="Times New Roman" w:hAnsi="Times New Roman"/>
          <w:i/>
          <w:iCs/>
          <w:noProof/>
          <w:sz w:val="20"/>
          <w:szCs w:val="20"/>
          <w:lang w:val="en-GB"/>
        </w:rPr>
        <w:t>The Veterinary Journal</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205</w:t>
      </w:r>
      <w:r w:rsidRPr="00DE6ECD">
        <w:rPr>
          <w:rFonts w:ascii="Times New Roman" w:hAnsi="Times New Roman"/>
          <w:noProof/>
          <w:sz w:val="20"/>
          <w:szCs w:val="20"/>
          <w:lang w:val="en-GB"/>
        </w:rPr>
        <w:t>(1): 21-27.</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Anadón A., Martínez-Larragaña, M. R. Días, M. J., Martínez, M. A., Frejo, M. T. Martínez, M., Tafur, M. and Castellano, V. J. (2002). Pharmacokinetic characteristics and tissue residues for marbofloxacin and its metabolite N-desmethyl-marbofloxacin in broiler chickens. </w:t>
      </w:r>
      <w:r w:rsidRPr="00DE6ECD">
        <w:rPr>
          <w:rFonts w:ascii="Times New Roman" w:hAnsi="Times New Roman"/>
          <w:i/>
          <w:iCs/>
          <w:noProof/>
          <w:sz w:val="20"/>
          <w:szCs w:val="20"/>
          <w:lang w:val="en-GB"/>
        </w:rPr>
        <w:t>American Journal of Veterinary Research</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63</w:t>
      </w:r>
      <w:r w:rsidRPr="00DE6ECD">
        <w:rPr>
          <w:rFonts w:ascii="Times New Roman" w:hAnsi="Times New Roman"/>
          <w:noProof/>
          <w:sz w:val="20"/>
          <w:szCs w:val="20"/>
          <w:lang w:val="en-GB"/>
        </w:rPr>
        <w:t>(7): 927-933.</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Spreng, M., Deleforge, J., Thomas, V., Boisrame, B. and Drugeon, H. (1995). Antibacterial activity of marbofloxacin. A new fluoroquinolone for veterinary use against canine and feline isolates. </w:t>
      </w:r>
      <w:r w:rsidRPr="00DE6ECD">
        <w:rPr>
          <w:rFonts w:ascii="Times New Roman" w:hAnsi="Times New Roman"/>
          <w:i/>
          <w:iCs/>
          <w:noProof/>
          <w:sz w:val="20"/>
          <w:szCs w:val="20"/>
          <w:lang w:val="en-GB"/>
        </w:rPr>
        <w:t>Journal of Veterinary Pharmacology and Therapeutics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18</w:t>
      </w:r>
      <w:r w:rsidRPr="00DE6ECD">
        <w:rPr>
          <w:rFonts w:ascii="Times New Roman" w:hAnsi="Times New Roman"/>
          <w:noProof/>
          <w:sz w:val="20"/>
          <w:szCs w:val="20"/>
          <w:lang w:val="en-GB"/>
        </w:rPr>
        <w:t xml:space="preserve">(4): 284-289. </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 xml:space="preserve">Ding, H., Wang, L., Shen, X., Gu, X., Zeng, D. and Zeng, Z. (2013). Plasma and tissue pharmacokinetics of marbofloxacin in experimentally infected chickens with </w:t>
      </w:r>
      <w:r w:rsidRPr="00DE6ECD">
        <w:rPr>
          <w:rFonts w:ascii="Times New Roman" w:hAnsi="Times New Roman"/>
          <w:i/>
          <w:noProof/>
          <w:sz w:val="20"/>
          <w:szCs w:val="20"/>
          <w:lang w:val="en-GB"/>
        </w:rPr>
        <w:t>Mycoplasma gallisepticum</w:t>
      </w:r>
      <w:r w:rsidRPr="00DE6ECD">
        <w:rPr>
          <w:rFonts w:ascii="Times New Roman" w:hAnsi="Times New Roman"/>
          <w:noProof/>
          <w:sz w:val="20"/>
          <w:szCs w:val="20"/>
          <w:lang w:val="en-GB"/>
        </w:rPr>
        <w:t xml:space="preserve"> and </w:t>
      </w:r>
      <w:r w:rsidRPr="00DE6ECD">
        <w:rPr>
          <w:rFonts w:ascii="Times New Roman" w:hAnsi="Times New Roman"/>
          <w:i/>
          <w:noProof/>
          <w:sz w:val="20"/>
          <w:szCs w:val="20"/>
          <w:lang w:val="en-GB"/>
        </w:rPr>
        <w:t>Escherichia coli.</w:t>
      </w:r>
      <w:r w:rsidRPr="00DE6ECD">
        <w:rPr>
          <w:rFonts w:ascii="Times New Roman" w:hAnsi="Times New Roman"/>
          <w:noProof/>
          <w:sz w:val="20"/>
          <w:szCs w:val="20"/>
          <w:lang w:val="en-GB"/>
        </w:rPr>
        <w:t> </w:t>
      </w:r>
      <w:r w:rsidRPr="00DE6ECD">
        <w:rPr>
          <w:rFonts w:ascii="Times New Roman" w:hAnsi="Times New Roman"/>
          <w:i/>
          <w:iCs/>
          <w:noProof/>
          <w:sz w:val="20"/>
          <w:szCs w:val="20"/>
          <w:lang w:val="en-GB"/>
        </w:rPr>
        <w:t>Journal of Veterinary Pharmacology and Therapeutics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36</w:t>
      </w:r>
      <w:r w:rsidRPr="00DE6ECD">
        <w:rPr>
          <w:rFonts w:ascii="Times New Roman" w:hAnsi="Times New Roman"/>
          <w:noProof/>
          <w:sz w:val="20"/>
          <w:szCs w:val="20"/>
          <w:lang w:val="en-GB"/>
        </w:rPr>
        <w:t xml:space="preserve">(5): 511-515. </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El-Komy, A., Attia, T., El Latif, A. A. and Fathy, H. (2016). Bioavailability pharmacokinetics and residues of marbofloxacin in normal and E. coli infected broiler chicken. </w:t>
      </w:r>
      <w:r w:rsidRPr="00DE6ECD">
        <w:rPr>
          <w:rFonts w:ascii="Times New Roman" w:hAnsi="Times New Roman"/>
          <w:i/>
          <w:iCs/>
          <w:noProof/>
          <w:sz w:val="20"/>
          <w:szCs w:val="20"/>
          <w:lang w:val="en-GB"/>
        </w:rPr>
        <w:t>International Journal of Pharmacology and Toxicology</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4</w:t>
      </w:r>
      <w:r w:rsidRPr="00DE6ECD">
        <w:rPr>
          <w:rFonts w:ascii="Times New Roman" w:hAnsi="Times New Roman"/>
          <w:noProof/>
          <w:sz w:val="20"/>
          <w:szCs w:val="20"/>
          <w:lang w:val="en-GB"/>
        </w:rPr>
        <w:t>(2): 144-149.</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 xml:space="preserve">Huang, X. H., Chen, Z. L. and Zhang, S. T. (2003). Influence of experimentally </w:t>
      </w:r>
      <w:r w:rsidRPr="00DE6ECD">
        <w:rPr>
          <w:rFonts w:ascii="Times New Roman" w:hAnsi="Times New Roman"/>
          <w:i/>
          <w:noProof/>
          <w:sz w:val="20"/>
          <w:szCs w:val="20"/>
          <w:lang w:val="en-GB"/>
        </w:rPr>
        <w:t>Pasteurella multocida</w:t>
      </w:r>
      <w:r w:rsidRPr="00DE6ECD">
        <w:rPr>
          <w:rFonts w:ascii="Times New Roman" w:hAnsi="Times New Roman"/>
          <w:noProof/>
          <w:sz w:val="20"/>
          <w:szCs w:val="20"/>
          <w:lang w:val="en-GB"/>
        </w:rPr>
        <w:t xml:space="preserve"> infection on the pharmacokinetics of marbofloxacin in broiler chickens. </w:t>
      </w:r>
      <w:r w:rsidRPr="00DE6ECD">
        <w:rPr>
          <w:rFonts w:ascii="Times New Roman" w:hAnsi="Times New Roman"/>
          <w:i/>
          <w:iCs/>
          <w:noProof/>
          <w:sz w:val="20"/>
          <w:szCs w:val="20"/>
          <w:lang w:val="en-GB"/>
        </w:rPr>
        <w:t>Acta Veterinaria et Zootechnica Sinica</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34</w:t>
      </w:r>
      <w:r w:rsidRPr="00DE6ECD">
        <w:rPr>
          <w:rFonts w:ascii="Times New Roman" w:hAnsi="Times New Roman"/>
          <w:noProof/>
          <w:sz w:val="20"/>
          <w:szCs w:val="20"/>
          <w:lang w:val="en-GB"/>
        </w:rPr>
        <w:t>(1): 98-102.</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Verdon, E., Couëdor, P. and Sanders, P. (2004). Validation of a multi-quinolone, multi-matrix, multi-species method for the determination of quinolone residues by HPLC with fluorescence detection.  CRL AFSSA  LERMVD.  Posters.</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 xml:space="preserve">Zhao, S. Jiang, H.  Li, X.  Mi, T. Li, C. and Shen, J. (2007). Simultaneous determination of trace levels of 10 quinolones in swine, chicken, and shrimp muscle tissues using HPLC with programmable fluorescence detection. </w:t>
      </w:r>
      <w:r w:rsidRPr="00DE6ECD">
        <w:rPr>
          <w:rFonts w:ascii="Times New Roman" w:hAnsi="Times New Roman"/>
          <w:i/>
          <w:noProof/>
          <w:sz w:val="20"/>
          <w:szCs w:val="20"/>
          <w:lang w:val="en-GB"/>
        </w:rPr>
        <w:t>Journal of Agricultural and Food Chemistry</w:t>
      </w:r>
      <w:r w:rsidRPr="00DE6ECD">
        <w:rPr>
          <w:rFonts w:ascii="Times New Roman" w:hAnsi="Times New Roman"/>
          <w:noProof/>
          <w:sz w:val="20"/>
          <w:szCs w:val="20"/>
          <w:lang w:val="en-GB"/>
        </w:rPr>
        <w:t>, 55(10): 3829-3834.</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Yang, F., Yang, Y. R., Wang, L., Huang, X. H., Qiao, G. and Zeng, Z. L. (2014). Estimating marbofloxacin withdrawal time in broiler chickens using a population physiologically based pharmacokinetics model. </w:t>
      </w:r>
      <w:r w:rsidRPr="00DE6ECD">
        <w:rPr>
          <w:rFonts w:ascii="Times New Roman" w:hAnsi="Times New Roman"/>
          <w:i/>
          <w:iCs/>
          <w:noProof/>
          <w:sz w:val="20"/>
          <w:szCs w:val="20"/>
          <w:lang w:val="en-GB"/>
        </w:rPr>
        <w:t>Journal of Veterinary Pharmacology and Therapeutics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37</w:t>
      </w:r>
      <w:r w:rsidRPr="00DE6ECD">
        <w:rPr>
          <w:rFonts w:ascii="Times New Roman" w:hAnsi="Times New Roman"/>
          <w:noProof/>
          <w:sz w:val="20"/>
          <w:szCs w:val="20"/>
          <w:lang w:val="en-GB"/>
        </w:rPr>
        <w:t>(6): 579-588.</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Yorke, J. C. and Froc, P. (2000). Quantitation of nine quinolones in chicken tissues by high-performance liquid chromatography with fluorescence detection. </w:t>
      </w:r>
      <w:r w:rsidRPr="00DE6ECD">
        <w:rPr>
          <w:rFonts w:ascii="Times New Roman" w:hAnsi="Times New Roman"/>
          <w:i/>
          <w:iCs/>
          <w:noProof/>
          <w:sz w:val="20"/>
          <w:szCs w:val="20"/>
          <w:lang w:val="en-GB"/>
        </w:rPr>
        <w:t>Journal of Chromatography A</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882</w:t>
      </w:r>
      <w:r w:rsidRPr="00DE6ECD">
        <w:rPr>
          <w:rFonts w:ascii="Times New Roman" w:hAnsi="Times New Roman"/>
          <w:noProof/>
          <w:sz w:val="20"/>
          <w:szCs w:val="20"/>
          <w:lang w:val="en-GB"/>
        </w:rPr>
        <w:t xml:space="preserve">(1): 63-77. </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lastRenderedPageBreak/>
        <w:t>Gigosos, P. G., Revesado, P. R., Cadahıa, O., Fente, C. A., Vazquez, B. I., Franco, C. M. and Cepeda, A. (2000). Determination of quinolones in animal tissues and eggs by high-performance liquid chromatography with photodiode-array detection. </w:t>
      </w:r>
      <w:r w:rsidRPr="00DE6ECD">
        <w:rPr>
          <w:rFonts w:ascii="Times New Roman" w:hAnsi="Times New Roman"/>
          <w:i/>
          <w:iCs/>
          <w:noProof/>
          <w:sz w:val="20"/>
          <w:szCs w:val="20"/>
          <w:lang w:val="en-GB"/>
        </w:rPr>
        <w:t>Journal of Chromatography A</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871</w:t>
      </w:r>
      <w:r w:rsidRPr="00DE6ECD">
        <w:rPr>
          <w:rFonts w:ascii="Times New Roman" w:hAnsi="Times New Roman"/>
          <w:noProof/>
          <w:sz w:val="20"/>
          <w:szCs w:val="20"/>
          <w:lang w:val="en-GB"/>
        </w:rPr>
        <w:t xml:space="preserve">(1): 31-36. </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Yu, H., Tao, Y., Chen, D., Pan, Y., Liu, Z., Wang, Y. and Yuan, Z. (2012). Simultaneous determination of fluoroquinolones in foods of animal origin by a high performance liquid chromatography and a liquid chromatography tandem mass spectrometry with accelerated solvent extraction. </w:t>
      </w:r>
      <w:r w:rsidRPr="00DE6ECD">
        <w:rPr>
          <w:rFonts w:ascii="Times New Roman" w:hAnsi="Times New Roman"/>
          <w:i/>
          <w:iCs/>
          <w:noProof/>
          <w:sz w:val="20"/>
          <w:szCs w:val="20"/>
          <w:lang w:val="en-GB"/>
        </w:rPr>
        <w:t>Journal of Chromatography B</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885</w:t>
      </w:r>
      <w:r w:rsidRPr="00DE6ECD">
        <w:rPr>
          <w:rFonts w:ascii="Times New Roman" w:hAnsi="Times New Roman"/>
          <w:noProof/>
          <w:sz w:val="20"/>
          <w:szCs w:val="20"/>
          <w:lang w:val="en-GB"/>
        </w:rPr>
        <w:t>: 150-159.</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Rocha, D. G., Santos, F. A., da Silva, J. C. C., Augusti, R. and Faria, A. F. (2015). Multiresidue determination of fluoroquinolones in poultry muscle and kidney according to the regulation 2002/657/EC. A systematic comparison of two different approaches: Liquid chromatography coupled to high-resolution mass spectrometry or tandem mass spectrometry. </w:t>
      </w:r>
      <w:r w:rsidRPr="00DE6ECD">
        <w:rPr>
          <w:rFonts w:ascii="Times New Roman" w:hAnsi="Times New Roman"/>
          <w:i/>
          <w:iCs/>
          <w:noProof/>
          <w:sz w:val="20"/>
          <w:szCs w:val="20"/>
          <w:lang w:val="en-GB"/>
        </w:rPr>
        <w:t>Journal of Chromatography A</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1379</w:t>
      </w:r>
      <w:r w:rsidRPr="00DE6ECD">
        <w:rPr>
          <w:rFonts w:ascii="Times New Roman" w:hAnsi="Times New Roman"/>
          <w:noProof/>
          <w:sz w:val="20"/>
          <w:szCs w:val="20"/>
          <w:lang w:val="en-GB"/>
        </w:rPr>
        <w:t>: 83-91.</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Valle, M., Schneider, M., Galland, D., Giboin, H. and Woehrle, F. (2012). Pharmacokinetic and pharmacodynamic testing of marbofloxacin administered as a single injection for the treatment of bovine respiratory disease. </w:t>
      </w:r>
      <w:r w:rsidRPr="00DE6ECD">
        <w:rPr>
          <w:rFonts w:ascii="Times New Roman" w:hAnsi="Times New Roman"/>
          <w:i/>
          <w:iCs/>
          <w:noProof/>
          <w:sz w:val="20"/>
          <w:szCs w:val="20"/>
          <w:lang w:val="en-GB"/>
        </w:rPr>
        <w:t>Journal of Veterinary Pharmacology And Therapeutics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35</w:t>
      </w:r>
      <w:r w:rsidRPr="00DE6ECD">
        <w:rPr>
          <w:rFonts w:ascii="Times New Roman" w:hAnsi="Times New Roman"/>
          <w:noProof/>
          <w:sz w:val="20"/>
          <w:szCs w:val="20"/>
          <w:lang w:val="en-GB"/>
        </w:rPr>
        <w:t>(6): 519-528.</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Silva, N. and Sousa, M. (2017). Is marbofloxacin a good candidate for treating pigs in Europe?. </w:t>
      </w:r>
      <w:r w:rsidRPr="00DE6ECD">
        <w:rPr>
          <w:rFonts w:ascii="Times New Roman" w:hAnsi="Times New Roman"/>
          <w:i/>
          <w:iCs/>
          <w:noProof/>
          <w:sz w:val="20"/>
          <w:szCs w:val="20"/>
          <w:lang w:val="en-GB"/>
        </w:rPr>
        <w:t>Veterinary Record</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180</w:t>
      </w:r>
      <w:r w:rsidRPr="00DE6ECD">
        <w:rPr>
          <w:rFonts w:ascii="Times New Roman" w:hAnsi="Times New Roman"/>
          <w:noProof/>
          <w:sz w:val="20"/>
          <w:szCs w:val="20"/>
          <w:lang w:val="en-GB"/>
        </w:rPr>
        <w:t>(24): 588-590.</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Böttcher, S., Baum, H. V., Hoppe-Tichy, T., Benz, C. and Sonntag, H. G. (2001). An HPLC assay and a microbiological assay to determine levofloxacin in soft tissue, bone, bile and serum. </w:t>
      </w:r>
      <w:r w:rsidRPr="00DE6ECD">
        <w:rPr>
          <w:rFonts w:ascii="Times New Roman" w:hAnsi="Times New Roman"/>
          <w:i/>
          <w:iCs/>
          <w:noProof/>
          <w:sz w:val="20"/>
          <w:szCs w:val="20"/>
          <w:lang w:val="en-GB"/>
        </w:rPr>
        <w:t>Journal of Pharmaceutical and Biomedical Analysis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25</w:t>
      </w:r>
      <w:r w:rsidRPr="00DE6ECD">
        <w:rPr>
          <w:rFonts w:ascii="Times New Roman" w:hAnsi="Times New Roman"/>
          <w:noProof/>
          <w:sz w:val="20"/>
          <w:szCs w:val="20"/>
          <w:lang w:val="en-GB"/>
        </w:rPr>
        <w:t xml:space="preserve">(2): 197-203. </w:t>
      </w:r>
    </w:p>
    <w:p w:rsidR="00326BA8"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EMEA. 2002, 2002/657/EC: Commission Decision of 12 August 2002 implementing Council Directive 96/23/EC concerning the performance of analytical methods and the interpretation of results (Text with EEA relevance) (notified under document number C (3044), European Medicines Agency.</w:t>
      </w:r>
    </w:p>
    <w:p w:rsidR="00326BA8" w:rsidRPr="00DE6ECD" w:rsidRDefault="00326BA8" w:rsidP="00326BA8">
      <w:pPr>
        <w:pStyle w:val="ListParagraph"/>
        <w:numPr>
          <w:ilvl w:val="0"/>
          <w:numId w:val="1"/>
        </w:numPr>
        <w:spacing w:after="0" w:line="240" w:lineRule="auto"/>
        <w:ind w:left="360"/>
        <w:jc w:val="both"/>
        <w:rPr>
          <w:rFonts w:ascii="Times New Roman" w:hAnsi="Times New Roman"/>
          <w:noProof/>
          <w:sz w:val="20"/>
          <w:szCs w:val="20"/>
          <w:lang w:val="en-GB"/>
        </w:rPr>
      </w:pPr>
      <w:r w:rsidRPr="00DE6ECD">
        <w:rPr>
          <w:rFonts w:ascii="Times New Roman" w:hAnsi="Times New Roman"/>
          <w:bCs/>
          <w:noProof/>
          <w:sz w:val="20"/>
          <w:szCs w:val="20"/>
          <w:lang w:val="en-GB"/>
        </w:rPr>
        <w:t>Bailac, S., Ballesteros, O., Jiménez-Lozano, E., Barrón, D., Sanz-Nebot, V., Navalón A. and Barbosa, J. (2004). Determination of quinolones in chicken tissues by liquid chromatography with ultraviolet absorbance detection. </w:t>
      </w:r>
      <w:r w:rsidRPr="00DE6ECD">
        <w:rPr>
          <w:rFonts w:ascii="Times New Roman" w:hAnsi="Times New Roman"/>
          <w:bCs/>
          <w:i/>
          <w:noProof/>
          <w:sz w:val="20"/>
          <w:szCs w:val="20"/>
          <w:lang w:val="en-GB"/>
        </w:rPr>
        <w:t xml:space="preserve">Journal Chromatography. </w:t>
      </w:r>
      <w:r w:rsidRPr="00DE6ECD">
        <w:rPr>
          <w:rFonts w:ascii="Times New Roman" w:hAnsi="Times New Roman"/>
          <w:bCs/>
          <w:i/>
          <w:iCs/>
          <w:noProof/>
          <w:sz w:val="20"/>
          <w:szCs w:val="20"/>
          <w:lang w:val="en-GB"/>
        </w:rPr>
        <w:t>A</w:t>
      </w:r>
      <w:r w:rsidRPr="00DE6ECD">
        <w:rPr>
          <w:rFonts w:ascii="Times New Roman" w:hAnsi="Times New Roman"/>
          <w:bCs/>
          <w:noProof/>
          <w:sz w:val="20"/>
          <w:szCs w:val="20"/>
          <w:lang w:val="en-GB"/>
        </w:rPr>
        <w:t>, </w:t>
      </w:r>
      <w:r w:rsidRPr="00DE6ECD">
        <w:rPr>
          <w:rFonts w:ascii="Times New Roman" w:hAnsi="Times New Roman"/>
          <w:bCs/>
          <w:iCs/>
          <w:noProof/>
          <w:sz w:val="20"/>
          <w:szCs w:val="20"/>
          <w:lang w:val="en-GB"/>
        </w:rPr>
        <w:t xml:space="preserve">1029 </w:t>
      </w:r>
      <w:r w:rsidRPr="00DE6ECD">
        <w:rPr>
          <w:rFonts w:ascii="Times New Roman" w:hAnsi="Times New Roman"/>
          <w:bCs/>
          <w:noProof/>
          <w:sz w:val="20"/>
          <w:szCs w:val="20"/>
          <w:lang w:val="en-GB"/>
        </w:rPr>
        <w:t>(1):145-151.</w:t>
      </w:r>
    </w:p>
    <w:p w:rsidR="00326BA8" w:rsidRPr="00326BA8" w:rsidRDefault="00326BA8" w:rsidP="00326BA8">
      <w:pPr>
        <w:spacing w:after="0" w:line="240" w:lineRule="auto"/>
        <w:jc w:val="both"/>
        <w:outlineLvl w:val="0"/>
        <w:rPr>
          <w:rFonts w:ascii="Times New Roman" w:hAnsi="Times New Roman"/>
          <w:sz w:val="20"/>
          <w:szCs w:val="20"/>
        </w:rPr>
      </w:pPr>
      <w:bookmarkStart w:id="0" w:name="_GoBack"/>
      <w:bookmarkEnd w:id="0"/>
    </w:p>
    <w:sectPr w:rsidR="00326BA8" w:rsidRPr="00326BA8" w:rsidSect="00326BA8">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270C6E"/>
    <w:multiLevelType w:val="hybridMultilevel"/>
    <w:tmpl w:val="28B28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BA8"/>
    <w:rsid w:val="00326BA8"/>
    <w:rsid w:val="00AE27F8"/>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BA8"/>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B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BA8"/>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B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1455</Words>
  <Characters>8428</Characters>
  <Application>Microsoft Office Word</Application>
  <DocSecurity>0</DocSecurity>
  <Lines>168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2018-03-04T01:47:00Z</dcterms:created>
  <dcterms:modified xsi:type="dcterms:W3CDTF">2018-03-04T01:50:00Z</dcterms:modified>
</cp:coreProperties>
</file>