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061" w:rsidRDefault="00E84061" w:rsidP="00E84061">
      <w:pPr>
        <w:spacing w:after="0" w:line="240" w:lineRule="auto"/>
        <w:rPr>
          <w:rFonts w:ascii="Times New Roman" w:hAnsi="Times New Roman"/>
          <w:sz w:val="24"/>
          <w:szCs w:val="24"/>
        </w:rPr>
      </w:pPr>
      <w:r>
        <w:rPr>
          <w:rFonts w:ascii="Times New Roman" w:hAnsi="Times New Roman"/>
          <w:sz w:val="24"/>
          <w:szCs w:val="24"/>
        </w:rPr>
        <w:t>Malaysian Journal of Analytical Sciences Vol 22 No 2 (2018): 203 - 218</w:t>
      </w:r>
    </w:p>
    <w:p w:rsidR="00E84061" w:rsidRDefault="00E84061" w:rsidP="00E84061">
      <w:pPr>
        <w:spacing w:after="0" w:line="240" w:lineRule="auto"/>
        <w:rPr>
          <w:rFonts w:ascii="Times New Roman" w:hAnsi="Times New Roman"/>
          <w:sz w:val="24"/>
          <w:szCs w:val="24"/>
        </w:rPr>
      </w:pPr>
    </w:p>
    <w:p w:rsidR="00E84061" w:rsidRDefault="00E84061" w:rsidP="00E84061">
      <w:pPr>
        <w:spacing w:after="0" w:line="240" w:lineRule="auto"/>
        <w:rPr>
          <w:rFonts w:ascii="Times New Roman" w:hAnsi="Times New Roman"/>
          <w:sz w:val="24"/>
          <w:szCs w:val="24"/>
        </w:rPr>
      </w:pPr>
    </w:p>
    <w:p w:rsidR="00E84061" w:rsidRPr="00E84061" w:rsidRDefault="00E84061" w:rsidP="00E84061">
      <w:pPr>
        <w:spacing w:after="0" w:line="240" w:lineRule="auto"/>
        <w:rPr>
          <w:rFonts w:ascii="Times New Roman" w:hAnsi="Times New Roman"/>
          <w:sz w:val="24"/>
          <w:szCs w:val="24"/>
        </w:rPr>
      </w:pPr>
    </w:p>
    <w:p w:rsidR="00E84061" w:rsidRPr="001E7F57" w:rsidRDefault="00E84061" w:rsidP="00E84061">
      <w:pPr>
        <w:spacing w:after="0" w:line="240" w:lineRule="auto"/>
        <w:jc w:val="center"/>
        <w:rPr>
          <w:rFonts w:ascii="Times New Roman" w:hAnsi="Times New Roman"/>
          <w:sz w:val="28"/>
          <w:szCs w:val="28"/>
        </w:rPr>
      </w:pPr>
      <w:r w:rsidRPr="001E7F57">
        <w:rPr>
          <w:rFonts w:ascii="Times New Roman" w:hAnsi="Times New Roman"/>
          <w:sz w:val="28"/>
          <w:szCs w:val="28"/>
        </w:rPr>
        <w:t xml:space="preserve">RESPONSE SURFACE METHODOLOGY ON THE EFFECTS OF </w:t>
      </w:r>
    </w:p>
    <w:p w:rsidR="00E84061" w:rsidRPr="001E7F57" w:rsidRDefault="00E84061" w:rsidP="00E84061">
      <w:pPr>
        <w:spacing w:after="0" w:line="240" w:lineRule="auto"/>
        <w:jc w:val="center"/>
        <w:rPr>
          <w:rFonts w:ascii="Times New Roman" w:hAnsi="Times New Roman"/>
          <w:sz w:val="28"/>
          <w:szCs w:val="28"/>
        </w:rPr>
      </w:pPr>
      <w:r w:rsidRPr="001E7F57">
        <w:rPr>
          <w:rFonts w:ascii="Times New Roman" w:hAnsi="Times New Roman"/>
          <w:sz w:val="28"/>
          <w:szCs w:val="28"/>
        </w:rPr>
        <w:t xml:space="preserve">SODA – ANTHRAQUINONE PULPING CONDITIONS ON OIL PALM </w:t>
      </w:r>
    </w:p>
    <w:p w:rsidR="00E84061" w:rsidRPr="001E7F57" w:rsidRDefault="00E84061" w:rsidP="00E84061">
      <w:pPr>
        <w:spacing w:after="0" w:line="240" w:lineRule="auto"/>
        <w:jc w:val="center"/>
        <w:rPr>
          <w:rFonts w:ascii="Times New Roman" w:hAnsi="Times New Roman"/>
          <w:sz w:val="28"/>
          <w:szCs w:val="28"/>
        </w:rPr>
      </w:pPr>
      <w:r w:rsidRPr="001E7F57">
        <w:rPr>
          <w:rFonts w:ascii="Times New Roman" w:hAnsi="Times New Roman"/>
          <w:sz w:val="28"/>
          <w:szCs w:val="28"/>
        </w:rPr>
        <w:t>EMPTY FRUIT BUNCHES PULP PROPERTIES</w:t>
      </w:r>
    </w:p>
    <w:p w:rsidR="00E84061" w:rsidRDefault="00E84061" w:rsidP="00E84061">
      <w:pPr>
        <w:spacing w:after="0" w:line="240" w:lineRule="auto"/>
        <w:jc w:val="center"/>
        <w:rPr>
          <w:rFonts w:ascii="Times New Roman" w:hAnsi="Times New Roman"/>
          <w:b/>
          <w:sz w:val="24"/>
          <w:szCs w:val="24"/>
        </w:rPr>
      </w:pPr>
    </w:p>
    <w:p w:rsidR="00E84061" w:rsidRPr="00845B73" w:rsidRDefault="00E84061" w:rsidP="00E84061">
      <w:pPr>
        <w:spacing w:after="0" w:line="240" w:lineRule="auto"/>
        <w:jc w:val="center"/>
        <w:rPr>
          <w:rFonts w:ascii="Times New Roman" w:hAnsi="Times New Roman"/>
          <w:sz w:val="24"/>
          <w:szCs w:val="24"/>
        </w:rPr>
      </w:pPr>
      <w:r w:rsidRPr="00845B73">
        <w:rPr>
          <w:rFonts w:ascii="Times New Roman" w:hAnsi="Times New Roman"/>
          <w:sz w:val="24"/>
          <w:szCs w:val="24"/>
        </w:rPr>
        <w:t>(Kaedah Gerak Balas Permukaan Terhadap Kesan Faktor-Faktor Pemulpaan Soda-Antrakuinon Ke Atas Sifat-sifat Gentian Tandan Buah Kosong Kelapa Sawit)</w:t>
      </w:r>
    </w:p>
    <w:p w:rsidR="00E84061" w:rsidRPr="00845B73" w:rsidRDefault="00E84061" w:rsidP="00E84061">
      <w:pPr>
        <w:spacing w:after="0" w:line="240" w:lineRule="auto"/>
        <w:jc w:val="center"/>
        <w:rPr>
          <w:rFonts w:ascii="Times New Roman" w:hAnsi="Times New Roman"/>
          <w:sz w:val="20"/>
          <w:szCs w:val="20"/>
        </w:rPr>
      </w:pPr>
    </w:p>
    <w:p w:rsidR="00E84061" w:rsidRPr="00076312" w:rsidRDefault="00E84061" w:rsidP="00E84061">
      <w:pPr>
        <w:spacing w:after="0" w:line="240" w:lineRule="auto"/>
        <w:jc w:val="center"/>
        <w:rPr>
          <w:rFonts w:ascii="Times New Roman" w:hAnsi="Times New Roman"/>
          <w:sz w:val="20"/>
          <w:szCs w:val="20"/>
          <w:vertAlign w:val="superscript"/>
        </w:rPr>
      </w:pPr>
      <w:r>
        <w:rPr>
          <w:rFonts w:ascii="Times New Roman" w:hAnsi="Times New Roman"/>
          <w:sz w:val="20"/>
          <w:szCs w:val="20"/>
        </w:rPr>
        <w:t>Nurul Husna Mohd Hassan</w:t>
      </w:r>
      <w:r w:rsidRPr="00916823">
        <w:rPr>
          <w:rFonts w:ascii="Times New Roman" w:hAnsi="Times New Roman"/>
          <w:sz w:val="20"/>
          <w:szCs w:val="20"/>
          <w:vertAlign w:val="superscript"/>
        </w:rPr>
        <w:t>1</w:t>
      </w:r>
      <w:r w:rsidRPr="00845B73">
        <w:rPr>
          <w:rFonts w:ascii="Times New Roman" w:hAnsi="Times New Roman"/>
          <w:sz w:val="20"/>
          <w:szCs w:val="20"/>
        </w:rPr>
        <w:t>*</w:t>
      </w:r>
      <w:r>
        <w:rPr>
          <w:rFonts w:ascii="Times New Roman" w:hAnsi="Times New Roman"/>
          <w:sz w:val="20"/>
          <w:szCs w:val="20"/>
        </w:rPr>
        <w:t>, Mazlan Ibrahim</w:t>
      </w:r>
      <w:r w:rsidRPr="00B72033">
        <w:rPr>
          <w:rFonts w:ascii="Times New Roman" w:hAnsi="Times New Roman"/>
          <w:sz w:val="20"/>
          <w:szCs w:val="20"/>
          <w:vertAlign w:val="superscript"/>
        </w:rPr>
        <w:t>2</w:t>
      </w:r>
      <w:r>
        <w:rPr>
          <w:rFonts w:ascii="Times New Roman" w:hAnsi="Times New Roman"/>
          <w:sz w:val="20"/>
          <w:szCs w:val="20"/>
        </w:rPr>
        <w:t>, Nor Yuziah Mohd Yunus</w:t>
      </w:r>
      <w:r w:rsidRPr="00B72033">
        <w:rPr>
          <w:rFonts w:ascii="Times New Roman" w:hAnsi="Times New Roman"/>
          <w:sz w:val="20"/>
          <w:szCs w:val="20"/>
          <w:vertAlign w:val="superscript"/>
        </w:rPr>
        <w:t>1</w:t>
      </w:r>
    </w:p>
    <w:p w:rsidR="00E84061" w:rsidRPr="00E84061" w:rsidRDefault="00E84061" w:rsidP="00E84061">
      <w:pPr>
        <w:spacing w:after="0" w:line="240" w:lineRule="auto"/>
        <w:jc w:val="center"/>
        <w:rPr>
          <w:rFonts w:ascii="Times New Roman" w:hAnsi="Times New Roman"/>
          <w:sz w:val="20"/>
          <w:szCs w:val="20"/>
        </w:rPr>
      </w:pPr>
    </w:p>
    <w:p w:rsidR="00E84061" w:rsidRPr="00E84061" w:rsidRDefault="00E84061" w:rsidP="00E84061">
      <w:pPr>
        <w:spacing w:after="0" w:line="240" w:lineRule="auto"/>
        <w:jc w:val="center"/>
        <w:rPr>
          <w:rFonts w:ascii="Times New Roman" w:hAnsi="Times New Roman"/>
          <w:i/>
          <w:sz w:val="20"/>
          <w:szCs w:val="20"/>
        </w:rPr>
      </w:pPr>
      <w:r w:rsidRPr="00E84061">
        <w:rPr>
          <w:rFonts w:ascii="Times New Roman" w:hAnsi="Times New Roman"/>
          <w:i/>
          <w:sz w:val="20"/>
          <w:szCs w:val="20"/>
          <w:vertAlign w:val="superscript"/>
        </w:rPr>
        <w:t>1</w:t>
      </w:r>
      <w:r w:rsidRPr="00E84061">
        <w:rPr>
          <w:rFonts w:ascii="Times New Roman" w:hAnsi="Times New Roman"/>
          <w:i/>
          <w:sz w:val="20"/>
          <w:szCs w:val="20"/>
        </w:rPr>
        <w:t xml:space="preserve">School of Wood Industry, Faculty of Applied Sciences, </w:t>
      </w:r>
    </w:p>
    <w:p w:rsidR="00E84061" w:rsidRPr="00E84061" w:rsidRDefault="00E84061" w:rsidP="00E84061">
      <w:pPr>
        <w:spacing w:after="0" w:line="240" w:lineRule="auto"/>
        <w:jc w:val="center"/>
        <w:rPr>
          <w:rFonts w:ascii="Times New Roman" w:hAnsi="Times New Roman"/>
          <w:i/>
          <w:sz w:val="20"/>
          <w:szCs w:val="20"/>
        </w:rPr>
      </w:pPr>
      <w:r w:rsidRPr="00E84061">
        <w:rPr>
          <w:rFonts w:ascii="Times New Roman" w:hAnsi="Times New Roman"/>
          <w:i/>
          <w:sz w:val="20"/>
          <w:szCs w:val="20"/>
        </w:rPr>
        <w:t>Universiti Teknologi MARA, Cawangan Pahang, Kampus Jengka, 26400 Bandar Tun Abdul Razak, Pahang</w:t>
      </w:r>
    </w:p>
    <w:p w:rsidR="00E84061" w:rsidRPr="00E84061" w:rsidRDefault="00E84061" w:rsidP="00E84061">
      <w:pPr>
        <w:spacing w:after="0" w:line="240" w:lineRule="auto"/>
        <w:jc w:val="center"/>
        <w:rPr>
          <w:rFonts w:ascii="Times New Roman" w:hAnsi="Times New Roman"/>
          <w:i/>
          <w:sz w:val="20"/>
          <w:szCs w:val="20"/>
        </w:rPr>
      </w:pPr>
      <w:r w:rsidRPr="00E84061">
        <w:rPr>
          <w:rFonts w:ascii="Times New Roman" w:hAnsi="Times New Roman"/>
          <w:i/>
          <w:sz w:val="20"/>
          <w:szCs w:val="20"/>
          <w:vertAlign w:val="superscript"/>
        </w:rPr>
        <w:t>2</w:t>
      </w:r>
      <w:r w:rsidRPr="00E84061">
        <w:rPr>
          <w:rFonts w:ascii="Times New Roman" w:hAnsi="Times New Roman"/>
          <w:i/>
          <w:sz w:val="20"/>
          <w:szCs w:val="20"/>
        </w:rPr>
        <w:t xml:space="preserve">School of Industrial Technology, </w:t>
      </w:r>
    </w:p>
    <w:p w:rsidR="00E84061" w:rsidRPr="00E84061" w:rsidRDefault="00E84061" w:rsidP="00E84061">
      <w:pPr>
        <w:spacing w:after="0" w:line="240" w:lineRule="auto"/>
        <w:jc w:val="center"/>
        <w:rPr>
          <w:rFonts w:ascii="Times New Roman" w:hAnsi="Times New Roman"/>
          <w:i/>
          <w:sz w:val="20"/>
          <w:szCs w:val="20"/>
        </w:rPr>
      </w:pPr>
      <w:r w:rsidRPr="00E84061">
        <w:rPr>
          <w:rFonts w:ascii="Times New Roman" w:hAnsi="Times New Roman"/>
          <w:i/>
          <w:sz w:val="20"/>
          <w:szCs w:val="20"/>
        </w:rPr>
        <w:t>Universiti Sains Malaysia, 11800 USM Pulau Pinang, Malaysia</w:t>
      </w:r>
    </w:p>
    <w:p w:rsidR="00E84061" w:rsidRPr="00E84061" w:rsidRDefault="00E84061" w:rsidP="00E84061">
      <w:pPr>
        <w:spacing w:after="0" w:line="240" w:lineRule="auto"/>
        <w:jc w:val="center"/>
        <w:rPr>
          <w:rFonts w:ascii="Times New Roman" w:hAnsi="Times New Roman"/>
          <w:i/>
          <w:sz w:val="20"/>
          <w:szCs w:val="20"/>
        </w:rPr>
      </w:pPr>
    </w:p>
    <w:p w:rsidR="00E84061" w:rsidRPr="00E84061" w:rsidRDefault="00E84061" w:rsidP="00E84061">
      <w:pPr>
        <w:spacing w:after="0" w:line="240" w:lineRule="auto"/>
        <w:jc w:val="center"/>
        <w:rPr>
          <w:rFonts w:ascii="Times New Roman" w:hAnsi="Times New Roman"/>
          <w:i/>
          <w:sz w:val="20"/>
          <w:szCs w:val="20"/>
        </w:rPr>
      </w:pPr>
      <w:r w:rsidRPr="00E84061">
        <w:rPr>
          <w:rFonts w:ascii="Times New Roman" w:hAnsi="Times New Roman"/>
          <w:i/>
          <w:sz w:val="20"/>
          <w:szCs w:val="20"/>
        </w:rPr>
        <w:t>*Corresponding author: nurulhusna@uitm.edu.my</w:t>
      </w:r>
    </w:p>
    <w:p w:rsidR="00E84061" w:rsidRPr="00E84061" w:rsidRDefault="00E84061" w:rsidP="00E84061">
      <w:pPr>
        <w:spacing w:after="0" w:line="240" w:lineRule="auto"/>
        <w:jc w:val="center"/>
        <w:rPr>
          <w:rFonts w:ascii="Times New Roman" w:hAnsi="Times New Roman"/>
          <w:noProof/>
          <w:sz w:val="20"/>
          <w:szCs w:val="20"/>
          <w:lang w:bidi="ar-SA"/>
        </w:rPr>
      </w:pPr>
    </w:p>
    <w:p w:rsidR="00E84061" w:rsidRPr="00E84061" w:rsidRDefault="00E84061" w:rsidP="00E84061">
      <w:pPr>
        <w:spacing w:after="0" w:line="240" w:lineRule="auto"/>
        <w:jc w:val="center"/>
        <w:rPr>
          <w:rFonts w:ascii="Times New Roman" w:hAnsi="Times New Roman"/>
          <w:noProof/>
          <w:sz w:val="20"/>
          <w:szCs w:val="20"/>
          <w:lang w:bidi="ar-SA"/>
        </w:rPr>
      </w:pPr>
    </w:p>
    <w:p w:rsidR="00E84061" w:rsidRPr="00E84061" w:rsidRDefault="00E84061" w:rsidP="00E84061">
      <w:pPr>
        <w:spacing w:after="0" w:line="240" w:lineRule="auto"/>
        <w:jc w:val="center"/>
        <w:rPr>
          <w:rFonts w:ascii="Times New Roman" w:hAnsi="Times New Roman"/>
          <w:noProof/>
          <w:sz w:val="20"/>
          <w:szCs w:val="20"/>
          <w:lang w:bidi="ar-SA"/>
        </w:rPr>
      </w:pPr>
      <w:r w:rsidRPr="00E84061">
        <w:rPr>
          <w:rFonts w:ascii="Times New Roman" w:hAnsi="Times New Roman"/>
          <w:noProof/>
          <w:sz w:val="20"/>
          <w:szCs w:val="20"/>
          <w:lang w:bidi="ar-SA"/>
        </w:rPr>
        <w:t>Received: 15 November 2016; Accepted: 29 January 2018</w:t>
      </w:r>
    </w:p>
    <w:p w:rsidR="00E84061" w:rsidRPr="00E84061" w:rsidRDefault="00E84061" w:rsidP="00E84061">
      <w:pPr>
        <w:spacing w:after="0" w:line="240" w:lineRule="auto"/>
        <w:jc w:val="center"/>
        <w:rPr>
          <w:rFonts w:ascii="Times New Roman" w:hAnsi="Times New Roman"/>
          <w:noProof/>
          <w:sz w:val="20"/>
          <w:szCs w:val="20"/>
          <w:lang w:bidi="ar-SA"/>
        </w:rPr>
      </w:pPr>
    </w:p>
    <w:p w:rsidR="00E84061" w:rsidRPr="00E84061" w:rsidRDefault="00E84061" w:rsidP="00E84061">
      <w:pPr>
        <w:spacing w:after="0" w:line="240" w:lineRule="auto"/>
        <w:jc w:val="center"/>
        <w:rPr>
          <w:rFonts w:ascii="Times New Roman" w:hAnsi="Times New Roman"/>
          <w:noProof/>
          <w:sz w:val="20"/>
          <w:szCs w:val="20"/>
          <w:lang w:bidi="ar-SA"/>
        </w:rPr>
      </w:pPr>
    </w:p>
    <w:p w:rsidR="00E84061" w:rsidRPr="00E84061" w:rsidRDefault="00E84061" w:rsidP="00E84061">
      <w:pPr>
        <w:spacing w:after="0" w:line="240" w:lineRule="auto"/>
        <w:jc w:val="center"/>
        <w:rPr>
          <w:rFonts w:ascii="Times New Roman" w:hAnsi="Times New Roman"/>
          <w:b/>
          <w:noProof/>
          <w:sz w:val="20"/>
          <w:szCs w:val="20"/>
          <w:lang w:bidi="ar-SA"/>
        </w:rPr>
      </w:pPr>
      <w:r w:rsidRPr="00E84061">
        <w:rPr>
          <w:rFonts w:ascii="Times New Roman" w:hAnsi="Times New Roman"/>
          <w:b/>
          <w:noProof/>
          <w:sz w:val="20"/>
          <w:szCs w:val="20"/>
          <w:lang w:bidi="ar-SA"/>
        </w:rPr>
        <w:t>Abstract</w:t>
      </w:r>
    </w:p>
    <w:p w:rsidR="00E84061" w:rsidRPr="00E84061" w:rsidRDefault="00E84061" w:rsidP="00E84061">
      <w:pPr>
        <w:spacing w:after="0" w:line="240" w:lineRule="auto"/>
        <w:jc w:val="both"/>
        <w:rPr>
          <w:rFonts w:ascii="Times New Roman" w:hAnsi="Times New Roman"/>
          <w:bCs/>
          <w:sz w:val="20"/>
          <w:szCs w:val="20"/>
        </w:rPr>
      </w:pPr>
      <w:r w:rsidRPr="00E84061">
        <w:rPr>
          <w:rFonts w:ascii="Times New Roman" w:hAnsi="Times New Roman"/>
          <w:bCs/>
          <w:sz w:val="20"/>
          <w:szCs w:val="20"/>
        </w:rPr>
        <w:t xml:space="preserve">Effects of soda–antrhraquinone (soda-AQ) pulping conditions on pulp properties of oil palm empty fruit bunches were studied by using response surface methodology (RSM) based on central composite design (CCD). Alkali charge (A), pulping temperature (T) and pulping time (t) were the pulping factors studied, with their ranges between 20 - 30%, 160 - 180 °C and 60 - 120 minutes, respectively. Pulp properties evaluated based on total yield (35.37 - 58.87%), screened yield (30.37 - 56.07%), Kappa number (6 – 16) and viscosity (5.43 - 16.02 cP). The effect of soda-AQ pulping conditions on oil palm empty fruit bunches fibers was clearly elucidated by the regression model obtained. The generated mathematical relationship showed that the optimum pulping condition was 27.30% alkali charge, temperature 160 </w:t>
      </w:r>
      <w:r w:rsidRPr="00E84061">
        <w:rPr>
          <w:rFonts w:ascii="Times New Roman" w:hAnsi="Times New Roman"/>
          <w:bCs/>
          <w:sz w:val="20"/>
          <w:szCs w:val="20"/>
          <w:vertAlign w:val="superscript"/>
        </w:rPr>
        <w:t>o</w:t>
      </w:r>
      <w:r w:rsidRPr="00E84061">
        <w:rPr>
          <w:rFonts w:ascii="Times New Roman" w:hAnsi="Times New Roman"/>
          <w:bCs/>
          <w:sz w:val="20"/>
          <w:szCs w:val="20"/>
        </w:rPr>
        <w:t>C at 60 minutes. This combination of mild pulping conditions level produced: total yield (55.54%), screened yield (53.20%), Kappa number (10) and viscosity (12.02 cP).</w:t>
      </w:r>
    </w:p>
    <w:p w:rsidR="00E84061" w:rsidRPr="00E84061" w:rsidRDefault="00E84061" w:rsidP="00E84061">
      <w:pPr>
        <w:spacing w:after="0" w:line="240" w:lineRule="auto"/>
        <w:jc w:val="both"/>
        <w:rPr>
          <w:rFonts w:ascii="Times New Roman" w:hAnsi="Times New Roman"/>
          <w:bCs/>
          <w:sz w:val="20"/>
          <w:szCs w:val="20"/>
        </w:rPr>
      </w:pPr>
    </w:p>
    <w:p w:rsidR="00E84061" w:rsidRPr="00E84061" w:rsidRDefault="00E84061" w:rsidP="00E84061">
      <w:pPr>
        <w:spacing w:after="0" w:line="240" w:lineRule="auto"/>
        <w:jc w:val="both"/>
        <w:rPr>
          <w:rFonts w:ascii="Times New Roman" w:hAnsi="Times New Roman"/>
          <w:bCs/>
          <w:sz w:val="20"/>
          <w:szCs w:val="20"/>
        </w:rPr>
      </w:pPr>
      <w:r w:rsidRPr="00E84061">
        <w:rPr>
          <w:rFonts w:ascii="Times New Roman" w:hAnsi="Times New Roman"/>
          <w:b/>
          <w:bCs/>
          <w:sz w:val="20"/>
          <w:szCs w:val="20"/>
        </w:rPr>
        <w:t>Keywords</w:t>
      </w:r>
      <w:r w:rsidRPr="00E84061">
        <w:rPr>
          <w:rFonts w:ascii="Times New Roman" w:hAnsi="Times New Roman"/>
          <w:bCs/>
          <w:sz w:val="20"/>
          <w:szCs w:val="20"/>
        </w:rPr>
        <w:t>:  oil palm empty fruit bunches, pulp properties, response surface methodology</w:t>
      </w:r>
    </w:p>
    <w:p w:rsidR="00E84061" w:rsidRPr="00E84061" w:rsidRDefault="00E84061" w:rsidP="00E84061">
      <w:pPr>
        <w:spacing w:after="0" w:line="240" w:lineRule="auto"/>
        <w:jc w:val="both"/>
        <w:rPr>
          <w:rFonts w:ascii="Times New Roman" w:hAnsi="Times New Roman"/>
          <w:bCs/>
          <w:sz w:val="20"/>
          <w:szCs w:val="20"/>
        </w:rPr>
      </w:pPr>
    </w:p>
    <w:p w:rsidR="00E84061" w:rsidRPr="00E84061" w:rsidRDefault="00E84061" w:rsidP="00E84061">
      <w:pPr>
        <w:spacing w:after="0" w:line="240" w:lineRule="auto"/>
        <w:jc w:val="center"/>
        <w:rPr>
          <w:rFonts w:ascii="Times New Roman" w:hAnsi="Times New Roman"/>
          <w:b/>
          <w:bCs/>
          <w:sz w:val="20"/>
          <w:szCs w:val="20"/>
        </w:rPr>
      </w:pPr>
      <w:r w:rsidRPr="00E84061">
        <w:rPr>
          <w:rFonts w:ascii="Times New Roman" w:hAnsi="Times New Roman"/>
          <w:b/>
          <w:bCs/>
          <w:sz w:val="20"/>
          <w:szCs w:val="20"/>
        </w:rPr>
        <w:t>Abstrak</w:t>
      </w:r>
    </w:p>
    <w:p w:rsidR="00E84061" w:rsidRPr="00E84061" w:rsidRDefault="00E84061" w:rsidP="00E84061">
      <w:pPr>
        <w:spacing w:after="0" w:line="240" w:lineRule="auto"/>
        <w:jc w:val="both"/>
        <w:rPr>
          <w:rFonts w:ascii="Times New Roman" w:hAnsi="Times New Roman"/>
          <w:bCs/>
          <w:sz w:val="20"/>
          <w:szCs w:val="20"/>
        </w:rPr>
      </w:pPr>
      <w:r w:rsidRPr="00E84061">
        <w:rPr>
          <w:rFonts w:ascii="Times New Roman" w:hAnsi="Times New Roman"/>
          <w:bCs/>
          <w:sz w:val="20"/>
          <w:szCs w:val="20"/>
        </w:rPr>
        <w:t>Kesan faktor-faktor pemulpaan soda-antrakuinon ke atas sifat-sifat gentian tandan buah kosong kelapa sawit telah dikaji dengan menggunakan kaedah gerak balas permukaan (RSM) berasaskan rekabentuk komposit berpusat (CCD). Julat faktor-faktor pemulpaan iaitu cas alkali (A), suhu pemulpaan (T) dan masa pemulpaan (t) adalah antara 20 – 30%, 160 – 180</w:t>
      </w:r>
      <w:r w:rsidR="002C4FC6">
        <w:rPr>
          <w:rFonts w:ascii="Times New Roman" w:hAnsi="Times New Roman"/>
          <w:bCs/>
          <w:sz w:val="20"/>
          <w:szCs w:val="20"/>
        </w:rPr>
        <w:t xml:space="preserve"> </w:t>
      </w:r>
      <w:bookmarkStart w:id="0" w:name="_GoBack"/>
      <w:bookmarkEnd w:id="0"/>
      <w:r w:rsidRPr="00E84061">
        <w:rPr>
          <w:rFonts w:ascii="Times New Roman" w:hAnsi="Times New Roman"/>
          <w:bCs/>
          <w:sz w:val="20"/>
          <w:szCs w:val="20"/>
          <w:vertAlign w:val="superscript"/>
        </w:rPr>
        <w:t>o</w:t>
      </w:r>
      <w:r w:rsidRPr="00E84061">
        <w:rPr>
          <w:rFonts w:ascii="Times New Roman" w:hAnsi="Times New Roman"/>
          <w:bCs/>
          <w:sz w:val="20"/>
          <w:szCs w:val="20"/>
        </w:rPr>
        <w:t xml:space="preserve">C dan 60 – 120 minit. Sifat-sifat gentian yang dinilai adalah berdasarkan jumlah keseluruhan (35.37 - 58.87%), hasil saringan (30.37 - 56.07%), nombor Kappa (6 – 16) dan kelikatan (5.43 - 16.02 cP). Pengaruh faktor-faktor pemulpaan soda-AQ ke atas gentian tandan buah kosong kelapa sawit dapat dijelaskan berdasarkan model regrasi yang diperolehi. Melalui persamaan matematik yang terhasil, pemulpaan optimum berlaku apabila faktor-faktor pemulpaan iaitu cas alkali, suhu pemulpaan dan masa pemulpaan diselaraskan pada 27.3%, 160 </w:t>
      </w:r>
      <w:r w:rsidRPr="00E84061">
        <w:rPr>
          <w:rFonts w:ascii="Times New Roman" w:hAnsi="Times New Roman"/>
          <w:bCs/>
          <w:sz w:val="20"/>
          <w:szCs w:val="20"/>
          <w:vertAlign w:val="superscript"/>
        </w:rPr>
        <w:t>o</w:t>
      </w:r>
      <w:r w:rsidRPr="00E84061">
        <w:rPr>
          <w:rFonts w:ascii="Times New Roman" w:hAnsi="Times New Roman"/>
          <w:bCs/>
          <w:sz w:val="20"/>
          <w:szCs w:val="20"/>
        </w:rPr>
        <w:t>C dan 60 minit. Penggunaan kombinasi aras faktor pemulpaan yang rendah ini dapat menghasilkan hasil keseluruhan (55.54%), hasil penskrinan (53.20%), nombor Kappa (10) dan kelikatan (12.02 cP).</w:t>
      </w:r>
    </w:p>
    <w:p w:rsidR="00E84061" w:rsidRPr="00E84061" w:rsidRDefault="00E84061" w:rsidP="00E84061">
      <w:pPr>
        <w:spacing w:after="0" w:line="240" w:lineRule="auto"/>
        <w:jc w:val="both"/>
        <w:rPr>
          <w:rFonts w:ascii="Times New Roman" w:hAnsi="Times New Roman"/>
          <w:bCs/>
          <w:sz w:val="20"/>
          <w:szCs w:val="20"/>
        </w:rPr>
      </w:pPr>
    </w:p>
    <w:p w:rsidR="002540E8" w:rsidRDefault="00E84061" w:rsidP="00E84061">
      <w:pPr>
        <w:spacing w:after="0" w:line="240" w:lineRule="auto"/>
        <w:jc w:val="both"/>
        <w:rPr>
          <w:rFonts w:ascii="Times New Roman" w:hAnsi="Times New Roman"/>
          <w:bCs/>
          <w:sz w:val="20"/>
          <w:szCs w:val="20"/>
        </w:rPr>
      </w:pPr>
      <w:r w:rsidRPr="00E84061">
        <w:rPr>
          <w:rFonts w:ascii="Times New Roman" w:hAnsi="Times New Roman"/>
          <w:b/>
          <w:bCs/>
          <w:sz w:val="20"/>
          <w:szCs w:val="20"/>
        </w:rPr>
        <w:t>Kata kunci</w:t>
      </w:r>
      <w:r w:rsidRPr="00E84061">
        <w:rPr>
          <w:rFonts w:ascii="Times New Roman" w:hAnsi="Times New Roman"/>
          <w:bCs/>
          <w:sz w:val="20"/>
          <w:szCs w:val="20"/>
        </w:rPr>
        <w:t>:  tandan buah kosong kelapa sawit, sifat-sifat gentian, kaedah gerak balas permukaan</w:t>
      </w:r>
    </w:p>
    <w:p w:rsidR="00E84061" w:rsidRDefault="00E84061" w:rsidP="00E84061">
      <w:pPr>
        <w:spacing w:after="0" w:line="240" w:lineRule="auto"/>
        <w:jc w:val="both"/>
        <w:rPr>
          <w:rFonts w:ascii="Times New Roman" w:hAnsi="Times New Roman"/>
          <w:bCs/>
          <w:sz w:val="20"/>
          <w:szCs w:val="20"/>
        </w:rPr>
      </w:pPr>
    </w:p>
    <w:p w:rsidR="00E84061" w:rsidRPr="00F447A7" w:rsidRDefault="00E84061" w:rsidP="00E8406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References</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 xml:space="preserve">Khozirah, S. and Khoo, K. C. (1991). Oil palm utilisation-review of research, Forest Research Institute (FRIM), Kepong, Selangor. </w:t>
      </w:r>
      <w:r w:rsidRPr="009A23AD">
        <w:rPr>
          <w:rFonts w:ascii="Times New Roman" w:hAnsi="Times New Roman"/>
          <w:i/>
          <w:sz w:val="20"/>
          <w:szCs w:val="20"/>
        </w:rPr>
        <w:t>Research Pamphlet</w:t>
      </w:r>
      <w:r w:rsidRPr="009A23AD">
        <w:rPr>
          <w:rFonts w:ascii="Times New Roman" w:hAnsi="Times New Roman"/>
          <w:sz w:val="20"/>
          <w:szCs w:val="20"/>
        </w:rPr>
        <w:t xml:space="preserve"> No.107: 1-7</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Moll, H. A. J. (1987). The economics of oil palm. economics of crops in developing Countries No.2. Pudoc Wageningen, Netherlands.</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 xml:space="preserve">Sulaiman, O., Salim, N., Nordin, N.A., Hashim, R., Ibrahim, M. and Sato, M. (2012). The potential of oil palm trunk biomass as an alternative source for compressed wood. </w:t>
      </w:r>
      <w:r w:rsidRPr="009A23AD">
        <w:rPr>
          <w:rFonts w:ascii="Times New Roman" w:hAnsi="Times New Roman"/>
          <w:i/>
          <w:sz w:val="20"/>
          <w:szCs w:val="20"/>
        </w:rPr>
        <w:t xml:space="preserve">BioResearch, </w:t>
      </w:r>
      <w:r w:rsidRPr="009A23AD">
        <w:rPr>
          <w:rFonts w:ascii="Times New Roman" w:hAnsi="Times New Roman"/>
          <w:sz w:val="20"/>
          <w:szCs w:val="20"/>
        </w:rPr>
        <w:t>7(2):688-706.</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 xml:space="preserve">Jalani, B. S. (2002). Prospects of elevating national oil palm productivity:  A Malaysian perspective. </w:t>
      </w:r>
      <w:r w:rsidRPr="009A23AD">
        <w:rPr>
          <w:rFonts w:ascii="Times New Roman" w:hAnsi="Times New Roman"/>
          <w:i/>
          <w:sz w:val="20"/>
          <w:szCs w:val="20"/>
        </w:rPr>
        <w:t>Oil Palm Industry Economic Journal</w:t>
      </w:r>
      <w:r w:rsidRPr="009A23AD">
        <w:rPr>
          <w:rFonts w:ascii="Times New Roman" w:hAnsi="Times New Roman"/>
          <w:sz w:val="20"/>
          <w:szCs w:val="20"/>
        </w:rPr>
        <w:t>, 2: 1–9.</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 xml:space="preserve">Abdullah, R. (2003). Short-term and long-term projection of Malaysian palm oil production. </w:t>
      </w:r>
      <w:r w:rsidRPr="009A23AD">
        <w:rPr>
          <w:rFonts w:ascii="Times New Roman" w:hAnsi="Times New Roman"/>
          <w:i/>
          <w:sz w:val="20"/>
          <w:szCs w:val="20"/>
        </w:rPr>
        <w:t>Oil Palm Industry Economic Journal,</w:t>
      </w:r>
      <w:r w:rsidRPr="009A23AD">
        <w:rPr>
          <w:rFonts w:ascii="Times New Roman" w:hAnsi="Times New Roman"/>
          <w:sz w:val="20"/>
          <w:szCs w:val="20"/>
        </w:rPr>
        <w:t xml:space="preserve"> 3:32–36.</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MPOB (2015). Economic &amp; industry development devision. oil palm planted area. Retrieved from: http://bepi.mpob.gov.my/index.php/statistics/area.html.</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 xml:space="preserve">Mohd-Fahmi, A., Othman, S., Rokiah, H. and Wan Noor Aidawati, W. N. (2015). An overview of the oil palm industry in Malaysia and its waste utilization through thermochemical conversion specifically via liquefaction. </w:t>
      </w:r>
      <w:r w:rsidRPr="009A23AD">
        <w:rPr>
          <w:rFonts w:ascii="Times New Roman" w:hAnsi="Times New Roman"/>
          <w:i/>
          <w:sz w:val="20"/>
          <w:szCs w:val="20"/>
        </w:rPr>
        <w:t>Renewable and Sustainable Energy Reviews,</w:t>
      </w:r>
      <w:r w:rsidRPr="009A23AD">
        <w:rPr>
          <w:rFonts w:ascii="Times New Roman" w:hAnsi="Times New Roman"/>
          <w:sz w:val="20"/>
          <w:szCs w:val="20"/>
        </w:rPr>
        <w:t xml:space="preserve"> 50:1469-1484.</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 xml:space="preserve">Shafie, S., Mahlia, T., Masjuki, H. and Andriyana, A. (2011). Current energy usage and sustainable energy in Malaysia: A review. </w:t>
      </w:r>
      <w:r w:rsidRPr="009A23AD">
        <w:rPr>
          <w:rFonts w:ascii="Times New Roman" w:hAnsi="Times New Roman"/>
          <w:i/>
          <w:sz w:val="20"/>
          <w:szCs w:val="20"/>
        </w:rPr>
        <w:t>Renewable and Sustainable Energy Reviews</w:t>
      </w:r>
      <w:r w:rsidRPr="009A23AD">
        <w:rPr>
          <w:rFonts w:ascii="Times New Roman" w:hAnsi="Times New Roman"/>
          <w:sz w:val="20"/>
          <w:szCs w:val="20"/>
        </w:rPr>
        <w:t>, 15(9): 4370-4377.</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Wan Rosli, W. D., Leh, C. P., Zainuddin, Z. and Tanaka, R. (2003). Optimisation of soda pulping variables for preparation of dissolving pulps from oil palm fibre, Holzforschung, Walter de Gruyter, 57 (1), 106-113.</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MPOPC (2004). Malaysian palm oil promotion council, Kuala Lumpur, Malaysia. Retrieved from:</w:t>
      </w:r>
      <w:hyperlink r:id="rId6" w:history="1">
        <w:r w:rsidRPr="009A23AD">
          <w:rPr>
            <w:rFonts w:ascii="Times New Roman" w:hAnsi="Times New Roman"/>
            <w:sz w:val="20"/>
            <w:szCs w:val="20"/>
          </w:rPr>
          <w:t>http://www.mpopc.org.my</w:t>
        </w:r>
      </w:hyperlink>
      <w:r w:rsidRPr="009A23AD">
        <w:rPr>
          <w:rFonts w:ascii="Times New Roman" w:hAnsi="Times New Roman"/>
          <w:sz w:val="20"/>
          <w:szCs w:val="20"/>
        </w:rPr>
        <w:t>.</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AIM (2013). National biomass strategy (2020): New wealth creation for Malaysia's biomass industry: Version 2.0, 2013. Agensi Inovasi Malaysia, Kuala Lumpur.</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Amiruddin, M. N., Abrahman, A. K. and Shariff, F. (2005). Market potential and challenges for the Malaysian palm</w:t>
      </w:r>
      <w:r>
        <w:rPr>
          <w:rFonts w:ascii="Times New Roman" w:hAnsi="Times New Roman"/>
          <w:sz w:val="20"/>
          <w:szCs w:val="20"/>
        </w:rPr>
        <w:t xml:space="preserve"> </w:t>
      </w:r>
      <w:r w:rsidRPr="009A23AD">
        <w:rPr>
          <w:rFonts w:ascii="Times New Roman" w:hAnsi="Times New Roman"/>
          <w:sz w:val="20"/>
          <w:szCs w:val="20"/>
        </w:rPr>
        <w:t xml:space="preserve"> oil industry in </w:t>
      </w:r>
      <w:r>
        <w:rPr>
          <w:rFonts w:ascii="Times New Roman" w:hAnsi="Times New Roman"/>
          <w:sz w:val="20"/>
          <w:szCs w:val="20"/>
        </w:rPr>
        <w:t xml:space="preserve"> </w:t>
      </w:r>
      <w:r w:rsidRPr="009A23AD">
        <w:rPr>
          <w:rFonts w:ascii="Times New Roman" w:hAnsi="Times New Roman"/>
          <w:sz w:val="20"/>
          <w:szCs w:val="20"/>
        </w:rPr>
        <w:t>facing</w:t>
      </w:r>
      <w:r>
        <w:rPr>
          <w:rFonts w:ascii="Times New Roman" w:hAnsi="Times New Roman"/>
          <w:sz w:val="20"/>
          <w:szCs w:val="20"/>
        </w:rPr>
        <w:t xml:space="preserve"> </w:t>
      </w:r>
      <w:r w:rsidRPr="009A23AD">
        <w:rPr>
          <w:rFonts w:ascii="Times New Roman" w:hAnsi="Times New Roman"/>
          <w:sz w:val="20"/>
          <w:szCs w:val="20"/>
        </w:rPr>
        <w:t xml:space="preserve"> competition from other vegetable oils. </w:t>
      </w:r>
      <w:r w:rsidRPr="009A23AD">
        <w:rPr>
          <w:rFonts w:ascii="Times New Roman" w:hAnsi="Times New Roman"/>
          <w:i/>
          <w:sz w:val="20"/>
          <w:szCs w:val="20"/>
        </w:rPr>
        <w:t>Oil Palm Industry Economic Journal,</w:t>
      </w:r>
      <w:r w:rsidRPr="009A23AD">
        <w:rPr>
          <w:rFonts w:ascii="Times New Roman" w:hAnsi="Times New Roman"/>
          <w:sz w:val="20"/>
          <w:szCs w:val="20"/>
        </w:rPr>
        <w:t xml:space="preserve"> 5: 17–27.</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FAOSTAT (2015). Food and Agriculture Organization of the United Nations for a world without hunger. Retrieved from: http://faostat.fao.org/site/339/default. aspx.</w:t>
      </w:r>
      <w:r>
        <w:rPr>
          <w:rFonts w:ascii="Times New Roman" w:hAnsi="Times New Roman"/>
          <w:sz w:val="20"/>
          <w:szCs w:val="20"/>
        </w:rPr>
        <w:t>=</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Faizi, M. K., Shahriman, A.B, Abdul Majid, M. S., Shamsul, B. M. T., Ng, Y. G., Basah, S. N., Cheng, E. M., Afendi, M., Zuradzman, M. R., Khairunizam, W. A. N. and Hazry, D. (2017). An overview of the oil palm empty fruit bunch (OPEFB) potential as reinforcing fibre in polymer composite for energy absorption applications MATEC Web of Conferences 90: 01064.</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 xml:space="preserve">Eckert, R. C., Pfeiffer, G. O., Gupta, M. K. and Lower, C. R. (1984). Soda anthraquinone pulping of </w:t>
      </w:r>
      <w:r w:rsidRPr="009A23AD">
        <w:rPr>
          <w:rFonts w:ascii="Times New Roman" w:hAnsi="Times New Roman"/>
          <w:i/>
          <w:iCs/>
          <w:sz w:val="20"/>
          <w:szCs w:val="20"/>
        </w:rPr>
        <w:t>Douglas fir</w:t>
      </w:r>
      <w:r w:rsidRPr="009A23AD">
        <w:rPr>
          <w:rFonts w:ascii="Times New Roman" w:hAnsi="Times New Roman"/>
          <w:sz w:val="20"/>
          <w:szCs w:val="20"/>
        </w:rPr>
        <w:t xml:space="preserve">.  </w:t>
      </w:r>
      <w:r w:rsidRPr="009A23AD">
        <w:rPr>
          <w:rFonts w:ascii="Times New Roman" w:hAnsi="Times New Roman"/>
          <w:i/>
          <w:sz w:val="20"/>
          <w:szCs w:val="20"/>
        </w:rPr>
        <w:t xml:space="preserve">TAPPI: Journal of the Technical Association of the Pulp and Paper Industry, </w:t>
      </w:r>
      <w:r w:rsidRPr="009A23AD">
        <w:rPr>
          <w:rFonts w:ascii="Times New Roman" w:hAnsi="Times New Roman"/>
          <w:sz w:val="20"/>
          <w:szCs w:val="20"/>
        </w:rPr>
        <w:t>67(11): 104-108.</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 xml:space="preserve">Hart, P. W and Rudie, A. W. (2014). Anthraquinone-A review of the rise and fall of a pulping catalyst. </w:t>
      </w:r>
      <w:r w:rsidRPr="009A23AD">
        <w:rPr>
          <w:rFonts w:ascii="Times New Roman" w:hAnsi="Times New Roman"/>
          <w:i/>
          <w:sz w:val="20"/>
          <w:szCs w:val="20"/>
        </w:rPr>
        <w:t>TAPPI: Journal of the Technical Association of the Pulp and Paper Industry,</w:t>
      </w:r>
      <w:r w:rsidRPr="009A23AD">
        <w:rPr>
          <w:rFonts w:ascii="Times New Roman" w:hAnsi="Times New Roman"/>
          <w:sz w:val="20"/>
          <w:szCs w:val="20"/>
        </w:rPr>
        <w:t xml:space="preserve"> 13(10): 23-31.</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TAPPI test methods 1994 – 1995 (1994). T211 Ash in wood, pulp, paper and paperboard: combustion at 525°C. Vol. I, Atlanta, Georgia, Tappi Press.</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TAPPI test methods 1994 – 1995 (1994). T236 Kappa Number of Pulp. Vol. I, Atlanta, Georgia, Tappi Press.</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Browning, B. L. (1967). Methods of wood chemistry, Vol. II, Interscience Publishers, John Wiley &amp; Sons, Inc.</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TAPPI test methods 1994 – 1995 (1994). T230 Viscosity of pulp (Capillary Viscometer Method). Vol. I, Atlanta, Georgia, Tappi Press.</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Kraber, S. (1997). Handbook for experimenters, Minneapolis: Stat-Ease Inc.</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Smook, G. A. (1992). Handbook for pulp &amp; paper technologist, 2</w:t>
      </w:r>
      <w:r w:rsidRPr="009A23AD">
        <w:rPr>
          <w:rFonts w:ascii="Times New Roman" w:hAnsi="Times New Roman"/>
          <w:sz w:val="20"/>
          <w:szCs w:val="20"/>
          <w:vertAlign w:val="superscript"/>
        </w:rPr>
        <w:t>nd</w:t>
      </w:r>
      <w:r w:rsidRPr="009A23AD">
        <w:rPr>
          <w:rFonts w:ascii="Times New Roman" w:hAnsi="Times New Roman"/>
          <w:sz w:val="20"/>
          <w:szCs w:val="20"/>
        </w:rPr>
        <w:t xml:space="preserve"> Edition, Vancouver, Angus Wilde Publications.</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Mimms, A., Kocurek, M. J., Pyatte, J. A. and Wright, E. E. (1989). Kraft Pulping: A compilation of notes, United State of America: Atlanta, Tappi Press.</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Khairunisak, A. R., Hong, O. B., Zakaria, S., Ahmad, S. and Mohd Yussof, M. N. (2002). Effect of Kraft pulping with anthraquinone and methanol on oil palm empty fruit bunches. Proceeding 5</w:t>
      </w:r>
      <w:r w:rsidRPr="009A23AD">
        <w:rPr>
          <w:rFonts w:ascii="Times New Roman" w:hAnsi="Times New Roman"/>
          <w:sz w:val="20"/>
          <w:szCs w:val="20"/>
          <w:vertAlign w:val="superscript"/>
        </w:rPr>
        <w:t>th</w:t>
      </w:r>
      <w:r w:rsidRPr="009A23AD">
        <w:rPr>
          <w:rFonts w:ascii="Times New Roman" w:hAnsi="Times New Roman"/>
          <w:sz w:val="20"/>
          <w:szCs w:val="20"/>
        </w:rPr>
        <w:t xml:space="preserve"> national seminar on utilization of oil palm tree – oil palm biomass: opportunities and challenges in commercial exploitation, Kuala Lumpur, oil palm tree utilization committee of Malaysia: pp. 205-210.</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lastRenderedPageBreak/>
        <w:t xml:space="preserve">Iglesias, G., Bao, M., Lamas, J. and Vega, A. (1996). Soda pulping of </w:t>
      </w:r>
      <w:r w:rsidRPr="009A23AD">
        <w:rPr>
          <w:rFonts w:ascii="Times New Roman" w:hAnsi="Times New Roman"/>
          <w:i/>
          <w:sz w:val="20"/>
          <w:szCs w:val="20"/>
        </w:rPr>
        <w:t>Miscanthus sinensis</w:t>
      </w:r>
      <w:r w:rsidRPr="009A23AD">
        <w:rPr>
          <w:rFonts w:ascii="Times New Roman" w:hAnsi="Times New Roman"/>
          <w:sz w:val="20"/>
          <w:szCs w:val="20"/>
        </w:rPr>
        <w:t xml:space="preserve">. Effects of operational variables on pulp yield and lignin solubilization, Elsevier Science Ltd., Great Britain, </w:t>
      </w:r>
      <w:r w:rsidRPr="009A23AD">
        <w:rPr>
          <w:rFonts w:ascii="Times New Roman" w:hAnsi="Times New Roman"/>
          <w:i/>
          <w:sz w:val="20"/>
          <w:szCs w:val="20"/>
        </w:rPr>
        <w:t>Bioresource Technology</w:t>
      </w:r>
      <w:r w:rsidRPr="009A23AD">
        <w:rPr>
          <w:rFonts w:ascii="Times New Roman" w:hAnsi="Times New Roman"/>
          <w:sz w:val="20"/>
          <w:szCs w:val="20"/>
        </w:rPr>
        <w:t>, 58: 17-23.</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Casey, J. P. (1980). Pulp and paper: Chemistry and chemical technology, Vol. I, 3</w:t>
      </w:r>
      <w:r w:rsidRPr="009A23AD">
        <w:rPr>
          <w:rFonts w:ascii="Times New Roman" w:hAnsi="Times New Roman"/>
          <w:sz w:val="20"/>
          <w:szCs w:val="20"/>
          <w:vertAlign w:val="superscript"/>
        </w:rPr>
        <w:t>rd</w:t>
      </w:r>
      <w:r w:rsidRPr="009A23AD">
        <w:rPr>
          <w:rFonts w:ascii="Times New Roman" w:hAnsi="Times New Roman"/>
          <w:sz w:val="20"/>
          <w:szCs w:val="20"/>
        </w:rPr>
        <w:t xml:space="preserve"> Edition, New York, John Wiley &amp; Sons.</w:t>
      </w:r>
    </w:p>
    <w:p w:rsidR="00E84061" w:rsidRDefault="00E84061" w:rsidP="00E84061">
      <w:pPr>
        <w:pStyle w:val="ListParagraph"/>
        <w:numPr>
          <w:ilvl w:val="0"/>
          <w:numId w:val="1"/>
        </w:numPr>
        <w:spacing w:after="0" w:line="240" w:lineRule="auto"/>
        <w:ind w:left="360"/>
        <w:jc w:val="both"/>
        <w:rPr>
          <w:rFonts w:ascii="Times New Roman" w:hAnsi="Times New Roman"/>
          <w:sz w:val="20"/>
          <w:szCs w:val="20"/>
        </w:rPr>
      </w:pPr>
      <w:r w:rsidRPr="009A23AD">
        <w:rPr>
          <w:rFonts w:ascii="Times New Roman" w:hAnsi="Times New Roman"/>
          <w:sz w:val="20"/>
          <w:szCs w:val="20"/>
        </w:rPr>
        <w:t xml:space="preserve">Kleppe, P. J. (1970). Kraft pulping (feature review). </w:t>
      </w:r>
      <w:r w:rsidRPr="009A23AD">
        <w:rPr>
          <w:rFonts w:ascii="Times New Roman" w:hAnsi="Times New Roman"/>
          <w:i/>
          <w:sz w:val="20"/>
          <w:szCs w:val="20"/>
        </w:rPr>
        <w:t xml:space="preserve">TAPPI: Journal of the Technical Association of the Pulp and Paper Industry, </w:t>
      </w:r>
      <w:r w:rsidRPr="009A23AD">
        <w:rPr>
          <w:rFonts w:ascii="Times New Roman" w:hAnsi="Times New Roman"/>
          <w:sz w:val="20"/>
          <w:szCs w:val="20"/>
        </w:rPr>
        <w:t>53(1): 35-47.</w:t>
      </w:r>
    </w:p>
    <w:p w:rsidR="00E84061" w:rsidRPr="00E84061" w:rsidRDefault="00E84061" w:rsidP="00E84061">
      <w:pPr>
        <w:spacing w:after="0" w:line="240" w:lineRule="auto"/>
        <w:jc w:val="both"/>
        <w:rPr>
          <w:rFonts w:ascii="Times New Roman" w:hAnsi="Times New Roman"/>
          <w:noProof/>
          <w:sz w:val="20"/>
          <w:szCs w:val="20"/>
          <w:lang w:bidi="ar-SA"/>
        </w:rPr>
      </w:pPr>
    </w:p>
    <w:sectPr w:rsidR="00E84061" w:rsidRPr="00E84061" w:rsidSect="00E84061">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547C24"/>
    <w:multiLevelType w:val="hybridMultilevel"/>
    <w:tmpl w:val="450C5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061"/>
    <w:rsid w:val="002540E8"/>
    <w:rsid w:val="002C4FC6"/>
    <w:rsid w:val="00D0718B"/>
    <w:rsid w:val="00D40B1F"/>
    <w:rsid w:val="00E84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061"/>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0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061"/>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0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popc.org.m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1260</Words>
  <Characters>6568</Characters>
  <Application>Microsoft Office Word</Application>
  <DocSecurity>0</DocSecurity>
  <Lines>211</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2018-03-04T04:12:00Z</dcterms:created>
  <dcterms:modified xsi:type="dcterms:W3CDTF">2018-04-24T16:11:00Z</dcterms:modified>
</cp:coreProperties>
</file>