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sz w:val="24"/>
          <w:szCs w:val="24"/>
        </w:rPr>
      </w:pPr>
      <w:r w:rsidRPr="007B2629">
        <w:rPr>
          <w:rFonts w:ascii="Times New Roman" w:hAnsi="Times New Roman"/>
          <w:sz w:val="28"/>
          <w:szCs w:val="28"/>
        </w:rPr>
        <w:t>OPTIMIZATION OF HYDROGEN PRODUCTION FROM FRUIT WASTE THROUGH MESOPHILIC AND THERMOPHILIC DARK FERMENTATION: EFFECT OF SUBSTRATE-TO-INOCULUM RATIO</w:t>
      </w:r>
      <w:r w:rsidRPr="007B2629">
        <w:rPr>
          <w:rFonts w:ascii="Times New Roman" w:hAnsi="Times New Roman"/>
          <w:sz w:val="24"/>
          <w:szCs w:val="24"/>
        </w:rPr>
        <w:t xml:space="preserve"> </w:t>
      </w: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sz w:val="24"/>
          <w:szCs w:val="24"/>
        </w:rPr>
      </w:pP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sz w:val="24"/>
          <w:szCs w:val="24"/>
        </w:rPr>
      </w:pPr>
      <w:bookmarkStart w:id="0" w:name="_gjdgxs" w:colFirst="0" w:colLast="0"/>
      <w:bookmarkEnd w:id="0"/>
      <w:r w:rsidRPr="007B2629">
        <w:rPr>
          <w:rFonts w:ascii="Times New Roman" w:hAnsi="Times New Roman"/>
          <w:sz w:val="24"/>
          <w:szCs w:val="24"/>
        </w:rPr>
        <w:t>(</w:t>
      </w:r>
      <w:r w:rsidRPr="007B2629">
        <w:rPr>
          <w:rFonts w:ascii="Times New Roman" w:hAnsi="Times New Roman"/>
          <w:sz w:val="24"/>
          <w:szCs w:val="24"/>
          <w:lang w:val="ms-MY"/>
        </w:rPr>
        <w:t>Pengoptimuman Penghasilan Hidrogen dari Buangan Buah melalui Fermentasi Tanpa Cahaya pada Kondisi Mesofilik dan Termofilik: Pengaruh Nisbah Substrat-Inokulum</w:t>
      </w:r>
      <w:r w:rsidRPr="007B2629">
        <w:rPr>
          <w:rFonts w:ascii="Times New Roman" w:hAnsi="Times New Roman"/>
          <w:sz w:val="24"/>
          <w:szCs w:val="24"/>
        </w:rPr>
        <w:t xml:space="preserve">) </w:t>
      </w: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sz w:val="20"/>
          <w:szCs w:val="20"/>
        </w:rPr>
      </w:pP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sz w:val="20"/>
          <w:szCs w:val="20"/>
        </w:rPr>
      </w:pPr>
      <w:r w:rsidRPr="007B2629">
        <w:rPr>
          <w:rFonts w:ascii="Times New Roman" w:hAnsi="Times New Roman"/>
          <w:sz w:val="20"/>
          <w:szCs w:val="20"/>
        </w:rPr>
        <w:t>Khamdan Cahyari</w:t>
      </w:r>
      <w:r w:rsidRPr="007B2629">
        <w:rPr>
          <w:rFonts w:ascii="Times New Roman" w:hAnsi="Times New Roman"/>
          <w:sz w:val="20"/>
          <w:szCs w:val="20"/>
          <w:vertAlign w:val="superscript"/>
        </w:rPr>
        <w:t>1,2</w:t>
      </w:r>
      <w:r w:rsidRPr="007B2629">
        <w:rPr>
          <w:rFonts w:ascii="Times New Roman" w:hAnsi="Times New Roman"/>
          <w:sz w:val="20"/>
          <w:szCs w:val="20"/>
        </w:rPr>
        <w:t>*, Muslikhin Hidayat</w:t>
      </w:r>
      <w:r w:rsidRPr="007B2629">
        <w:rPr>
          <w:rFonts w:ascii="Times New Roman" w:hAnsi="Times New Roman"/>
          <w:sz w:val="20"/>
          <w:szCs w:val="20"/>
          <w:vertAlign w:val="superscript"/>
        </w:rPr>
        <w:t>1</w:t>
      </w:r>
      <w:r w:rsidRPr="007B2629">
        <w:rPr>
          <w:rFonts w:ascii="Times New Roman" w:hAnsi="Times New Roman"/>
          <w:sz w:val="20"/>
          <w:szCs w:val="20"/>
        </w:rPr>
        <w:t>, Siti Syamsiah</w:t>
      </w:r>
      <w:r w:rsidRPr="007B2629">
        <w:rPr>
          <w:rFonts w:ascii="Times New Roman" w:hAnsi="Times New Roman"/>
          <w:sz w:val="20"/>
          <w:szCs w:val="20"/>
          <w:vertAlign w:val="superscript"/>
        </w:rPr>
        <w:t>1</w:t>
      </w:r>
      <w:r w:rsidRPr="007B2629">
        <w:rPr>
          <w:rFonts w:ascii="Times New Roman" w:hAnsi="Times New Roman"/>
          <w:sz w:val="20"/>
          <w:szCs w:val="20"/>
        </w:rPr>
        <w:t>, Sarto</w:t>
      </w:r>
      <w:r w:rsidRPr="007B2629">
        <w:rPr>
          <w:rFonts w:ascii="Times New Roman" w:hAnsi="Times New Roman"/>
          <w:sz w:val="20"/>
          <w:szCs w:val="20"/>
          <w:vertAlign w:val="superscript"/>
        </w:rPr>
        <w:t>1</w:t>
      </w: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sz w:val="18"/>
          <w:szCs w:val="18"/>
        </w:rPr>
      </w:pPr>
    </w:p>
    <w:p w:rsidR="007B2629" w:rsidRDefault="007B2629" w:rsidP="007B2629">
      <w:pPr>
        <w:pBdr>
          <w:top w:val="nil"/>
          <w:left w:val="nil"/>
          <w:bottom w:val="nil"/>
          <w:right w:val="nil"/>
          <w:between w:val="nil"/>
        </w:pBdr>
        <w:spacing w:after="0" w:line="240" w:lineRule="auto"/>
        <w:jc w:val="center"/>
        <w:rPr>
          <w:rFonts w:ascii="Times New Roman" w:hAnsi="Times New Roman"/>
          <w:i/>
          <w:sz w:val="18"/>
          <w:szCs w:val="18"/>
        </w:rPr>
      </w:pPr>
      <w:r w:rsidRPr="007B2629">
        <w:rPr>
          <w:rFonts w:ascii="Times New Roman" w:hAnsi="Times New Roman"/>
          <w:i/>
          <w:sz w:val="18"/>
          <w:szCs w:val="18"/>
          <w:vertAlign w:val="superscript"/>
        </w:rPr>
        <w:t>1</w:t>
      </w:r>
      <w:r w:rsidRPr="007B2629">
        <w:rPr>
          <w:rFonts w:ascii="Times New Roman" w:hAnsi="Times New Roman"/>
          <w:i/>
          <w:sz w:val="18"/>
          <w:szCs w:val="18"/>
        </w:rPr>
        <w:t xml:space="preserve">Department of Chemical Engineering, Faculty of Engineering, </w:t>
      </w: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i/>
          <w:sz w:val="18"/>
          <w:szCs w:val="18"/>
        </w:rPr>
      </w:pPr>
      <w:r w:rsidRPr="007B2629">
        <w:rPr>
          <w:rFonts w:ascii="Times New Roman" w:hAnsi="Times New Roman"/>
          <w:i/>
          <w:sz w:val="18"/>
          <w:szCs w:val="18"/>
        </w:rPr>
        <w:t>Gadjah Mada University, Indonesia</w:t>
      </w:r>
    </w:p>
    <w:p w:rsidR="007B2629" w:rsidRDefault="007B2629" w:rsidP="007B2629">
      <w:pPr>
        <w:pBdr>
          <w:top w:val="nil"/>
          <w:left w:val="nil"/>
          <w:bottom w:val="nil"/>
          <w:right w:val="nil"/>
          <w:between w:val="nil"/>
        </w:pBdr>
        <w:spacing w:after="0" w:line="240" w:lineRule="auto"/>
        <w:jc w:val="center"/>
        <w:rPr>
          <w:rFonts w:ascii="Times New Roman" w:hAnsi="Times New Roman"/>
          <w:i/>
          <w:sz w:val="18"/>
          <w:szCs w:val="18"/>
        </w:rPr>
      </w:pPr>
      <w:r w:rsidRPr="007B2629">
        <w:rPr>
          <w:rFonts w:ascii="Times New Roman" w:hAnsi="Times New Roman"/>
          <w:i/>
          <w:sz w:val="18"/>
          <w:szCs w:val="18"/>
          <w:vertAlign w:val="superscript"/>
        </w:rPr>
        <w:t>2</w:t>
      </w:r>
      <w:r w:rsidRPr="007B2629">
        <w:rPr>
          <w:rFonts w:ascii="Times New Roman" w:hAnsi="Times New Roman"/>
          <w:i/>
          <w:sz w:val="18"/>
          <w:szCs w:val="18"/>
        </w:rPr>
        <w:t xml:space="preserve">Dept. of Chemical Engineering, Faculty of Industrial Technology, </w:t>
      </w: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i/>
          <w:sz w:val="18"/>
          <w:szCs w:val="18"/>
        </w:rPr>
      </w:pPr>
      <w:r w:rsidRPr="007B2629">
        <w:rPr>
          <w:rFonts w:ascii="Times New Roman" w:hAnsi="Times New Roman"/>
          <w:i/>
          <w:sz w:val="18"/>
          <w:szCs w:val="18"/>
        </w:rPr>
        <w:t>Universitas Islam Indonesia, Indonesia</w:t>
      </w: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sz w:val="18"/>
          <w:szCs w:val="18"/>
        </w:rPr>
      </w:pPr>
    </w:p>
    <w:p w:rsidR="007B2629" w:rsidRPr="007B2629" w:rsidRDefault="007B2629" w:rsidP="007B2629">
      <w:pPr>
        <w:pBdr>
          <w:top w:val="nil"/>
          <w:left w:val="nil"/>
          <w:bottom w:val="nil"/>
          <w:right w:val="nil"/>
          <w:between w:val="nil"/>
        </w:pBdr>
        <w:spacing w:after="0" w:line="240" w:lineRule="auto"/>
        <w:jc w:val="center"/>
        <w:rPr>
          <w:rFonts w:ascii="Times New Roman" w:hAnsi="Times New Roman"/>
          <w:i/>
          <w:sz w:val="18"/>
          <w:szCs w:val="18"/>
        </w:rPr>
      </w:pPr>
      <w:r w:rsidRPr="007B2629">
        <w:rPr>
          <w:rFonts w:ascii="Times New Roman" w:hAnsi="Times New Roman"/>
          <w:i/>
          <w:sz w:val="18"/>
          <w:szCs w:val="18"/>
        </w:rPr>
        <w:t xml:space="preserve">*Corresponding author: </w:t>
      </w:r>
      <w:r>
        <w:rPr>
          <w:rFonts w:ascii="Times New Roman" w:hAnsi="Times New Roman"/>
          <w:i/>
          <w:sz w:val="18"/>
          <w:szCs w:val="18"/>
        </w:rPr>
        <w:t xml:space="preserve"> </w:t>
      </w:r>
      <w:r w:rsidR="00C403A1" w:rsidRPr="00C403A1">
        <w:rPr>
          <w:rFonts w:ascii="Times New Roman" w:hAnsi="Times New Roman"/>
          <w:i/>
          <w:sz w:val="18"/>
          <w:szCs w:val="18"/>
        </w:rPr>
        <w:t>khamdan.cahyari</w:t>
      </w:r>
      <w:r w:rsidR="00C403A1">
        <w:rPr>
          <w:rFonts w:ascii="Times New Roman" w:hAnsi="Times New Roman"/>
          <w:i/>
          <w:sz w:val="18"/>
          <w:szCs w:val="18"/>
        </w:rPr>
        <w:t>@uii.ac.id</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bookmarkStart w:id="1" w:name="_GoBack"/>
      <w:bookmarkEnd w:id="1"/>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060E7">
        <w:rPr>
          <w:rFonts w:ascii="Times New Roman" w:hAnsi="Times New Roman"/>
          <w:noProof/>
          <w:sz w:val="18"/>
          <w:szCs w:val="18"/>
          <w:lang w:bidi="ar-SA"/>
        </w:rPr>
        <w:t>13 April 2017</w:t>
      </w:r>
      <w:r>
        <w:rPr>
          <w:rFonts w:ascii="Times New Roman" w:hAnsi="Times New Roman"/>
          <w:noProof/>
          <w:sz w:val="18"/>
          <w:szCs w:val="18"/>
          <w:lang w:bidi="ar-SA"/>
        </w:rPr>
        <w:t xml:space="preserve">; Accepted: </w:t>
      </w:r>
      <w:r w:rsidR="005060E7">
        <w:rPr>
          <w:rFonts w:ascii="Times New Roman" w:hAnsi="Times New Roman"/>
          <w:noProof/>
          <w:sz w:val="18"/>
          <w:szCs w:val="18"/>
          <w:lang w:bidi="ar-SA"/>
        </w:rPr>
        <w:t>17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B2629" w:rsidRPr="005F4237" w:rsidRDefault="007B2629" w:rsidP="007B2629">
      <w:pPr>
        <w:spacing w:after="0" w:line="240" w:lineRule="auto"/>
        <w:jc w:val="both"/>
        <w:rPr>
          <w:rFonts w:ascii="Times New Roman" w:hAnsi="Times New Roman"/>
          <w:sz w:val="18"/>
          <w:szCs w:val="18"/>
        </w:rPr>
      </w:pPr>
      <w:r w:rsidRPr="005F4237">
        <w:rPr>
          <w:rFonts w:ascii="Times New Roman" w:hAnsi="Times New Roman"/>
          <w:sz w:val="18"/>
          <w:szCs w:val="18"/>
        </w:rPr>
        <w:t>This research was aimed to optimize hydrogen production from fruit waste, particularly on the effect of the substrate-to-inoculum ratio (SIR). Production of hydrogen was carried out through dark fermentation process both in mesophilic (30</w:t>
      </w:r>
      <w:r>
        <w:rPr>
          <w:rFonts w:ascii="Times New Roman" w:hAnsi="Times New Roman"/>
          <w:sz w:val="18"/>
          <w:szCs w:val="18"/>
        </w:rPr>
        <w:t xml:space="preserve"> </w:t>
      </w:r>
      <w:bookmarkStart w:id="2" w:name="_Hlk536471763"/>
      <w:r>
        <w:rPr>
          <w:rFonts w:ascii="Times New Roman" w:hAnsi="Times New Roman"/>
          <w:sz w:val="18"/>
          <w:szCs w:val="18"/>
        </w:rPr>
        <w:t>°C</w:t>
      </w:r>
      <w:bookmarkEnd w:id="2"/>
      <w:r w:rsidRPr="005F4237">
        <w:rPr>
          <w:rFonts w:ascii="Times New Roman" w:hAnsi="Times New Roman"/>
          <w:sz w:val="18"/>
          <w:szCs w:val="18"/>
        </w:rPr>
        <w:t>, 1 atm) and thermophilic (55</w:t>
      </w:r>
      <w:r>
        <w:rPr>
          <w:rFonts w:ascii="Times New Roman" w:hAnsi="Times New Roman"/>
          <w:sz w:val="18"/>
          <w:szCs w:val="18"/>
        </w:rPr>
        <w:t xml:space="preserve"> °C, </w:t>
      </w:r>
      <w:r w:rsidRPr="005F4237">
        <w:rPr>
          <w:rFonts w:ascii="Times New Roman" w:hAnsi="Times New Roman"/>
          <w:sz w:val="18"/>
          <w:szCs w:val="18"/>
        </w:rPr>
        <w:t>1 atm) condition. Fermentation was conducted at SIR value ranging from 0.800 to 174 VS</w:t>
      </w:r>
      <w:r w:rsidRPr="005F4237">
        <w:rPr>
          <w:rFonts w:ascii="Times New Roman" w:hAnsi="Times New Roman"/>
          <w:sz w:val="18"/>
          <w:szCs w:val="18"/>
          <w:vertAlign w:val="subscript"/>
        </w:rPr>
        <w:t>substrate</w:t>
      </w:r>
      <w:r w:rsidRPr="005F4237">
        <w:rPr>
          <w:rFonts w:ascii="Times New Roman" w:hAnsi="Times New Roman"/>
          <w:sz w:val="18"/>
          <w:szCs w:val="18"/>
        </w:rPr>
        <w:t>/g VS</w:t>
      </w:r>
      <w:r w:rsidRPr="005F4237">
        <w:rPr>
          <w:rFonts w:ascii="Times New Roman" w:hAnsi="Times New Roman"/>
          <w:sz w:val="18"/>
          <w:szCs w:val="18"/>
          <w:vertAlign w:val="subscript"/>
        </w:rPr>
        <w:t>inoc</w:t>
      </w:r>
      <w:r w:rsidRPr="005F4237">
        <w:rPr>
          <w:rFonts w:ascii="Times New Roman" w:hAnsi="Times New Roman"/>
          <w:sz w:val="18"/>
          <w:szCs w:val="18"/>
        </w:rPr>
        <w:t>. In mesophilic fermentation, the highest cumulative total gas yield was achieved at SIR value of 19 corresponding total gas yield of 113 ml STP/g VS (5%v of H</w:t>
      </w:r>
      <w:r w:rsidRPr="005F4237">
        <w:rPr>
          <w:rFonts w:ascii="Times New Roman" w:hAnsi="Times New Roman"/>
          <w:sz w:val="18"/>
          <w:szCs w:val="18"/>
          <w:vertAlign w:val="subscript"/>
        </w:rPr>
        <w:t>2</w:t>
      </w:r>
      <w:r w:rsidRPr="005F4237">
        <w:rPr>
          <w:rFonts w:ascii="Times New Roman" w:hAnsi="Times New Roman"/>
          <w:sz w:val="18"/>
          <w:szCs w:val="18"/>
        </w:rPr>
        <w:t>). In thermophilic condition, the highest H</w:t>
      </w:r>
      <w:r w:rsidRPr="005F4237">
        <w:rPr>
          <w:rFonts w:ascii="Times New Roman" w:hAnsi="Times New Roman"/>
          <w:sz w:val="18"/>
          <w:szCs w:val="18"/>
          <w:vertAlign w:val="subscript"/>
        </w:rPr>
        <w:t>2</w:t>
      </w:r>
      <w:r w:rsidRPr="005F4237">
        <w:rPr>
          <w:rFonts w:ascii="Times New Roman" w:hAnsi="Times New Roman"/>
          <w:sz w:val="18"/>
          <w:szCs w:val="18"/>
        </w:rPr>
        <w:t xml:space="preserve"> yield was obtained at SIR value of 0.800 VS</w:t>
      </w:r>
      <w:r w:rsidRPr="005F4237">
        <w:rPr>
          <w:rFonts w:ascii="Times New Roman" w:hAnsi="Times New Roman"/>
          <w:sz w:val="18"/>
          <w:szCs w:val="18"/>
          <w:vertAlign w:val="subscript"/>
        </w:rPr>
        <w:t>substrate</w:t>
      </w:r>
      <w:r w:rsidRPr="005F4237">
        <w:rPr>
          <w:rFonts w:ascii="Times New Roman" w:hAnsi="Times New Roman"/>
          <w:sz w:val="18"/>
          <w:szCs w:val="18"/>
        </w:rPr>
        <w:t>/g VS</w:t>
      </w:r>
      <w:r w:rsidRPr="005F4237">
        <w:rPr>
          <w:rFonts w:ascii="Times New Roman" w:hAnsi="Times New Roman"/>
          <w:sz w:val="18"/>
          <w:szCs w:val="18"/>
          <w:vertAlign w:val="subscript"/>
        </w:rPr>
        <w:t>inoc</w:t>
      </w:r>
      <w:r w:rsidRPr="005F4237">
        <w:rPr>
          <w:rFonts w:ascii="Times New Roman" w:hAnsi="Times New Roman"/>
          <w:sz w:val="18"/>
          <w:szCs w:val="18"/>
        </w:rPr>
        <w:t xml:space="preserve"> with H</w:t>
      </w:r>
      <w:r w:rsidRPr="005F4237">
        <w:rPr>
          <w:rFonts w:ascii="Times New Roman" w:hAnsi="Times New Roman"/>
          <w:sz w:val="18"/>
          <w:szCs w:val="18"/>
          <w:vertAlign w:val="subscript"/>
        </w:rPr>
        <w:t>2</w:t>
      </w:r>
      <w:r w:rsidRPr="005F4237">
        <w:rPr>
          <w:rFonts w:ascii="Times New Roman" w:hAnsi="Times New Roman"/>
          <w:sz w:val="18"/>
          <w:szCs w:val="18"/>
        </w:rPr>
        <w:t xml:space="preserve"> yield of 294 m</w:t>
      </w:r>
      <w:r>
        <w:rPr>
          <w:rFonts w:ascii="Times New Roman" w:hAnsi="Times New Roman"/>
          <w:sz w:val="18"/>
          <w:szCs w:val="18"/>
        </w:rPr>
        <w:t>L</w:t>
      </w:r>
      <w:r w:rsidRPr="005F4237">
        <w:rPr>
          <w:rFonts w:ascii="Times New Roman" w:hAnsi="Times New Roman"/>
          <w:sz w:val="18"/>
          <w:szCs w:val="18"/>
        </w:rPr>
        <w:t xml:space="preserve"> STP/g VS (50 – 60%v of purity). It was noticed that the lower SIR value, the higher hydrogen yield. In summary, it is concluded that substrate-to-inoculum ratio (SIR) plays important role in dark fermentation process to produce renewable energy of hydrogen fuel.</w:t>
      </w:r>
    </w:p>
    <w:p w:rsidR="007B2629" w:rsidRPr="005F4237" w:rsidRDefault="007B2629" w:rsidP="007B2629">
      <w:pPr>
        <w:spacing w:after="0" w:line="240" w:lineRule="auto"/>
        <w:jc w:val="both"/>
        <w:rPr>
          <w:rFonts w:ascii="Times New Roman" w:hAnsi="Times New Roman"/>
          <w:sz w:val="18"/>
          <w:szCs w:val="18"/>
        </w:rPr>
      </w:pPr>
    </w:p>
    <w:p w:rsidR="007B2629" w:rsidRPr="005F4237" w:rsidRDefault="007B2629" w:rsidP="007B2629">
      <w:pPr>
        <w:spacing w:after="0" w:line="240" w:lineRule="auto"/>
        <w:jc w:val="both"/>
        <w:rPr>
          <w:rFonts w:ascii="Times New Roman" w:hAnsi="Times New Roman"/>
          <w:sz w:val="18"/>
          <w:szCs w:val="18"/>
        </w:rPr>
      </w:pPr>
      <w:r w:rsidRPr="005F4237">
        <w:rPr>
          <w:rFonts w:ascii="Times New Roman" w:hAnsi="Times New Roman"/>
          <w:b/>
          <w:sz w:val="18"/>
          <w:szCs w:val="18"/>
        </w:rPr>
        <w:t xml:space="preserve">Keywords: </w:t>
      </w:r>
      <w:r>
        <w:rPr>
          <w:rFonts w:ascii="Times New Roman" w:hAnsi="Times New Roman"/>
          <w:b/>
          <w:sz w:val="18"/>
          <w:szCs w:val="18"/>
        </w:rPr>
        <w:t xml:space="preserve"> </w:t>
      </w:r>
      <w:r w:rsidRPr="005F4237">
        <w:rPr>
          <w:rFonts w:ascii="Times New Roman" w:hAnsi="Times New Roman"/>
          <w:sz w:val="18"/>
          <w:szCs w:val="18"/>
        </w:rPr>
        <w:t>hydrogen</w:t>
      </w:r>
      <w:r>
        <w:rPr>
          <w:rFonts w:ascii="Times New Roman" w:hAnsi="Times New Roman"/>
          <w:sz w:val="18"/>
          <w:szCs w:val="18"/>
        </w:rPr>
        <w:t>,</w:t>
      </w:r>
      <w:r w:rsidRPr="005F4237">
        <w:rPr>
          <w:rFonts w:ascii="Times New Roman" w:hAnsi="Times New Roman"/>
          <w:sz w:val="18"/>
          <w:szCs w:val="18"/>
        </w:rPr>
        <w:t xml:space="preserve"> fermentation</w:t>
      </w:r>
      <w:r>
        <w:rPr>
          <w:rFonts w:ascii="Times New Roman" w:hAnsi="Times New Roman"/>
          <w:sz w:val="18"/>
          <w:szCs w:val="18"/>
        </w:rPr>
        <w:t>,</w:t>
      </w:r>
      <w:r w:rsidRPr="005F4237">
        <w:rPr>
          <w:rFonts w:ascii="Times New Roman" w:hAnsi="Times New Roman"/>
          <w:sz w:val="18"/>
          <w:szCs w:val="18"/>
        </w:rPr>
        <w:t xml:space="preserve"> substrate-to-inoculum ratio, fruit waste, renewable energy</w:t>
      </w:r>
    </w:p>
    <w:p w:rsidR="007B2629" w:rsidRPr="005F4237" w:rsidRDefault="007B2629" w:rsidP="007B2629">
      <w:pPr>
        <w:spacing w:after="0" w:line="240" w:lineRule="auto"/>
        <w:jc w:val="center"/>
        <w:rPr>
          <w:rFonts w:ascii="Times New Roman" w:hAnsi="Times New Roman"/>
          <w:sz w:val="18"/>
          <w:szCs w:val="18"/>
        </w:rPr>
      </w:pPr>
    </w:p>
    <w:p w:rsidR="007B2629" w:rsidRPr="005F4237" w:rsidRDefault="007B2629" w:rsidP="007B2629">
      <w:pPr>
        <w:spacing w:after="0" w:line="240" w:lineRule="auto"/>
        <w:jc w:val="center"/>
        <w:rPr>
          <w:rFonts w:ascii="Times New Roman" w:hAnsi="Times New Roman"/>
          <w:b/>
          <w:sz w:val="18"/>
          <w:szCs w:val="18"/>
          <w:lang w:val="sv-SE"/>
        </w:rPr>
      </w:pPr>
      <w:r w:rsidRPr="005F4237">
        <w:rPr>
          <w:rFonts w:ascii="Times New Roman" w:hAnsi="Times New Roman"/>
          <w:b/>
          <w:sz w:val="18"/>
          <w:szCs w:val="18"/>
          <w:lang w:val="sv-SE"/>
        </w:rPr>
        <w:t>Abstrak</w:t>
      </w:r>
    </w:p>
    <w:p w:rsidR="007B2629" w:rsidRPr="005F4237" w:rsidRDefault="007B2629" w:rsidP="007B2629">
      <w:pPr>
        <w:spacing w:after="0" w:line="240" w:lineRule="auto"/>
        <w:jc w:val="both"/>
        <w:rPr>
          <w:rFonts w:ascii="Times New Roman" w:hAnsi="Times New Roman"/>
          <w:sz w:val="18"/>
          <w:szCs w:val="18"/>
          <w:lang w:val="sv-SE"/>
        </w:rPr>
      </w:pPr>
      <w:r w:rsidRPr="005F4237">
        <w:rPr>
          <w:rFonts w:ascii="Times New Roman" w:hAnsi="Times New Roman"/>
          <w:sz w:val="18"/>
          <w:szCs w:val="18"/>
          <w:lang w:val="sv-SE"/>
        </w:rPr>
        <w:t xml:space="preserve">Kajian ini merupakan langkah </w:t>
      </w:r>
      <w:r>
        <w:rPr>
          <w:rFonts w:ascii="Times New Roman" w:hAnsi="Times New Roman"/>
          <w:sz w:val="18"/>
          <w:szCs w:val="18"/>
          <w:lang w:val="sv-SE"/>
        </w:rPr>
        <w:t>pengoptimuman</w:t>
      </w:r>
      <w:r w:rsidRPr="005F4237">
        <w:rPr>
          <w:rFonts w:ascii="Times New Roman" w:hAnsi="Times New Roman"/>
          <w:sz w:val="18"/>
          <w:szCs w:val="18"/>
          <w:lang w:val="sv-SE"/>
        </w:rPr>
        <w:t xml:space="preserve"> penghasilan hidrogen dari bahan buangan buah, khususnya pada pengaruh nisbah substrat-inokulum (NSI). Penghasilan hidrogen dilakukan melalui proses fermentasi tanpa cahaya pada kondisi mesofilik (30</w:t>
      </w:r>
      <w:r>
        <w:rPr>
          <w:rFonts w:ascii="Times New Roman" w:hAnsi="Times New Roman"/>
          <w:sz w:val="18"/>
          <w:szCs w:val="18"/>
          <w:lang w:val="sv-SE"/>
        </w:rPr>
        <w:t xml:space="preserve"> </w:t>
      </w:r>
      <w:r>
        <w:rPr>
          <w:rFonts w:ascii="Times New Roman" w:hAnsi="Times New Roman"/>
          <w:sz w:val="18"/>
          <w:szCs w:val="18"/>
        </w:rPr>
        <w:t>°C,</w:t>
      </w:r>
      <w:r w:rsidRPr="005F4237">
        <w:rPr>
          <w:rFonts w:ascii="Times New Roman" w:hAnsi="Times New Roman"/>
          <w:sz w:val="18"/>
          <w:szCs w:val="18"/>
          <w:lang w:val="sv-SE"/>
        </w:rPr>
        <w:t xml:space="preserve"> 1 atm) dan termofilik (55</w:t>
      </w:r>
      <w:r>
        <w:rPr>
          <w:rFonts w:ascii="Times New Roman" w:hAnsi="Times New Roman"/>
          <w:sz w:val="18"/>
          <w:szCs w:val="18"/>
          <w:lang w:val="sv-SE"/>
        </w:rPr>
        <w:t xml:space="preserve"> </w:t>
      </w:r>
      <w:r>
        <w:rPr>
          <w:rFonts w:ascii="Times New Roman" w:hAnsi="Times New Roman"/>
          <w:sz w:val="18"/>
          <w:szCs w:val="18"/>
        </w:rPr>
        <w:t>°C,</w:t>
      </w:r>
      <w:r w:rsidRPr="005F4237">
        <w:rPr>
          <w:rFonts w:ascii="Times New Roman" w:hAnsi="Times New Roman"/>
          <w:sz w:val="18"/>
          <w:szCs w:val="18"/>
          <w:lang w:val="sv-SE"/>
        </w:rPr>
        <w:t xml:space="preserve"> 1 atm). Fermentasi dilakukan dengan variasi nilai NSI antara 0,800 dan 174 g VS</w:t>
      </w:r>
      <w:r w:rsidRPr="005F4237">
        <w:rPr>
          <w:rFonts w:ascii="Times New Roman" w:hAnsi="Times New Roman"/>
          <w:sz w:val="18"/>
          <w:szCs w:val="18"/>
          <w:vertAlign w:val="subscript"/>
          <w:lang w:val="sv-SE"/>
        </w:rPr>
        <w:t>substrate</w:t>
      </w:r>
      <w:r w:rsidRPr="005F4237">
        <w:rPr>
          <w:rFonts w:ascii="Times New Roman" w:hAnsi="Times New Roman"/>
          <w:sz w:val="18"/>
          <w:szCs w:val="18"/>
          <w:lang w:val="sv-SE"/>
        </w:rPr>
        <w:t>/g VS</w:t>
      </w:r>
      <w:r w:rsidRPr="005F4237">
        <w:rPr>
          <w:rFonts w:ascii="Times New Roman" w:hAnsi="Times New Roman"/>
          <w:sz w:val="18"/>
          <w:szCs w:val="18"/>
          <w:vertAlign w:val="subscript"/>
          <w:lang w:val="sv-SE"/>
        </w:rPr>
        <w:t>inoc</w:t>
      </w:r>
      <w:r w:rsidRPr="005F4237">
        <w:rPr>
          <w:rFonts w:ascii="Times New Roman" w:hAnsi="Times New Roman"/>
          <w:sz w:val="18"/>
          <w:szCs w:val="18"/>
          <w:lang w:val="sv-SE"/>
        </w:rPr>
        <w:t>. Pada fermentasi mesofilik, hasil gas total kumulatif tertinggi diperoleh pada nilai NSI 19 g VS</w:t>
      </w:r>
      <w:r w:rsidRPr="005F4237">
        <w:rPr>
          <w:rFonts w:ascii="Times New Roman" w:hAnsi="Times New Roman"/>
          <w:sz w:val="18"/>
          <w:szCs w:val="18"/>
          <w:vertAlign w:val="subscript"/>
          <w:lang w:val="sv-SE"/>
        </w:rPr>
        <w:t>substrate</w:t>
      </w:r>
      <w:r w:rsidRPr="005F4237">
        <w:rPr>
          <w:rFonts w:ascii="Times New Roman" w:hAnsi="Times New Roman"/>
          <w:sz w:val="18"/>
          <w:szCs w:val="18"/>
          <w:lang w:val="sv-SE"/>
        </w:rPr>
        <w:t>/g VS</w:t>
      </w:r>
      <w:r w:rsidRPr="005F4237">
        <w:rPr>
          <w:rFonts w:ascii="Times New Roman" w:hAnsi="Times New Roman"/>
          <w:sz w:val="18"/>
          <w:szCs w:val="18"/>
          <w:vertAlign w:val="subscript"/>
          <w:lang w:val="sv-SE"/>
        </w:rPr>
        <w:t>inoc</w:t>
      </w:r>
      <w:r w:rsidRPr="005F4237">
        <w:rPr>
          <w:rFonts w:ascii="Times New Roman" w:hAnsi="Times New Roman"/>
          <w:sz w:val="18"/>
          <w:szCs w:val="18"/>
          <w:lang w:val="sv-SE"/>
        </w:rPr>
        <w:t xml:space="preserve"> dengan nilai penghasilan gas sebesar 113 ml STP/g VS (5%v/v gas H</w:t>
      </w:r>
      <w:r w:rsidRPr="005F4237">
        <w:rPr>
          <w:rFonts w:ascii="Times New Roman" w:hAnsi="Times New Roman"/>
          <w:sz w:val="18"/>
          <w:szCs w:val="18"/>
          <w:vertAlign w:val="subscript"/>
          <w:lang w:val="sv-SE"/>
        </w:rPr>
        <w:t>2</w:t>
      </w:r>
      <w:r w:rsidRPr="005F4237">
        <w:rPr>
          <w:rFonts w:ascii="Times New Roman" w:hAnsi="Times New Roman"/>
          <w:sz w:val="18"/>
          <w:szCs w:val="18"/>
          <w:lang w:val="sv-SE"/>
        </w:rPr>
        <w:t>). Sedangkan proses fermentasi termofilik, hasil hidrogen kumulatif tertinggi dicapai pada nilai RSI 0,800 VS</w:t>
      </w:r>
      <w:r w:rsidRPr="005F4237">
        <w:rPr>
          <w:rFonts w:ascii="Times New Roman" w:hAnsi="Times New Roman"/>
          <w:sz w:val="18"/>
          <w:szCs w:val="18"/>
          <w:vertAlign w:val="subscript"/>
          <w:lang w:val="sv-SE"/>
        </w:rPr>
        <w:t>substrate</w:t>
      </w:r>
      <w:r w:rsidRPr="005F4237">
        <w:rPr>
          <w:rFonts w:ascii="Times New Roman" w:hAnsi="Times New Roman"/>
          <w:sz w:val="18"/>
          <w:szCs w:val="18"/>
          <w:lang w:val="sv-SE"/>
        </w:rPr>
        <w:t>/g VS</w:t>
      </w:r>
      <w:r w:rsidRPr="005F4237">
        <w:rPr>
          <w:rFonts w:ascii="Times New Roman" w:hAnsi="Times New Roman"/>
          <w:sz w:val="18"/>
          <w:szCs w:val="18"/>
          <w:vertAlign w:val="subscript"/>
          <w:lang w:val="sv-SE"/>
        </w:rPr>
        <w:t>inoc</w:t>
      </w:r>
      <w:r w:rsidRPr="005F4237">
        <w:rPr>
          <w:rFonts w:ascii="Times New Roman" w:hAnsi="Times New Roman"/>
          <w:sz w:val="18"/>
          <w:szCs w:val="18"/>
          <w:lang w:val="sv-SE"/>
        </w:rPr>
        <w:t xml:space="preserve"> sebesar 294 ml STP H</w:t>
      </w:r>
      <w:r w:rsidRPr="005F4237">
        <w:rPr>
          <w:rFonts w:ascii="Times New Roman" w:hAnsi="Times New Roman"/>
          <w:sz w:val="18"/>
          <w:szCs w:val="18"/>
          <w:vertAlign w:val="subscript"/>
          <w:lang w:val="sv-SE"/>
        </w:rPr>
        <w:t>2</w:t>
      </w:r>
      <w:r w:rsidRPr="005F4237">
        <w:rPr>
          <w:rFonts w:ascii="Times New Roman" w:hAnsi="Times New Roman"/>
          <w:sz w:val="18"/>
          <w:szCs w:val="18"/>
          <w:lang w:val="sv-SE"/>
        </w:rPr>
        <w:t>/g VS (ketulenan H</w:t>
      </w:r>
      <w:r w:rsidRPr="005F4237">
        <w:rPr>
          <w:rFonts w:ascii="Times New Roman" w:hAnsi="Times New Roman"/>
          <w:sz w:val="18"/>
          <w:szCs w:val="18"/>
          <w:vertAlign w:val="subscript"/>
          <w:lang w:val="sv-SE"/>
        </w:rPr>
        <w:t>2</w:t>
      </w:r>
      <w:r w:rsidRPr="005F4237">
        <w:rPr>
          <w:rFonts w:ascii="Times New Roman" w:hAnsi="Times New Roman"/>
          <w:sz w:val="18"/>
          <w:szCs w:val="18"/>
          <w:lang w:val="sv-SE"/>
        </w:rPr>
        <w:t xml:space="preserve"> 50-60%v/v). Hal ini menunjukkan bahawa semakin kecil nilai NSI, hasil gas hidrogen menjadi semakin besar. Sehingga dapat disimpulkan bahawa faktor nisbah substrat terhadap inokulum (NSI) memiliki peran</w:t>
      </w:r>
      <w:r>
        <w:rPr>
          <w:rFonts w:ascii="Times New Roman" w:hAnsi="Times New Roman"/>
          <w:sz w:val="18"/>
          <w:szCs w:val="18"/>
          <w:lang w:val="sv-SE"/>
        </w:rPr>
        <w:t>an</w:t>
      </w:r>
      <w:r w:rsidRPr="005F4237">
        <w:rPr>
          <w:rFonts w:ascii="Times New Roman" w:hAnsi="Times New Roman"/>
          <w:sz w:val="18"/>
          <w:szCs w:val="18"/>
          <w:lang w:val="sv-SE"/>
        </w:rPr>
        <w:t xml:space="preserve"> penting dalam proses fermentasi tanpa cahaya untuk me</w:t>
      </w:r>
      <w:r>
        <w:rPr>
          <w:rFonts w:ascii="Times New Roman" w:hAnsi="Times New Roman"/>
          <w:sz w:val="18"/>
          <w:szCs w:val="18"/>
          <w:lang w:val="sv-SE"/>
        </w:rPr>
        <w:t>nghasilkan</w:t>
      </w:r>
      <w:r w:rsidRPr="005F4237">
        <w:rPr>
          <w:rFonts w:ascii="Times New Roman" w:hAnsi="Times New Roman"/>
          <w:sz w:val="18"/>
          <w:szCs w:val="18"/>
          <w:lang w:val="sv-SE"/>
        </w:rPr>
        <w:t xml:space="preserve"> sumber </w:t>
      </w:r>
      <w:r>
        <w:rPr>
          <w:rFonts w:ascii="Times New Roman" w:hAnsi="Times New Roman"/>
          <w:sz w:val="18"/>
          <w:szCs w:val="18"/>
          <w:lang w:val="sv-SE"/>
        </w:rPr>
        <w:t xml:space="preserve">tenaga baharu </w:t>
      </w:r>
      <w:r w:rsidRPr="005F4237">
        <w:rPr>
          <w:rFonts w:ascii="Times New Roman" w:hAnsi="Times New Roman"/>
          <w:sz w:val="18"/>
          <w:szCs w:val="18"/>
          <w:lang w:val="sv-SE"/>
        </w:rPr>
        <w:t xml:space="preserve">hidrogen. </w:t>
      </w:r>
    </w:p>
    <w:p w:rsidR="007B2629" w:rsidRPr="005F4237" w:rsidRDefault="007B2629" w:rsidP="007B2629">
      <w:pPr>
        <w:spacing w:after="0" w:line="240" w:lineRule="auto"/>
        <w:jc w:val="both"/>
        <w:rPr>
          <w:rFonts w:ascii="Times New Roman" w:hAnsi="Times New Roman"/>
          <w:sz w:val="18"/>
          <w:szCs w:val="18"/>
          <w:lang w:val="sv-SE"/>
        </w:rPr>
      </w:pPr>
    </w:p>
    <w:p w:rsidR="007B2629" w:rsidRPr="005F4237" w:rsidRDefault="007B2629" w:rsidP="007B2629">
      <w:pPr>
        <w:spacing w:after="0" w:line="240" w:lineRule="auto"/>
        <w:jc w:val="both"/>
        <w:rPr>
          <w:rFonts w:ascii="Times New Roman" w:hAnsi="Times New Roman"/>
          <w:sz w:val="18"/>
          <w:szCs w:val="18"/>
          <w:lang w:val="sv-SE"/>
        </w:rPr>
      </w:pPr>
      <w:r w:rsidRPr="005F4237">
        <w:rPr>
          <w:rFonts w:ascii="Times New Roman" w:hAnsi="Times New Roman"/>
          <w:b/>
          <w:sz w:val="18"/>
          <w:szCs w:val="18"/>
          <w:lang w:val="sv-SE"/>
        </w:rPr>
        <w:t>Kata kunci</w:t>
      </w:r>
      <w:r w:rsidRPr="005F4237">
        <w:rPr>
          <w:rFonts w:ascii="Times New Roman" w:hAnsi="Times New Roman"/>
          <w:sz w:val="18"/>
          <w:szCs w:val="18"/>
          <w:lang w:val="sv-SE"/>
        </w:rPr>
        <w:t xml:space="preserve">: </w:t>
      </w:r>
      <w:r>
        <w:rPr>
          <w:rFonts w:ascii="Times New Roman" w:hAnsi="Times New Roman"/>
          <w:sz w:val="18"/>
          <w:szCs w:val="18"/>
          <w:lang w:val="sv-SE"/>
        </w:rPr>
        <w:t xml:space="preserve"> </w:t>
      </w:r>
      <w:r w:rsidRPr="005F4237">
        <w:rPr>
          <w:rFonts w:ascii="Times New Roman" w:hAnsi="Times New Roman"/>
          <w:sz w:val="18"/>
          <w:szCs w:val="18"/>
          <w:lang w:val="sv-SE"/>
        </w:rPr>
        <w:t>hidrogen</w:t>
      </w:r>
      <w:r>
        <w:rPr>
          <w:rFonts w:ascii="Times New Roman" w:hAnsi="Times New Roman"/>
          <w:sz w:val="18"/>
          <w:szCs w:val="18"/>
          <w:lang w:val="sv-SE"/>
        </w:rPr>
        <w:t>,</w:t>
      </w:r>
      <w:r w:rsidRPr="005F4237">
        <w:rPr>
          <w:rFonts w:ascii="Times New Roman" w:hAnsi="Times New Roman"/>
          <w:sz w:val="18"/>
          <w:szCs w:val="18"/>
          <w:lang w:val="sv-SE"/>
        </w:rPr>
        <w:t xml:space="preserve"> fermentasi</w:t>
      </w:r>
      <w:r>
        <w:rPr>
          <w:rFonts w:ascii="Times New Roman" w:hAnsi="Times New Roman"/>
          <w:sz w:val="18"/>
          <w:szCs w:val="18"/>
          <w:lang w:val="sv-SE"/>
        </w:rPr>
        <w:t>,</w:t>
      </w:r>
      <w:r w:rsidRPr="005F4237">
        <w:rPr>
          <w:rFonts w:ascii="Times New Roman" w:hAnsi="Times New Roman"/>
          <w:sz w:val="18"/>
          <w:szCs w:val="18"/>
          <w:lang w:val="sv-SE"/>
        </w:rPr>
        <w:t xml:space="preserve"> nisbah substrat-inokulum, bahan buangan buah, </w:t>
      </w:r>
      <w:r>
        <w:rPr>
          <w:rFonts w:ascii="Times New Roman" w:hAnsi="Times New Roman"/>
          <w:sz w:val="18"/>
          <w:szCs w:val="18"/>
          <w:lang w:val="sv-SE"/>
        </w:rPr>
        <w:t>tenaga baharu</w:t>
      </w:r>
    </w:p>
    <w:p w:rsidR="006768E9" w:rsidRDefault="006768E9" w:rsidP="007B2629">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8074F6" w:rsidRPr="008074F6" w:rsidRDefault="008074F6" w:rsidP="00F447A7">
      <w:pPr>
        <w:spacing w:after="0" w:line="240" w:lineRule="auto"/>
        <w:jc w:val="center"/>
        <w:rPr>
          <w:rFonts w:ascii="Times New Roman" w:hAnsi="Times New Roman"/>
          <w:b/>
          <w:noProof/>
          <w:sz w:val="20"/>
          <w:szCs w:val="20"/>
          <w:lang w:bidi="ar-SA"/>
        </w:rPr>
      </w:pPr>
      <w:r w:rsidRPr="008074F6">
        <w:rPr>
          <w:rFonts w:ascii="Times New Roman" w:hAnsi="Times New Roman"/>
          <w:b/>
          <w:noProof/>
          <w:sz w:val="20"/>
          <w:szCs w:val="20"/>
          <w:lang w:bidi="ar-SA"/>
        </w:rPr>
        <w:t>Introduction</w:t>
      </w: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 xml:space="preserve">Indonesia is one of the developing countries with significant economic growth and social development in South East Asia (SEA) region nowadays. Consequently, the Indonesian Government need to secure its energy supply to </w:t>
      </w:r>
      <w:r w:rsidRPr="008074F6">
        <w:rPr>
          <w:rFonts w:ascii="Times New Roman" w:hAnsi="Times New Roman"/>
          <w:sz w:val="20"/>
          <w:szCs w:val="20"/>
        </w:rPr>
        <w:lastRenderedPageBreak/>
        <w:t>support this growth. For this purpose, the country relies mainly on fossil fuel in term of oil, coal, and gas accounting for approximately 96% of total primary energy consumption or equivalent to 1,358 million BOE in 2014 [1]. The high dependence on this fuel has led to many occurring environmental impacts during the last few decades such as depletion of natural resources (oil, coal and gas reserves), increases of CO</w:t>
      </w:r>
      <w:r w:rsidRPr="008074F6">
        <w:rPr>
          <w:rFonts w:ascii="Times New Roman" w:hAnsi="Times New Roman"/>
          <w:sz w:val="20"/>
          <w:szCs w:val="20"/>
          <w:vertAlign w:val="subscript"/>
        </w:rPr>
        <w:t>2</w:t>
      </w:r>
      <w:r w:rsidRPr="008074F6">
        <w:rPr>
          <w:rFonts w:ascii="Times New Roman" w:hAnsi="Times New Roman"/>
          <w:sz w:val="20"/>
          <w:szCs w:val="20"/>
        </w:rPr>
        <w:t xml:space="preserve"> and particulate matter concentration in many cities, water contamination and climate changes [2]. To mitigate those impacts, the Indonesian Government has made some efforts to leverage the use of renewable energy sources for fulfilling energy demand in the future [3]. The Government Regulation No. 5/2006 states that the national energy share in the year 2025 is oil &lt; 20%, gas 30%, coal 33%, renewable energy &gt; 17% consisting of biofuel (5%), geothermal energy (5%), biomass, nuclear power, hydropower, solar energy (5%) and coal liquefaction (2%) [4].  The share of biofuel refers to biodiesel, bioethanol, biogas, and also biohydrogen which has a huge potential generation from renewable sources. Therefore, the government has made many efforts to implement strategies in developing renewable energy production efficiently.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Hydrogen fuel is one of the most promising fuels to mitigate major environmental impacts of fossil fuel. It is a clean energy carrier i.e. carbon free, emits only water vapor, has high energy density (142 kJ/g), has less emission of greenhouse gasses i.e.CO</w:t>
      </w:r>
      <w:r w:rsidRPr="008074F6">
        <w:rPr>
          <w:rFonts w:ascii="Times New Roman" w:hAnsi="Times New Roman"/>
          <w:sz w:val="20"/>
          <w:szCs w:val="20"/>
          <w:vertAlign w:val="subscript"/>
        </w:rPr>
        <w:t>2</w:t>
      </w:r>
      <w:r w:rsidRPr="008074F6">
        <w:rPr>
          <w:rFonts w:ascii="Times New Roman" w:hAnsi="Times New Roman"/>
          <w:sz w:val="20"/>
          <w:szCs w:val="20"/>
        </w:rPr>
        <w:t>, and has better energy conversion in fuel cell up to 50% efficiency. Hydrogen production is conducted generally through water splitting when there is sufficient input of free excess energy, otherwise, it is uneconomically feasible to establish. Hydrogen production with the involvement of microbial activity to grow and generate hydrogen become more attractive to elaborate further due to its convenient process condition. For example, mesophilic dark fermentation of organic substrate is able to occur at ambient condition (35 °C, 1 atm, pH 5) with practical yield of 1-3 mol H</w:t>
      </w:r>
      <w:r w:rsidRPr="008074F6">
        <w:rPr>
          <w:rFonts w:ascii="Times New Roman" w:hAnsi="Times New Roman"/>
          <w:sz w:val="20"/>
          <w:szCs w:val="20"/>
          <w:vertAlign w:val="subscript"/>
        </w:rPr>
        <w:t>2</w:t>
      </w:r>
      <w:r w:rsidRPr="008074F6">
        <w:rPr>
          <w:rFonts w:ascii="Times New Roman" w:hAnsi="Times New Roman"/>
          <w:sz w:val="20"/>
          <w:szCs w:val="20"/>
        </w:rPr>
        <w:t xml:space="preserve">/mol glucose [5]. In addition, utilization of organic waste as a substrate to generate this hydrogen provide simultaneous solution between mitigating waste problems and renewable energy production. One of these organic wastes available in abundant quantities from the agricultural sector in Indonesia is fruit waste.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 xml:space="preserve">The waste originates from a fragment of harvested fruits which turned into non-economically value products due to deterioration, market off-specs, and physical damages during agricultural production, post-harvesting handling and storage, processing, distribution, and consumption pattern. According to Central Bureau of Statistics of Indonesia, it was reported that there were more than 17.500 million tons of total edible fruits harvested throughout Indonesia in 2014. Apart from this quantity, the fruits turned into waste at particular percentages depending on cultivation, processing, and distribution technologies. For example, fruit and vegetable waste was estimated approximately 55% of total harvested in South and South East Asia region [6]. Global fresh fruit losses were estimated at least 6.800% of total harvested through region worldwide [7]. Local grocery fruit market in Yogyakarta Province, Indonesia threw away up to 10 tons/day i.e. 10% of incoming fruits due to deterioration during transportation [8]. The majority of these wastes were untreated prior to open dumping area which potentially causes severe environmental problems such as water and soil contamination, emission of methane, diseases, and other health-related problems.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Hydrogen production through dark fermentation is limited to low hydrogen yield and gas production rate due to non-optimized operational condition, of which is the substrate-to-inoculum ratio (SIR). When SIR is low, the fermentation occurs at the limited source of the substrate which potentially prevents the optimum growth of microorganisms. On the contrary, higher SIR indicates an overwhelming substrate which may cause inhibition of substrates, indigenous volatile compounds (e.g. limonene, eugenol, phloretin) and by-products (volatile fatty acids). Cappai et al. [9] reported that the optimum SIR was achieved at 0.140 g VS</w:t>
      </w:r>
      <w:r w:rsidRPr="008074F6">
        <w:rPr>
          <w:rFonts w:ascii="Times New Roman" w:hAnsi="Times New Roman"/>
          <w:sz w:val="20"/>
          <w:szCs w:val="20"/>
          <w:vertAlign w:val="subscript"/>
        </w:rPr>
        <w:t>inoc</w:t>
      </w:r>
      <w:r w:rsidRPr="008074F6">
        <w:rPr>
          <w:rFonts w:ascii="Times New Roman" w:hAnsi="Times New Roman"/>
          <w:sz w:val="20"/>
          <w:szCs w:val="20"/>
        </w:rPr>
        <w:t>/g VS</w:t>
      </w:r>
      <w:r w:rsidRPr="008074F6">
        <w:rPr>
          <w:rFonts w:ascii="Times New Roman" w:hAnsi="Times New Roman"/>
          <w:sz w:val="20"/>
          <w:szCs w:val="20"/>
          <w:vertAlign w:val="subscript"/>
        </w:rPr>
        <w:t>substrate</w:t>
      </w:r>
      <w:r w:rsidRPr="008074F6">
        <w:rPr>
          <w:rFonts w:ascii="Times New Roman" w:hAnsi="Times New Roman"/>
          <w:sz w:val="20"/>
          <w:szCs w:val="20"/>
        </w:rPr>
        <w:t xml:space="preserve"> (equivalent to SIR 7.140) with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of 88.800 liters STP/kg VS of food waste). When peach pulp waste as a substrate, the optimum ratio was found at 0.009 VS</w:t>
      </w:r>
      <w:r w:rsidRPr="008074F6">
        <w:rPr>
          <w:rFonts w:ascii="Times New Roman" w:hAnsi="Times New Roman"/>
          <w:sz w:val="20"/>
          <w:szCs w:val="20"/>
          <w:vertAlign w:val="subscript"/>
        </w:rPr>
        <w:t>inoc</w:t>
      </w:r>
      <w:r w:rsidRPr="008074F6">
        <w:rPr>
          <w:rFonts w:ascii="Times New Roman" w:hAnsi="Times New Roman"/>
          <w:sz w:val="20"/>
          <w:szCs w:val="20"/>
        </w:rPr>
        <w:t>/g VS</w:t>
      </w:r>
      <w:r w:rsidRPr="008074F6">
        <w:rPr>
          <w:rFonts w:ascii="Times New Roman" w:hAnsi="Times New Roman"/>
          <w:sz w:val="20"/>
          <w:szCs w:val="20"/>
          <w:vertAlign w:val="subscript"/>
        </w:rPr>
        <w:t>substrate</w:t>
      </w:r>
      <w:r w:rsidRPr="008074F6">
        <w:rPr>
          <w:rFonts w:ascii="Times New Roman" w:hAnsi="Times New Roman"/>
          <w:sz w:val="20"/>
          <w:szCs w:val="20"/>
        </w:rPr>
        <w:t xml:space="preserve"> (SIR 111) [10]. This indicates that optimum SIR is affected by the type of substrate. Therefore, this research was meant to investigate the optimum condition of SIR on dark fermentation of fruit waste. </w:t>
      </w:r>
    </w:p>
    <w:p w:rsidR="008074F6" w:rsidRPr="008074F6" w:rsidRDefault="008074F6" w:rsidP="008074F6">
      <w:pPr>
        <w:spacing w:after="0" w:line="240" w:lineRule="auto"/>
        <w:jc w:val="center"/>
        <w:rPr>
          <w:rFonts w:ascii="Times New Roman" w:hAnsi="Times New Roman"/>
          <w:b/>
          <w:sz w:val="20"/>
          <w:szCs w:val="20"/>
        </w:rPr>
      </w:pPr>
    </w:p>
    <w:p w:rsidR="008074F6" w:rsidRPr="008074F6" w:rsidRDefault="008074F6" w:rsidP="008074F6">
      <w:pPr>
        <w:spacing w:after="0" w:line="240" w:lineRule="auto"/>
        <w:jc w:val="center"/>
        <w:rPr>
          <w:rFonts w:ascii="Times New Roman" w:hAnsi="Times New Roman"/>
          <w:b/>
          <w:sz w:val="20"/>
          <w:szCs w:val="20"/>
        </w:rPr>
      </w:pPr>
      <w:r w:rsidRPr="008074F6">
        <w:rPr>
          <w:rFonts w:ascii="Times New Roman" w:hAnsi="Times New Roman"/>
          <w:b/>
          <w:sz w:val="20"/>
          <w:szCs w:val="20"/>
        </w:rPr>
        <w:t>Materials and Methods</w:t>
      </w:r>
    </w:p>
    <w:p w:rsidR="008074F6" w:rsidRPr="008074F6" w:rsidRDefault="008074F6" w:rsidP="008074F6">
      <w:pPr>
        <w:spacing w:after="0" w:line="240" w:lineRule="auto"/>
        <w:jc w:val="both"/>
        <w:rPr>
          <w:rFonts w:ascii="Times New Roman" w:hAnsi="Times New Roman"/>
          <w:b/>
          <w:sz w:val="20"/>
          <w:szCs w:val="20"/>
        </w:rPr>
      </w:pPr>
      <w:r w:rsidRPr="008074F6">
        <w:rPr>
          <w:rFonts w:ascii="Times New Roman" w:hAnsi="Times New Roman"/>
          <w:b/>
          <w:sz w:val="20"/>
          <w:szCs w:val="20"/>
        </w:rPr>
        <w:t>Source of inoculum and fruit waste</w:t>
      </w: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 xml:space="preserve">Source of mesophilic inoculum was originated from the residual sludge of cow dung-to-biogas plant. The thermophilic inoculum was collected from the residual sludge of organic fraction of municipal solid waste (OFMSW) to biogas plant. Both sludges passed through sub-sequential acid treatment (pH 5, 24 hours’ exposure time) and heat-shock treatment (95 °C, 45 minutes).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Fruit waste i.e. Apple (</w:t>
      </w:r>
      <w:r w:rsidRPr="008074F6">
        <w:rPr>
          <w:rFonts w:ascii="Times New Roman" w:hAnsi="Times New Roman"/>
          <w:i/>
          <w:sz w:val="20"/>
          <w:szCs w:val="20"/>
        </w:rPr>
        <w:t>Malus pumila</w:t>
      </w:r>
      <w:r w:rsidRPr="008074F6">
        <w:rPr>
          <w:rFonts w:ascii="Times New Roman" w:hAnsi="Times New Roman"/>
          <w:sz w:val="20"/>
          <w:szCs w:val="20"/>
        </w:rPr>
        <w:t>), citrus (</w:t>
      </w:r>
      <w:r w:rsidRPr="008074F6">
        <w:rPr>
          <w:rFonts w:ascii="Times New Roman" w:hAnsi="Times New Roman"/>
          <w:i/>
          <w:sz w:val="20"/>
          <w:szCs w:val="20"/>
        </w:rPr>
        <w:t xml:space="preserve">Citrus </w:t>
      </w:r>
      <w:r w:rsidRPr="008074F6">
        <w:rPr>
          <w:rFonts w:ascii="Times New Roman" w:hAnsi="Times New Roman"/>
          <w:sz w:val="20"/>
          <w:szCs w:val="20"/>
        </w:rPr>
        <w:t>grandis (L.) Osbeck), and melon (</w:t>
      </w:r>
      <w:r w:rsidRPr="008074F6">
        <w:rPr>
          <w:rFonts w:ascii="Times New Roman" w:hAnsi="Times New Roman"/>
          <w:i/>
          <w:sz w:val="20"/>
          <w:szCs w:val="20"/>
        </w:rPr>
        <w:t>Cucumis melo</w:t>
      </w:r>
      <w:r w:rsidRPr="008074F6">
        <w:rPr>
          <w:rFonts w:ascii="Times New Roman" w:hAnsi="Times New Roman"/>
          <w:sz w:val="20"/>
          <w:szCs w:val="20"/>
        </w:rPr>
        <w:t>) was collected from the local grocery market. The waste was individually chopped and grounded using kitchen blender with the addition of tap water to ease the blending operation. It was then stored at cold room (5 °C, 1 atm) prior to being used in the experiment, thereafter called as feedstock.</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b/>
          <w:sz w:val="20"/>
          <w:szCs w:val="20"/>
        </w:rPr>
      </w:pPr>
      <w:r w:rsidRPr="008074F6">
        <w:rPr>
          <w:rFonts w:ascii="Times New Roman" w:hAnsi="Times New Roman"/>
          <w:b/>
          <w:sz w:val="20"/>
          <w:szCs w:val="20"/>
        </w:rPr>
        <w:t>Experimental set up</w:t>
      </w: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Dark fermentation of fruit waste was conducted using 120 mL serum vial injection bottles as a bioreactor for batch assays assessment. Each digester was filled out with 20 mL of inoculum seed, 15 mL of distilled water, 5 mL of macronutrients, and 2.500 mL of micronutrients and feedstock. The volume of feedstock added to bioreactor was adjusted to meet the substrate-to-inoculum ratio of each fruit waste within the range between 0.800 and 174 g VS</w:t>
      </w:r>
      <w:r w:rsidRPr="008074F6">
        <w:rPr>
          <w:rFonts w:ascii="Times New Roman" w:hAnsi="Times New Roman"/>
          <w:sz w:val="20"/>
          <w:szCs w:val="20"/>
          <w:vertAlign w:val="subscript"/>
        </w:rPr>
        <w:t>substrate</w:t>
      </w:r>
      <w:r w:rsidRPr="008074F6">
        <w:rPr>
          <w:rFonts w:ascii="Times New Roman" w:hAnsi="Times New Roman"/>
          <w:sz w:val="20"/>
          <w:szCs w:val="20"/>
        </w:rPr>
        <w:t>/g VS</w:t>
      </w:r>
      <w:r w:rsidRPr="008074F6">
        <w:rPr>
          <w:rFonts w:ascii="Times New Roman" w:hAnsi="Times New Roman"/>
          <w:sz w:val="20"/>
          <w:szCs w:val="20"/>
          <w:vertAlign w:val="subscript"/>
        </w:rPr>
        <w:t>inoc</w:t>
      </w:r>
      <w:r w:rsidRPr="008074F6">
        <w:rPr>
          <w:rFonts w:ascii="Times New Roman" w:hAnsi="Times New Roman"/>
          <w:sz w:val="20"/>
          <w:szCs w:val="20"/>
        </w:rPr>
        <w:t>. Each bioreactor was then closed and sealed using butyl rubber stopper and aluminum cap followed with flushing of N</w:t>
      </w:r>
      <w:r w:rsidRPr="008074F6">
        <w:rPr>
          <w:rFonts w:ascii="Times New Roman" w:hAnsi="Times New Roman"/>
          <w:sz w:val="20"/>
          <w:szCs w:val="20"/>
          <w:vertAlign w:val="subscript"/>
        </w:rPr>
        <w:t>2</w:t>
      </w:r>
      <w:r w:rsidRPr="008074F6">
        <w:rPr>
          <w:rFonts w:ascii="Times New Roman" w:hAnsi="Times New Roman"/>
          <w:sz w:val="20"/>
          <w:szCs w:val="20"/>
        </w:rPr>
        <w:t xml:space="preserve"> gas for 3 minutes. The experimental run was performed in triplicate. A solution of macro- and micro-nutrients were also prepared by addition of 11.400 g FeCl</w:t>
      </w:r>
      <w:r w:rsidRPr="008074F6">
        <w:rPr>
          <w:rFonts w:ascii="Times New Roman" w:hAnsi="Times New Roman"/>
          <w:sz w:val="20"/>
          <w:szCs w:val="20"/>
          <w:vertAlign w:val="subscript"/>
        </w:rPr>
        <w:t>2</w:t>
      </w:r>
      <w:r w:rsidRPr="008074F6">
        <w:rPr>
          <w:rFonts w:ascii="Times New Roman" w:hAnsi="Times New Roman"/>
          <w:sz w:val="20"/>
          <w:szCs w:val="20"/>
        </w:rPr>
        <w:t>.4H</w:t>
      </w:r>
      <w:r w:rsidRPr="008074F6">
        <w:rPr>
          <w:rFonts w:ascii="Times New Roman" w:hAnsi="Times New Roman"/>
          <w:sz w:val="20"/>
          <w:szCs w:val="20"/>
          <w:vertAlign w:val="subscript"/>
        </w:rPr>
        <w:t>2</w:t>
      </w:r>
      <w:r w:rsidRPr="008074F6">
        <w:rPr>
          <w:rFonts w:ascii="Times New Roman" w:hAnsi="Times New Roman"/>
          <w:sz w:val="20"/>
          <w:szCs w:val="20"/>
        </w:rPr>
        <w:t>O, 4.681 g KH</w:t>
      </w:r>
      <w:r w:rsidRPr="008074F6">
        <w:rPr>
          <w:rFonts w:ascii="Times New Roman" w:hAnsi="Times New Roman"/>
          <w:sz w:val="20"/>
          <w:szCs w:val="20"/>
          <w:vertAlign w:val="subscript"/>
        </w:rPr>
        <w:t>2</w:t>
      </w:r>
      <w:r w:rsidRPr="008074F6">
        <w:rPr>
          <w:rFonts w:ascii="Times New Roman" w:hAnsi="Times New Roman"/>
          <w:sz w:val="20"/>
          <w:szCs w:val="20"/>
        </w:rPr>
        <w:t>PO</w:t>
      </w:r>
      <w:r w:rsidRPr="008074F6">
        <w:rPr>
          <w:rFonts w:ascii="Times New Roman" w:hAnsi="Times New Roman"/>
          <w:sz w:val="20"/>
          <w:szCs w:val="20"/>
          <w:vertAlign w:val="subscript"/>
        </w:rPr>
        <w:t>4</w:t>
      </w:r>
      <w:r w:rsidRPr="008074F6">
        <w:rPr>
          <w:rFonts w:ascii="Times New Roman" w:hAnsi="Times New Roman"/>
          <w:sz w:val="20"/>
          <w:szCs w:val="20"/>
        </w:rPr>
        <w:t>, 0.814 g NH</w:t>
      </w:r>
      <w:r w:rsidRPr="008074F6">
        <w:rPr>
          <w:rFonts w:ascii="Times New Roman" w:hAnsi="Times New Roman"/>
          <w:sz w:val="20"/>
          <w:szCs w:val="20"/>
          <w:vertAlign w:val="subscript"/>
        </w:rPr>
        <w:t>4</w:t>
      </w:r>
      <w:r w:rsidRPr="008074F6">
        <w:rPr>
          <w:rFonts w:ascii="Times New Roman" w:hAnsi="Times New Roman"/>
          <w:sz w:val="20"/>
          <w:szCs w:val="20"/>
        </w:rPr>
        <w:t>Cl and 3 g NaHCO</w:t>
      </w:r>
      <w:r w:rsidRPr="008074F6">
        <w:rPr>
          <w:rFonts w:ascii="Times New Roman" w:hAnsi="Times New Roman"/>
          <w:sz w:val="20"/>
          <w:szCs w:val="20"/>
          <w:vertAlign w:val="subscript"/>
        </w:rPr>
        <w:t>3</w:t>
      </w:r>
      <w:r w:rsidRPr="008074F6">
        <w:rPr>
          <w:rFonts w:ascii="Times New Roman" w:hAnsi="Times New Roman"/>
          <w:sz w:val="20"/>
          <w:szCs w:val="20"/>
        </w:rPr>
        <w:t>, 0.320 g MgSO</w:t>
      </w:r>
      <w:r w:rsidRPr="008074F6">
        <w:rPr>
          <w:rFonts w:ascii="Times New Roman" w:hAnsi="Times New Roman"/>
          <w:sz w:val="20"/>
          <w:szCs w:val="20"/>
          <w:vertAlign w:val="subscript"/>
        </w:rPr>
        <w:t>4</w:t>
      </w:r>
      <w:r w:rsidRPr="008074F6">
        <w:rPr>
          <w:rFonts w:ascii="Times New Roman" w:hAnsi="Times New Roman"/>
          <w:sz w:val="20"/>
          <w:szCs w:val="20"/>
        </w:rPr>
        <w:t>.7H</w:t>
      </w:r>
      <w:r w:rsidRPr="008074F6">
        <w:rPr>
          <w:rFonts w:ascii="Times New Roman" w:hAnsi="Times New Roman"/>
          <w:sz w:val="20"/>
          <w:szCs w:val="20"/>
          <w:vertAlign w:val="subscript"/>
        </w:rPr>
        <w:t>2</w:t>
      </w:r>
      <w:r w:rsidRPr="008074F6">
        <w:rPr>
          <w:rFonts w:ascii="Times New Roman" w:hAnsi="Times New Roman"/>
          <w:sz w:val="20"/>
          <w:szCs w:val="20"/>
        </w:rPr>
        <w:t>O, 32 mg NiSO</w:t>
      </w:r>
      <w:r w:rsidRPr="008074F6">
        <w:rPr>
          <w:rFonts w:ascii="Times New Roman" w:hAnsi="Times New Roman"/>
          <w:sz w:val="20"/>
          <w:szCs w:val="20"/>
          <w:vertAlign w:val="subscript"/>
        </w:rPr>
        <w:t>4</w:t>
      </w:r>
      <w:r w:rsidRPr="008074F6">
        <w:rPr>
          <w:rFonts w:ascii="Times New Roman" w:hAnsi="Times New Roman"/>
          <w:sz w:val="20"/>
          <w:szCs w:val="20"/>
        </w:rPr>
        <w:t>.6H</w:t>
      </w:r>
      <w:r w:rsidRPr="008074F6">
        <w:rPr>
          <w:rFonts w:ascii="Times New Roman" w:hAnsi="Times New Roman"/>
          <w:sz w:val="20"/>
          <w:szCs w:val="20"/>
          <w:vertAlign w:val="subscript"/>
        </w:rPr>
        <w:t>2</w:t>
      </w:r>
      <w:r w:rsidRPr="008074F6">
        <w:rPr>
          <w:rFonts w:ascii="Times New Roman" w:hAnsi="Times New Roman"/>
          <w:sz w:val="20"/>
          <w:szCs w:val="20"/>
        </w:rPr>
        <w:t>O, 50 mg CaCl</w:t>
      </w:r>
      <w:r w:rsidRPr="008074F6">
        <w:rPr>
          <w:rFonts w:ascii="Times New Roman" w:hAnsi="Times New Roman"/>
          <w:sz w:val="20"/>
          <w:szCs w:val="20"/>
          <w:vertAlign w:val="subscript"/>
        </w:rPr>
        <w:t>2</w:t>
      </w:r>
      <w:r w:rsidRPr="008074F6">
        <w:rPr>
          <w:rFonts w:ascii="Times New Roman" w:hAnsi="Times New Roman"/>
          <w:sz w:val="20"/>
          <w:szCs w:val="20"/>
        </w:rPr>
        <w:t>, 7 mg Na</w:t>
      </w:r>
      <w:r w:rsidRPr="008074F6">
        <w:rPr>
          <w:rFonts w:ascii="Times New Roman" w:hAnsi="Times New Roman"/>
          <w:sz w:val="20"/>
          <w:szCs w:val="20"/>
          <w:vertAlign w:val="subscript"/>
        </w:rPr>
        <w:t>2</w:t>
      </w:r>
      <w:r w:rsidRPr="008074F6">
        <w:rPr>
          <w:rFonts w:ascii="Times New Roman" w:hAnsi="Times New Roman"/>
          <w:sz w:val="20"/>
          <w:szCs w:val="20"/>
        </w:rPr>
        <w:t>B</w:t>
      </w:r>
      <w:r w:rsidRPr="008074F6">
        <w:rPr>
          <w:rFonts w:ascii="Times New Roman" w:hAnsi="Times New Roman"/>
          <w:sz w:val="20"/>
          <w:szCs w:val="20"/>
          <w:vertAlign w:val="subscript"/>
        </w:rPr>
        <w:t>4</w:t>
      </w:r>
      <w:r w:rsidRPr="008074F6">
        <w:rPr>
          <w:rFonts w:ascii="Times New Roman" w:hAnsi="Times New Roman"/>
          <w:sz w:val="20"/>
          <w:szCs w:val="20"/>
        </w:rPr>
        <w:t>O</w:t>
      </w:r>
      <w:r w:rsidRPr="008074F6">
        <w:rPr>
          <w:rFonts w:ascii="Times New Roman" w:hAnsi="Times New Roman"/>
          <w:sz w:val="20"/>
          <w:szCs w:val="20"/>
          <w:vertAlign w:val="subscript"/>
        </w:rPr>
        <w:t>7</w:t>
      </w:r>
      <w:r w:rsidRPr="008074F6">
        <w:rPr>
          <w:rFonts w:ascii="Times New Roman" w:hAnsi="Times New Roman"/>
          <w:sz w:val="20"/>
          <w:szCs w:val="20"/>
        </w:rPr>
        <w:t>.10H</w:t>
      </w:r>
      <w:r w:rsidRPr="008074F6">
        <w:rPr>
          <w:rFonts w:ascii="Times New Roman" w:hAnsi="Times New Roman"/>
          <w:sz w:val="20"/>
          <w:szCs w:val="20"/>
          <w:vertAlign w:val="subscript"/>
        </w:rPr>
        <w:t>2</w:t>
      </w:r>
      <w:r w:rsidRPr="008074F6">
        <w:rPr>
          <w:rFonts w:ascii="Times New Roman" w:hAnsi="Times New Roman"/>
          <w:sz w:val="20"/>
          <w:szCs w:val="20"/>
        </w:rPr>
        <w:t>O, 14 mg (NH</w:t>
      </w:r>
      <w:r w:rsidRPr="008074F6">
        <w:rPr>
          <w:rFonts w:ascii="Times New Roman" w:hAnsi="Times New Roman"/>
          <w:sz w:val="20"/>
          <w:szCs w:val="20"/>
          <w:vertAlign w:val="subscript"/>
        </w:rPr>
        <w:t>4</w:t>
      </w:r>
      <w:r w:rsidRPr="008074F6">
        <w:rPr>
          <w:rFonts w:ascii="Times New Roman" w:hAnsi="Times New Roman"/>
          <w:sz w:val="20"/>
          <w:szCs w:val="20"/>
        </w:rPr>
        <w:t>)</w:t>
      </w:r>
      <w:r w:rsidRPr="008074F6">
        <w:rPr>
          <w:rFonts w:ascii="Times New Roman" w:hAnsi="Times New Roman"/>
          <w:sz w:val="20"/>
          <w:szCs w:val="20"/>
          <w:vertAlign w:val="subscript"/>
        </w:rPr>
        <w:t>6</w:t>
      </w:r>
      <w:r w:rsidRPr="008074F6">
        <w:rPr>
          <w:rFonts w:ascii="Times New Roman" w:hAnsi="Times New Roman"/>
          <w:sz w:val="20"/>
          <w:szCs w:val="20"/>
        </w:rPr>
        <w:t>Mo</w:t>
      </w:r>
      <w:r w:rsidRPr="008074F6">
        <w:rPr>
          <w:rFonts w:ascii="Times New Roman" w:hAnsi="Times New Roman"/>
          <w:sz w:val="20"/>
          <w:szCs w:val="20"/>
          <w:vertAlign w:val="subscript"/>
        </w:rPr>
        <w:t>7</w:t>
      </w:r>
      <w:r w:rsidRPr="008074F6">
        <w:rPr>
          <w:rFonts w:ascii="Times New Roman" w:hAnsi="Times New Roman"/>
          <w:sz w:val="20"/>
          <w:szCs w:val="20"/>
        </w:rPr>
        <w:t>O</w:t>
      </w:r>
      <w:r w:rsidRPr="008074F6">
        <w:rPr>
          <w:rFonts w:ascii="Times New Roman" w:hAnsi="Times New Roman"/>
          <w:sz w:val="20"/>
          <w:szCs w:val="20"/>
          <w:vertAlign w:val="subscript"/>
        </w:rPr>
        <w:t>24</w:t>
      </w:r>
      <w:r w:rsidRPr="008074F6">
        <w:rPr>
          <w:rFonts w:ascii="Times New Roman" w:hAnsi="Times New Roman"/>
          <w:sz w:val="20"/>
          <w:szCs w:val="20"/>
        </w:rPr>
        <w:t>.4H</w:t>
      </w:r>
      <w:r w:rsidRPr="008074F6">
        <w:rPr>
          <w:rFonts w:ascii="Times New Roman" w:hAnsi="Times New Roman"/>
          <w:sz w:val="20"/>
          <w:szCs w:val="20"/>
          <w:vertAlign w:val="subscript"/>
        </w:rPr>
        <w:t>2</w:t>
      </w:r>
      <w:r w:rsidRPr="008074F6">
        <w:rPr>
          <w:rFonts w:ascii="Times New Roman" w:hAnsi="Times New Roman"/>
          <w:sz w:val="20"/>
          <w:szCs w:val="20"/>
        </w:rPr>
        <w:t>0, 23 mg ZnCl</w:t>
      </w:r>
      <w:r w:rsidRPr="008074F6">
        <w:rPr>
          <w:rFonts w:ascii="Times New Roman" w:hAnsi="Times New Roman"/>
          <w:sz w:val="20"/>
          <w:szCs w:val="20"/>
          <w:vertAlign w:val="subscript"/>
        </w:rPr>
        <w:t>2</w:t>
      </w:r>
      <w:r w:rsidRPr="008074F6">
        <w:rPr>
          <w:rFonts w:ascii="Times New Roman" w:hAnsi="Times New Roman"/>
          <w:sz w:val="20"/>
          <w:szCs w:val="20"/>
        </w:rPr>
        <w:t>, 21 mg CoCl</w:t>
      </w:r>
      <w:r w:rsidRPr="008074F6">
        <w:rPr>
          <w:rFonts w:ascii="Times New Roman" w:hAnsi="Times New Roman"/>
          <w:sz w:val="20"/>
          <w:szCs w:val="20"/>
          <w:vertAlign w:val="subscript"/>
        </w:rPr>
        <w:t>6</w:t>
      </w:r>
      <w:r w:rsidRPr="008074F6">
        <w:rPr>
          <w:rFonts w:ascii="Times New Roman" w:hAnsi="Times New Roman"/>
          <w:sz w:val="20"/>
          <w:szCs w:val="20"/>
        </w:rPr>
        <w:t>.H</w:t>
      </w:r>
      <w:r w:rsidRPr="008074F6">
        <w:rPr>
          <w:rFonts w:ascii="Times New Roman" w:hAnsi="Times New Roman"/>
          <w:sz w:val="20"/>
          <w:szCs w:val="20"/>
          <w:vertAlign w:val="subscript"/>
        </w:rPr>
        <w:t>2</w:t>
      </w:r>
      <w:r w:rsidRPr="008074F6">
        <w:rPr>
          <w:rFonts w:ascii="Times New Roman" w:hAnsi="Times New Roman"/>
          <w:sz w:val="20"/>
          <w:szCs w:val="20"/>
        </w:rPr>
        <w:t>O, 10 mg CuCl</w:t>
      </w:r>
      <w:r w:rsidRPr="008074F6">
        <w:rPr>
          <w:rFonts w:ascii="Times New Roman" w:hAnsi="Times New Roman"/>
          <w:sz w:val="20"/>
          <w:szCs w:val="20"/>
          <w:vertAlign w:val="subscript"/>
        </w:rPr>
        <w:t>2</w:t>
      </w:r>
      <w:r w:rsidRPr="008074F6">
        <w:rPr>
          <w:rFonts w:ascii="Times New Roman" w:hAnsi="Times New Roman"/>
          <w:sz w:val="20"/>
          <w:szCs w:val="20"/>
        </w:rPr>
        <w:t>.2H</w:t>
      </w:r>
      <w:r w:rsidRPr="008074F6">
        <w:rPr>
          <w:rFonts w:ascii="Times New Roman" w:hAnsi="Times New Roman"/>
          <w:sz w:val="20"/>
          <w:szCs w:val="20"/>
          <w:vertAlign w:val="subscript"/>
        </w:rPr>
        <w:t>2</w:t>
      </w:r>
      <w:r w:rsidRPr="008074F6">
        <w:rPr>
          <w:rFonts w:ascii="Times New Roman" w:hAnsi="Times New Roman"/>
          <w:sz w:val="20"/>
          <w:szCs w:val="20"/>
        </w:rPr>
        <w:t>O into 1000 mL of DW respectively</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b/>
          <w:sz w:val="20"/>
          <w:szCs w:val="20"/>
        </w:rPr>
      </w:pPr>
      <w:r w:rsidRPr="008074F6">
        <w:rPr>
          <w:rFonts w:ascii="Times New Roman" w:hAnsi="Times New Roman"/>
          <w:b/>
          <w:sz w:val="20"/>
          <w:szCs w:val="20"/>
        </w:rPr>
        <w:t xml:space="preserve">Analysis </w:t>
      </w: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Total gas production during dark fermentation process was conducted through measurement of bioreactor’s headspace pressure. Analysis of hydrogen content was performed using a gas chromatography unit (Auto System Perkin Elmer, Waltham, MA) equipped with Perkin Elmer packed column, 6’x 1.8” OD, 8-/100 mesh and thermal conductivity detector with oven, injection and detector temperatures as 75 °C, 150 °C, and 200 °C, respectively. Analysis of limonene concentration was performed using GC-MS (HP G1800C, Agilent, Palo Alto CA) with helium as a carrier gas with initial temperature of 50 °C and temperature increasing the rate of 15 °C/min up to 250 °C and it was maintained at this temperature for 3 minutes. Extraction of limonene in citrus was conducted using n-heptane (25 mL, 99% purity) to 14 mL of citrus juice and centrifugation at 3500 g (30 minutes). Nitrogen was used as carrier gas operating at 40 mL/min flow rate at 60 °C. Analysis of monosaccharide was carried out using HPLC-based on reference [11]. Analysis of moisture, total solid (TS), volatile solid (VS), and ash was carried out according to the standard method of water and wastewater analysis of American Public Health Association (APHA) procedures [12]. The degree of acidity (pH) was measured using digital pH meter (Jenway, UK).</w:t>
      </w:r>
    </w:p>
    <w:p w:rsidR="006768E9" w:rsidRPr="00F447A7" w:rsidRDefault="006768E9" w:rsidP="008074F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8074F6" w:rsidRPr="008074F6" w:rsidRDefault="008074F6" w:rsidP="008074F6">
      <w:pPr>
        <w:spacing w:after="0" w:line="240" w:lineRule="auto"/>
        <w:jc w:val="both"/>
        <w:rPr>
          <w:rFonts w:ascii="Times New Roman" w:hAnsi="Times New Roman"/>
          <w:b/>
          <w:sz w:val="20"/>
          <w:szCs w:val="20"/>
        </w:rPr>
      </w:pPr>
      <w:r w:rsidRPr="008074F6">
        <w:rPr>
          <w:rFonts w:ascii="Times New Roman" w:hAnsi="Times New Roman"/>
          <w:b/>
          <w:sz w:val="20"/>
          <w:szCs w:val="20"/>
        </w:rPr>
        <w:t>Characteristics of selected fruit waste</w:t>
      </w:r>
    </w:p>
    <w:p w:rsid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Global fruit production was recorded nearly 400 million metric tons in 2014 [13]. It was comprised of bananas, watermelons, apples, grapes, citrus, mangoes, plantain, and melons as the top ten global fruit harvested as shown in Figure 1. Accordingly, most of the fruit waste consists of these sorts of fruits which may be found in any region. Valorization of these waste through fermentation to produce hydrogen is a promising method to mitigate environmental impacts and generating renewable energy sources on a global scale. Apple (</w:t>
      </w:r>
      <w:r w:rsidRPr="008074F6">
        <w:rPr>
          <w:rFonts w:ascii="Times New Roman" w:hAnsi="Times New Roman"/>
          <w:i/>
          <w:sz w:val="20"/>
          <w:szCs w:val="20"/>
        </w:rPr>
        <w:t>Malus pumila</w:t>
      </w:r>
      <w:r w:rsidRPr="008074F6">
        <w:rPr>
          <w:rFonts w:ascii="Times New Roman" w:hAnsi="Times New Roman"/>
          <w:sz w:val="20"/>
          <w:szCs w:val="20"/>
        </w:rPr>
        <w:t>), citrus (</w:t>
      </w:r>
      <w:r w:rsidRPr="008074F6">
        <w:rPr>
          <w:rFonts w:ascii="Times New Roman" w:hAnsi="Times New Roman"/>
          <w:i/>
          <w:sz w:val="20"/>
          <w:szCs w:val="20"/>
        </w:rPr>
        <w:t>Citrus grandis</w:t>
      </w:r>
      <w:r w:rsidRPr="008074F6">
        <w:rPr>
          <w:rFonts w:ascii="Times New Roman" w:hAnsi="Times New Roman"/>
          <w:sz w:val="20"/>
          <w:szCs w:val="20"/>
        </w:rPr>
        <w:t xml:space="preserve"> (L.) Osbeck), and melon (</w:t>
      </w:r>
      <w:r w:rsidRPr="008074F6">
        <w:rPr>
          <w:rFonts w:ascii="Times New Roman" w:hAnsi="Times New Roman"/>
          <w:i/>
          <w:sz w:val="20"/>
          <w:szCs w:val="20"/>
        </w:rPr>
        <w:t>Cucumis melo</w:t>
      </w:r>
      <w:r w:rsidRPr="008074F6">
        <w:rPr>
          <w:rFonts w:ascii="Times New Roman" w:hAnsi="Times New Roman"/>
          <w:sz w:val="20"/>
          <w:szCs w:val="20"/>
        </w:rPr>
        <w:t xml:space="preserve">) waste was estimated to be the highest waste composition due to physical damage and deterioration during cultivation to transportation considering their soft peel structure compare to the other fruits. Global apple production was more than 84 million tons spread out throughout many regions, except for the small quantity in Southeast Asia (4.8 MMT). Therefore, this research was focused on the utilization of the three fruits as representative of global fruit waste and only citrus and melon as representative of SEA region. </w:t>
      </w:r>
    </w:p>
    <w:p w:rsidR="008074F6" w:rsidRDefault="008074F6" w:rsidP="008074F6">
      <w:pPr>
        <w:spacing w:after="0" w:line="240" w:lineRule="auto"/>
        <w:jc w:val="both"/>
        <w:rPr>
          <w:rFonts w:ascii="Times New Roman" w:hAnsi="Times New Roman"/>
          <w:sz w:val="20"/>
          <w:szCs w:val="20"/>
        </w:rPr>
      </w:pPr>
    </w:p>
    <w:p w:rsidR="008074F6" w:rsidRDefault="008074F6" w:rsidP="008074F6">
      <w:pPr>
        <w:spacing w:after="0" w:line="240" w:lineRule="auto"/>
        <w:jc w:val="both"/>
        <w:rPr>
          <w:rFonts w:ascii="Times New Roman" w:hAnsi="Times New Roman"/>
          <w:sz w:val="20"/>
          <w:szCs w:val="20"/>
        </w:rPr>
      </w:pPr>
    </w:p>
    <w:p w:rsidR="008074F6" w:rsidRDefault="008074F6" w:rsidP="008074F6">
      <w:pPr>
        <w:spacing w:after="0" w:line="240" w:lineRule="auto"/>
        <w:jc w:val="both"/>
        <w:rPr>
          <w:rFonts w:ascii="Times New Roman" w:hAnsi="Times New Roman"/>
          <w:sz w:val="20"/>
          <w:szCs w:val="20"/>
        </w:rPr>
      </w:pPr>
    </w:p>
    <w:p w:rsidR="008074F6" w:rsidRDefault="008074F6" w:rsidP="008074F6">
      <w:pPr>
        <w:spacing w:after="0" w:line="240" w:lineRule="auto"/>
        <w:jc w:val="both"/>
        <w:rPr>
          <w:rFonts w:ascii="Times New Roman" w:hAnsi="Times New Roman"/>
          <w:sz w:val="20"/>
          <w:szCs w:val="20"/>
        </w:rPr>
      </w:pPr>
    </w:p>
    <w:p w:rsidR="008074F6" w:rsidRDefault="008074F6" w:rsidP="008074F6">
      <w:pPr>
        <w:spacing w:after="0" w:line="240" w:lineRule="auto"/>
        <w:jc w:val="both"/>
        <w:rPr>
          <w:rFonts w:ascii="Times New Roman" w:hAnsi="Times New Roman"/>
          <w:sz w:val="20"/>
          <w:szCs w:val="20"/>
        </w:rPr>
      </w:pPr>
    </w:p>
    <w:p w:rsidR="008074F6" w:rsidRDefault="008074F6" w:rsidP="008074F6">
      <w:pPr>
        <w:spacing w:after="0" w:line="240" w:lineRule="auto"/>
        <w:jc w:val="both"/>
        <w:rPr>
          <w:rFonts w:ascii="Times New Roman" w:hAnsi="Times New Roman"/>
          <w:sz w:val="20"/>
          <w:szCs w:val="20"/>
        </w:rPr>
      </w:pPr>
    </w:p>
    <w:p w:rsidR="008074F6" w:rsidRDefault="008074F6" w:rsidP="008074F6">
      <w:pPr>
        <w:spacing w:after="0" w:line="240" w:lineRule="auto"/>
        <w:jc w:val="both"/>
        <w:rPr>
          <w:rFonts w:ascii="Times New Roman" w:hAnsi="Times New Roman"/>
          <w:sz w:val="20"/>
          <w:szCs w:val="20"/>
        </w:rPr>
      </w:pPr>
    </w:p>
    <w:p w:rsid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noProof/>
          <w:sz w:val="20"/>
          <w:szCs w:val="20"/>
          <w:lang w:bidi="ar-SA"/>
        </w:rPr>
        <w:lastRenderedPageBreak/>
        <w:drawing>
          <wp:anchor distT="0" distB="0" distL="114300" distR="114300" simplePos="0" relativeHeight="251660800" behindDoc="0" locked="0" layoutInCell="1" allowOverlap="1" wp14:anchorId="5FB7D79C" wp14:editId="2AD76AB8">
            <wp:simplePos x="0" y="0"/>
            <wp:positionH relativeFrom="column">
              <wp:posOffset>1066800</wp:posOffset>
            </wp:positionH>
            <wp:positionV relativeFrom="paragraph">
              <wp:posOffset>0</wp:posOffset>
            </wp:positionV>
            <wp:extent cx="3505200" cy="2247900"/>
            <wp:effectExtent l="0" t="0" r="19050" b="19050"/>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center"/>
        <w:rPr>
          <w:rFonts w:ascii="Times New Roman" w:hAnsi="Times New Roman"/>
          <w:sz w:val="20"/>
          <w:szCs w:val="20"/>
        </w:rPr>
      </w:pPr>
      <w:r w:rsidRPr="008074F6">
        <w:rPr>
          <w:rFonts w:ascii="Times New Roman" w:hAnsi="Times New Roman"/>
          <w:sz w:val="20"/>
          <w:szCs w:val="20"/>
        </w:rPr>
        <w:t xml:space="preserve">Figure 1. </w:t>
      </w:r>
      <w:r>
        <w:rPr>
          <w:rFonts w:ascii="Times New Roman" w:hAnsi="Times New Roman"/>
          <w:sz w:val="20"/>
          <w:szCs w:val="20"/>
        </w:rPr>
        <w:t xml:space="preserve"> </w:t>
      </w:r>
      <w:r w:rsidRPr="008074F6">
        <w:rPr>
          <w:rFonts w:ascii="Times New Roman" w:hAnsi="Times New Roman"/>
          <w:sz w:val="20"/>
          <w:szCs w:val="20"/>
        </w:rPr>
        <w:t>Fruit Production in Global region, Southeast Asia region (SEA), and Indonesia [13]</w:t>
      </w:r>
    </w:p>
    <w:p w:rsidR="008074F6" w:rsidRDefault="008074F6" w:rsidP="008074F6">
      <w:pPr>
        <w:spacing w:after="12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Apple (</w:t>
      </w:r>
      <w:r w:rsidRPr="008074F6">
        <w:rPr>
          <w:rFonts w:ascii="Times New Roman" w:hAnsi="Times New Roman"/>
          <w:i/>
          <w:sz w:val="20"/>
          <w:szCs w:val="20"/>
        </w:rPr>
        <w:t>Malus pumila</w:t>
      </w:r>
      <w:r w:rsidRPr="008074F6">
        <w:rPr>
          <w:rFonts w:ascii="Times New Roman" w:hAnsi="Times New Roman"/>
          <w:sz w:val="20"/>
          <w:szCs w:val="20"/>
        </w:rPr>
        <w:t>), citrus (</w:t>
      </w:r>
      <w:r w:rsidRPr="008074F6">
        <w:rPr>
          <w:rFonts w:ascii="Times New Roman" w:hAnsi="Times New Roman"/>
          <w:i/>
          <w:sz w:val="20"/>
          <w:szCs w:val="20"/>
        </w:rPr>
        <w:t>Citrus grandis</w:t>
      </w:r>
      <w:r w:rsidRPr="008074F6">
        <w:rPr>
          <w:rFonts w:ascii="Times New Roman" w:hAnsi="Times New Roman"/>
          <w:sz w:val="20"/>
          <w:szCs w:val="20"/>
        </w:rPr>
        <w:t xml:space="preserve"> (L.) Osbeck), and melon (</w:t>
      </w:r>
      <w:r w:rsidRPr="008074F6">
        <w:rPr>
          <w:rFonts w:ascii="Times New Roman" w:hAnsi="Times New Roman"/>
          <w:i/>
          <w:sz w:val="20"/>
          <w:szCs w:val="20"/>
        </w:rPr>
        <w:t>Cucumis melo</w:t>
      </w:r>
      <w:r w:rsidRPr="008074F6">
        <w:rPr>
          <w:rFonts w:ascii="Times New Roman" w:hAnsi="Times New Roman"/>
          <w:sz w:val="20"/>
          <w:szCs w:val="20"/>
        </w:rPr>
        <w:t>) were characterized by their physicochemical properties as shown in Table 1. More than 90% of total fruit weight is composed of water and soluble sugars. Total and volatile solid of both citrus and apple are similar accounting for 5-6% and 97% respectively, except that of melon. The volatile solid content of melon is lower due to the higher content of ashes. It was reported that melon peels contain 69.770% of carbohydrate and 3.670% of Ashes [17]. Limonene was found in citrus fruit at 0.125 mg/L of whole citrus fruit juice. Phloretin was reported as a major component in apple seed at concentration 1,674 mg/kg. Although eugenol could be found in each of the fruit, the highest concentration was exhibited in melon fruit. These three volatile compounds are known as an antimicrobial agent. The previous experiments demonstrated that methane production was interrupted due to the presence of limonene with half maximum inhibitory concentration, IC</w:t>
      </w:r>
      <w:r w:rsidRPr="008074F6">
        <w:rPr>
          <w:rFonts w:ascii="Times New Roman" w:hAnsi="Times New Roman"/>
          <w:sz w:val="20"/>
          <w:szCs w:val="20"/>
          <w:vertAlign w:val="subscript"/>
        </w:rPr>
        <w:t>50</w:t>
      </w:r>
      <w:r w:rsidRPr="008074F6">
        <w:rPr>
          <w:rFonts w:ascii="Times New Roman" w:hAnsi="Times New Roman"/>
          <w:sz w:val="20"/>
          <w:szCs w:val="20"/>
        </w:rPr>
        <w:t xml:space="preserve"> was 669 mg/kg [20]. Phloretin in Apple was also reported to cause growth inhibition of some Gram positive and Gram-negative bacteria such as </w:t>
      </w:r>
      <w:r w:rsidRPr="008074F6">
        <w:rPr>
          <w:rFonts w:ascii="Times New Roman" w:hAnsi="Times New Roman"/>
          <w:i/>
          <w:sz w:val="20"/>
          <w:szCs w:val="20"/>
        </w:rPr>
        <w:t>Staphylococcus aureus</w:t>
      </w:r>
      <w:r w:rsidRPr="008074F6">
        <w:rPr>
          <w:rFonts w:ascii="Times New Roman" w:hAnsi="Times New Roman"/>
          <w:sz w:val="20"/>
          <w:szCs w:val="20"/>
        </w:rPr>
        <w:t xml:space="preserve"> and </w:t>
      </w:r>
      <w:r w:rsidRPr="008074F6">
        <w:rPr>
          <w:rFonts w:ascii="Times New Roman" w:hAnsi="Times New Roman"/>
          <w:i/>
          <w:sz w:val="20"/>
          <w:szCs w:val="20"/>
        </w:rPr>
        <w:t>Salmonella typhimurium</w:t>
      </w:r>
      <w:r w:rsidRPr="008074F6">
        <w:rPr>
          <w:rFonts w:ascii="Times New Roman" w:hAnsi="Times New Roman"/>
          <w:sz w:val="20"/>
          <w:szCs w:val="20"/>
        </w:rPr>
        <w:t>, respectively with a MICs 125 μg/mL [21]. In addition, eugenol was shown to inhibit the activation and maturation of dendritic cells of microorganisms with IC</w:t>
      </w:r>
      <w:r w:rsidRPr="008074F6">
        <w:rPr>
          <w:rFonts w:ascii="Times New Roman" w:hAnsi="Times New Roman"/>
          <w:sz w:val="20"/>
          <w:szCs w:val="20"/>
          <w:vertAlign w:val="subscript"/>
        </w:rPr>
        <w:t xml:space="preserve">50 </w:t>
      </w:r>
      <w:r w:rsidRPr="008074F6">
        <w:rPr>
          <w:rFonts w:ascii="Times New Roman" w:hAnsi="Times New Roman"/>
          <w:sz w:val="20"/>
          <w:szCs w:val="20"/>
        </w:rPr>
        <w:t xml:space="preserve">approximately at 50 μM [22]. This indicates that optimization of hydrogen production from the fruit waste is also related to inhibition or retardation of these three volatile compounds. In addition, total soluble sugar was found higher in apple and melon compared to that in citrus indicating that the two fruits have higher readily available substrate for the fermentation process.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120" w:line="240" w:lineRule="auto"/>
        <w:jc w:val="center"/>
        <w:rPr>
          <w:rFonts w:ascii="Times New Roman" w:hAnsi="Times New Roman"/>
          <w:sz w:val="20"/>
          <w:szCs w:val="20"/>
        </w:rPr>
      </w:pPr>
      <w:r w:rsidRPr="008074F6">
        <w:rPr>
          <w:rFonts w:ascii="Times New Roman" w:hAnsi="Times New Roman"/>
          <w:sz w:val="20"/>
          <w:szCs w:val="20"/>
        </w:rPr>
        <w:t xml:space="preserve">Table 1. </w:t>
      </w:r>
      <w:r>
        <w:rPr>
          <w:rFonts w:ascii="Times New Roman" w:hAnsi="Times New Roman"/>
          <w:sz w:val="20"/>
          <w:szCs w:val="20"/>
        </w:rPr>
        <w:t xml:space="preserve"> </w:t>
      </w:r>
      <w:r w:rsidRPr="008074F6">
        <w:rPr>
          <w:rFonts w:ascii="Times New Roman" w:hAnsi="Times New Roman"/>
          <w:sz w:val="20"/>
          <w:szCs w:val="20"/>
        </w:rPr>
        <w:t>Characteristics of fruit waste</w:t>
      </w:r>
    </w:p>
    <w:tbl>
      <w:tblPr>
        <w:tblStyle w:val="PlainTable2"/>
        <w:tblW w:w="0" w:type="auto"/>
        <w:jc w:val="center"/>
        <w:tblLook w:val="0400" w:firstRow="0" w:lastRow="0" w:firstColumn="0" w:lastColumn="0" w:noHBand="0" w:noVBand="1"/>
      </w:tblPr>
      <w:tblGrid>
        <w:gridCol w:w="2277"/>
        <w:gridCol w:w="1756"/>
        <w:gridCol w:w="1500"/>
        <w:gridCol w:w="1533"/>
        <w:gridCol w:w="950"/>
      </w:tblGrid>
      <w:tr w:rsidR="008074F6" w:rsidRPr="008074F6" w:rsidTr="008074F6">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Borders>
              <w:top w:val="single" w:sz="4" w:space="0" w:color="auto"/>
              <w:bottom w:val="single" w:sz="4" w:space="0" w:color="auto"/>
            </w:tcBorders>
          </w:tcPr>
          <w:p w:rsidR="008074F6" w:rsidRPr="008074F6" w:rsidRDefault="008074F6" w:rsidP="008074F6">
            <w:pPr>
              <w:spacing w:before="60" w:after="0" w:line="240" w:lineRule="auto"/>
              <w:rPr>
                <w:rFonts w:ascii="Times New Roman" w:hAnsi="Times New Roman" w:cs="Times New Roman"/>
                <w:b/>
                <w:sz w:val="20"/>
                <w:szCs w:val="20"/>
              </w:rPr>
            </w:pPr>
            <w:r w:rsidRPr="008074F6">
              <w:rPr>
                <w:rFonts w:ascii="Times New Roman" w:hAnsi="Times New Roman" w:cs="Times New Roman"/>
                <w:b/>
                <w:sz w:val="20"/>
                <w:szCs w:val="20"/>
              </w:rPr>
              <w:t>Parameters</w:t>
            </w:r>
          </w:p>
        </w:tc>
        <w:tc>
          <w:tcPr>
            <w:tcW w:w="0" w:type="auto"/>
            <w:tcBorders>
              <w:top w:val="single" w:sz="4" w:space="0" w:color="auto"/>
              <w:bottom w:val="single" w:sz="4" w:space="0" w:color="auto"/>
            </w:tcBorders>
          </w:tcPr>
          <w:p w:rsidR="008074F6" w:rsidRPr="008074F6" w:rsidRDefault="008074F6" w:rsidP="008074F6">
            <w:pPr>
              <w:spacing w:before="60" w:after="0" w:line="240" w:lineRule="auto"/>
              <w:jc w:val="center"/>
              <w:rPr>
                <w:rFonts w:ascii="Times New Roman" w:hAnsi="Times New Roman" w:cs="Times New Roman"/>
                <w:b/>
                <w:sz w:val="20"/>
                <w:szCs w:val="20"/>
              </w:rPr>
            </w:pPr>
            <w:r w:rsidRPr="008074F6">
              <w:rPr>
                <w:rFonts w:ascii="Times New Roman" w:hAnsi="Times New Roman" w:cs="Times New Roman"/>
                <w:b/>
                <w:sz w:val="20"/>
                <w:szCs w:val="20"/>
              </w:rPr>
              <w:t>Citrus</w:t>
            </w:r>
          </w:p>
          <w:p w:rsidR="008074F6" w:rsidRPr="008074F6" w:rsidRDefault="008074F6" w:rsidP="008074F6">
            <w:pPr>
              <w:spacing w:after="0" w:line="240" w:lineRule="auto"/>
              <w:jc w:val="center"/>
              <w:rPr>
                <w:rFonts w:ascii="Times New Roman" w:hAnsi="Times New Roman" w:cs="Times New Roman"/>
                <w:b/>
                <w:sz w:val="20"/>
                <w:szCs w:val="20"/>
              </w:rPr>
            </w:pPr>
            <w:r w:rsidRPr="008074F6">
              <w:rPr>
                <w:rFonts w:ascii="Times New Roman" w:hAnsi="Times New Roman" w:cs="Times New Roman"/>
                <w:b/>
                <w:sz w:val="20"/>
                <w:szCs w:val="20"/>
              </w:rPr>
              <w:t>(</w:t>
            </w:r>
            <w:r w:rsidRPr="008074F6">
              <w:rPr>
                <w:rFonts w:ascii="Times New Roman" w:hAnsi="Times New Roman" w:cs="Times New Roman"/>
                <w:b/>
                <w:i/>
                <w:sz w:val="20"/>
                <w:szCs w:val="20"/>
              </w:rPr>
              <w:t>Citrus grandis L.)</w:t>
            </w:r>
          </w:p>
        </w:tc>
        <w:tc>
          <w:tcPr>
            <w:tcW w:w="0" w:type="auto"/>
            <w:tcBorders>
              <w:top w:val="single" w:sz="4" w:space="0" w:color="auto"/>
              <w:bottom w:val="single" w:sz="4" w:space="0" w:color="auto"/>
            </w:tcBorders>
          </w:tcPr>
          <w:p w:rsidR="008074F6" w:rsidRPr="008074F6" w:rsidRDefault="008074F6" w:rsidP="008074F6">
            <w:pPr>
              <w:spacing w:before="60" w:after="0" w:line="240" w:lineRule="auto"/>
              <w:jc w:val="center"/>
              <w:rPr>
                <w:rFonts w:ascii="Times New Roman" w:hAnsi="Times New Roman" w:cs="Times New Roman"/>
                <w:b/>
                <w:sz w:val="20"/>
                <w:szCs w:val="20"/>
              </w:rPr>
            </w:pPr>
            <w:r w:rsidRPr="008074F6">
              <w:rPr>
                <w:rFonts w:ascii="Times New Roman" w:hAnsi="Times New Roman" w:cs="Times New Roman"/>
                <w:b/>
                <w:sz w:val="20"/>
                <w:szCs w:val="20"/>
              </w:rPr>
              <w:t>Apple</w:t>
            </w:r>
          </w:p>
          <w:p w:rsidR="008074F6" w:rsidRPr="008074F6" w:rsidRDefault="008074F6" w:rsidP="008074F6">
            <w:pPr>
              <w:spacing w:after="0" w:line="240" w:lineRule="auto"/>
              <w:jc w:val="center"/>
              <w:rPr>
                <w:rFonts w:ascii="Times New Roman" w:hAnsi="Times New Roman" w:cs="Times New Roman"/>
                <w:b/>
                <w:sz w:val="20"/>
                <w:szCs w:val="20"/>
              </w:rPr>
            </w:pPr>
            <w:r w:rsidRPr="008074F6">
              <w:rPr>
                <w:rFonts w:ascii="Times New Roman" w:hAnsi="Times New Roman" w:cs="Times New Roman"/>
                <w:b/>
                <w:sz w:val="20"/>
                <w:szCs w:val="20"/>
              </w:rPr>
              <w:t>(</w:t>
            </w:r>
            <w:r w:rsidRPr="008074F6">
              <w:rPr>
                <w:rFonts w:ascii="Times New Roman" w:hAnsi="Times New Roman" w:cs="Times New Roman"/>
                <w:b/>
                <w:i/>
                <w:sz w:val="20"/>
                <w:szCs w:val="20"/>
              </w:rPr>
              <w:t>Malus pumila</w:t>
            </w:r>
            <w:r w:rsidRPr="008074F6">
              <w:rPr>
                <w:rFonts w:ascii="Times New Roman" w:hAnsi="Times New Roman" w:cs="Times New Roman"/>
                <w:b/>
                <w:sz w:val="20"/>
                <w:szCs w:val="20"/>
              </w:rPr>
              <w:t>)</w:t>
            </w:r>
          </w:p>
        </w:tc>
        <w:tc>
          <w:tcPr>
            <w:tcW w:w="0" w:type="auto"/>
            <w:tcBorders>
              <w:top w:val="single" w:sz="4" w:space="0" w:color="auto"/>
              <w:bottom w:val="single" w:sz="4" w:space="0" w:color="auto"/>
            </w:tcBorders>
          </w:tcPr>
          <w:p w:rsidR="008074F6" w:rsidRPr="008074F6" w:rsidRDefault="008074F6" w:rsidP="008074F6">
            <w:pPr>
              <w:spacing w:before="60" w:after="0" w:line="240" w:lineRule="auto"/>
              <w:jc w:val="center"/>
              <w:rPr>
                <w:rFonts w:ascii="Times New Roman" w:hAnsi="Times New Roman" w:cs="Times New Roman"/>
                <w:b/>
                <w:sz w:val="20"/>
                <w:szCs w:val="20"/>
              </w:rPr>
            </w:pPr>
            <w:r w:rsidRPr="008074F6">
              <w:rPr>
                <w:rFonts w:ascii="Times New Roman" w:hAnsi="Times New Roman" w:cs="Times New Roman"/>
                <w:b/>
                <w:sz w:val="20"/>
                <w:szCs w:val="20"/>
              </w:rPr>
              <w:t>Melon</w:t>
            </w:r>
          </w:p>
          <w:p w:rsidR="008074F6" w:rsidRPr="008074F6" w:rsidRDefault="008074F6" w:rsidP="008074F6">
            <w:pPr>
              <w:spacing w:after="60" w:line="240" w:lineRule="auto"/>
              <w:jc w:val="center"/>
              <w:rPr>
                <w:rFonts w:ascii="Times New Roman" w:hAnsi="Times New Roman" w:cs="Times New Roman"/>
                <w:b/>
                <w:sz w:val="20"/>
                <w:szCs w:val="20"/>
              </w:rPr>
            </w:pPr>
            <w:r w:rsidRPr="008074F6">
              <w:rPr>
                <w:rFonts w:ascii="Times New Roman" w:hAnsi="Times New Roman" w:cs="Times New Roman"/>
                <w:b/>
                <w:sz w:val="20"/>
                <w:szCs w:val="20"/>
              </w:rPr>
              <w:t>(</w:t>
            </w:r>
            <w:r w:rsidRPr="008074F6">
              <w:rPr>
                <w:rFonts w:ascii="Times New Roman" w:hAnsi="Times New Roman" w:cs="Times New Roman"/>
                <w:b/>
                <w:i/>
                <w:sz w:val="20"/>
                <w:szCs w:val="20"/>
              </w:rPr>
              <w:t>Cucumis melo</w:t>
            </w:r>
            <w:r w:rsidRPr="008074F6">
              <w:rPr>
                <w:rFonts w:ascii="Times New Roman" w:hAnsi="Times New Roman" w:cs="Times New Roman"/>
                <w:b/>
                <w:sz w:val="20"/>
                <w:szCs w:val="20"/>
              </w:rPr>
              <w:t>)</w:t>
            </w:r>
          </w:p>
        </w:tc>
        <w:tc>
          <w:tcPr>
            <w:tcW w:w="0" w:type="auto"/>
            <w:tcBorders>
              <w:top w:val="single" w:sz="4" w:space="0" w:color="auto"/>
              <w:bottom w:val="single" w:sz="4" w:space="0" w:color="auto"/>
            </w:tcBorders>
          </w:tcPr>
          <w:p w:rsidR="008074F6" w:rsidRPr="008074F6" w:rsidRDefault="008074F6" w:rsidP="008074F6">
            <w:pPr>
              <w:spacing w:before="60" w:after="0" w:line="240" w:lineRule="auto"/>
              <w:rPr>
                <w:rFonts w:ascii="Times New Roman" w:hAnsi="Times New Roman" w:cs="Times New Roman"/>
                <w:b/>
                <w:sz w:val="20"/>
                <w:szCs w:val="20"/>
              </w:rPr>
            </w:pPr>
            <w:r w:rsidRPr="008074F6">
              <w:rPr>
                <w:rFonts w:ascii="Times New Roman" w:hAnsi="Times New Roman" w:cs="Times New Roman"/>
                <w:b/>
                <w:sz w:val="20"/>
                <w:szCs w:val="20"/>
              </w:rPr>
              <w:t>Refs.</w:t>
            </w:r>
          </w:p>
        </w:tc>
      </w:tr>
      <w:tr w:rsidR="008074F6" w:rsidRPr="008074F6" w:rsidTr="008074F6">
        <w:trPr>
          <w:trHeight w:val="123"/>
          <w:jc w:val="center"/>
        </w:trPr>
        <w:tc>
          <w:tcPr>
            <w:tcW w:w="0" w:type="auto"/>
            <w:tcBorders>
              <w:top w:val="single" w:sz="4" w:space="0" w:color="auto"/>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Total Solid (%)</w:t>
            </w:r>
          </w:p>
        </w:tc>
        <w:tc>
          <w:tcPr>
            <w:tcW w:w="0" w:type="auto"/>
            <w:tcBorders>
              <w:top w:val="single" w:sz="4" w:space="0" w:color="auto"/>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6.020 (0.000)</w:t>
            </w:r>
          </w:p>
        </w:tc>
        <w:tc>
          <w:tcPr>
            <w:tcW w:w="0" w:type="auto"/>
            <w:tcBorders>
              <w:top w:val="single" w:sz="4" w:space="0" w:color="auto"/>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5.040 (0.570)</w:t>
            </w:r>
          </w:p>
        </w:tc>
        <w:tc>
          <w:tcPr>
            <w:tcW w:w="0" w:type="auto"/>
            <w:tcBorders>
              <w:top w:val="single" w:sz="4" w:space="0" w:color="auto"/>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6.720 (0.220)</w:t>
            </w:r>
          </w:p>
        </w:tc>
        <w:tc>
          <w:tcPr>
            <w:tcW w:w="0" w:type="auto"/>
            <w:tcBorders>
              <w:top w:val="single" w:sz="4" w:space="0" w:color="auto"/>
              <w:bottom w:val="nil"/>
            </w:tcBorders>
          </w:tcPr>
          <w:p w:rsidR="008074F6" w:rsidRPr="008074F6" w:rsidRDefault="008074F6" w:rsidP="005103D3">
            <w:pPr>
              <w:spacing w:before="60" w:after="0" w:line="240" w:lineRule="auto"/>
              <w:rPr>
                <w:rFonts w:ascii="Times New Roman" w:hAnsi="Times New Roman" w:cs="Times New Roman"/>
                <w:sz w:val="20"/>
                <w:szCs w:val="20"/>
              </w:rPr>
            </w:pPr>
          </w:p>
        </w:tc>
      </w:tr>
      <w:tr w:rsidR="008074F6" w:rsidRPr="008074F6" w:rsidTr="00661CC9">
        <w:trPr>
          <w:cnfStyle w:val="000000100000" w:firstRow="0" w:lastRow="0" w:firstColumn="0" w:lastColumn="0" w:oddVBand="0" w:evenVBand="0" w:oddHBand="1" w:evenHBand="0" w:firstRowFirstColumn="0" w:firstRowLastColumn="0" w:lastRowFirstColumn="0" w:lastRowLastColumn="0"/>
          <w:trHeight w:val="180"/>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Volatile Solid (%)</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96.810 (0.140)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97.690 (0.250)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90.630 (0.680)</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p>
        </w:tc>
      </w:tr>
      <w:tr w:rsidR="008074F6" w:rsidRPr="008074F6" w:rsidTr="00661CC9">
        <w:trPr>
          <w:trHeight w:val="83"/>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Ph</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4.050 (0.040)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3.370 (0.010)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5.970 (0.060)</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p>
        </w:tc>
      </w:tr>
      <w:tr w:rsidR="008074F6" w:rsidRPr="008074F6" w:rsidTr="00661CC9">
        <w:trPr>
          <w:cnfStyle w:val="000000100000" w:firstRow="0" w:lastRow="0" w:firstColumn="0" w:lastColumn="0" w:oddVBand="0" w:evenVBand="0" w:oddHBand="1" w:evenHBand="0" w:firstRowFirstColumn="0" w:firstRowLastColumn="0" w:lastRowFirstColumn="0" w:lastRowLastColumn="0"/>
          <w:trHeight w:val="240"/>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 xml:space="preserve">Limonene (mg/L juices) </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0.125 (0.010)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p>
        </w:tc>
      </w:tr>
      <w:tr w:rsidR="008074F6" w:rsidRPr="008074F6" w:rsidTr="00661CC9">
        <w:trPr>
          <w:trHeight w:val="49"/>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Phloretin (mg/kg)</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1,674</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 xml:space="preserve">[14] </w:t>
            </w:r>
          </w:p>
        </w:tc>
      </w:tr>
      <w:tr w:rsidR="008074F6" w:rsidRPr="008074F6" w:rsidTr="00661CC9">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Total Dietary Fiber</w:t>
            </w:r>
          </w:p>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 xml:space="preserve"> (g/100 g dried base)</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63.240(1.430)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76.840(1.240)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41.690</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 xml:space="preserve">[15 – 18] </w:t>
            </w:r>
          </w:p>
        </w:tc>
      </w:tr>
      <w:tr w:rsidR="008074F6" w:rsidRPr="008074F6" w:rsidTr="00661CC9">
        <w:trPr>
          <w:trHeight w:val="57"/>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Eugenol (</w:t>
            </w:r>
            <m:oMath>
              <m:r>
                <w:rPr>
                  <w:rFonts w:ascii="Cambria Math" w:eastAsia="Cambria" w:hAnsi="Cambria Math" w:cs="Times New Roman"/>
                  <w:sz w:val="20"/>
                  <w:szCs w:val="20"/>
                </w:rPr>
                <m:t>μ</m:t>
              </m:r>
            </m:oMath>
            <w:r w:rsidRPr="008074F6">
              <w:rPr>
                <w:rFonts w:ascii="Times New Roman" w:hAnsi="Times New Roman" w:cs="Times New Roman"/>
                <w:sz w:val="20"/>
                <w:szCs w:val="20"/>
              </w:rPr>
              <w:t>g/kg)</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379</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239</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2302.400</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 xml:space="preserve">[19] </w:t>
            </w:r>
          </w:p>
        </w:tc>
      </w:tr>
      <w:tr w:rsidR="008074F6" w:rsidRPr="008074F6" w:rsidTr="00661CC9">
        <w:trPr>
          <w:cnfStyle w:val="000000100000" w:firstRow="0" w:lastRow="0" w:firstColumn="0" w:lastColumn="0" w:oddVBand="0" w:evenVBand="0" w:oddHBand="1" w:evenHBand="0" w:firstRowFirstColumn="0" w:firstRowLastColumn="0" w:lastRowFirstColumn="0" w:lastRowLastColumn="0"/>
          <w:trHeight w:val="118"/>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Soluble Glucose (g/L)</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5.110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7.180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6.960</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p>
        </w:tc>
      </w:tr>
      <w:tr w:rsidR="008074F6" w:rsidRPr="008074F6" w:rsidTr="008074F6">
        <w:trPr>
          <w:trHeight w:val="49"/>
          <w:jc w:val="center"/>
        </w:trPr>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Soluble Fructose (g/L)</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0.270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12.390</w:t>
            </w:r>
          </w:p>
        </w:tc>
        <w:tc>
          <w:tcPr>
            <w:tcW w:w="0" w:type="auto"/>
            <w:tcBorders>
              <w:top w:val="nil"/>
              <w:bottom w:val="nil"/>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4.860</w:t>
            </w:r>
          </w:p>
        </w:tc>
        <w:tc>
          <w:tcPr>
            <w:tcW w:w="0" w:type="auto"/>
            <w:tcBorders>
              <w:top w:val="nil"/>
              <w:bottom w:val="nil"/>
            </w:tcBorders>
          </w:tcPr>
          <w:p w:rsidR="008074F6" w:rsidRPr="008074F6" w:rsidRDefault="008074F6" w:rsidP="005103D3">
            <w:pPr>
              <w:spacing w:before="60" w:after="0" w:line="240" w:lineRule="auto"/>
              <w:rPr>
                <w:rFonts w:ascii="Times New Roman" w:hAnsi="Times New Roman" w:cs="Times New Roman"/>
                <w:sz w:val="20"/>
                <w:szCs w:val="20"/>
              </w:rPr>
            </w:pPr>
          </w:p>
        </w:tc>
      </w:tr>
      <w:tr w:rsidR="008074F6" w:rsidRPr="008074F6" w:rsidTr="008074F6">
        <w:trPr>
          <w:cnfStyle w:val="000000100000" w:firstRow="0" w:lastRow="0" w:firstColumn="0" w:lastColumn="0" w:oddVBand="0" w:evenVBand="0" w:oddHBand="1" w:evenHBand="0" w:firstRowFirstColumn="0" w:firstRowLastColumn="0" w:lastRowFirstColumn="0" w:lastRowLastColumn="0"/>
          <w:trHeight w:val="300"/>
          <w:jc w:val="center"/>
        </w:trPr>
        <w:tc>
          <w:tcPr>
            <w:tcW w:w="0" w:type="auto"/>
            <w:tcBorders>
              <w:top w:val="nil"/>
              <w:bottom w:val="single" w:sz="4" w:space="0" w:color="auto"/>
            </w:tcBorders>
          </w:tcPr>
          <w:p w:rsidR="008074F6" w:rsidRPr="008074F6" w:rsidRDefault="008074F6" w:rsidP="005103D3">
            <w:pPr>
              <w:spacing w:before="60" w:after="0" w:line="240" w:lineRule="auto"/>
              <w:rPr>
                <w:rFonts w:ascii="Times New Roman" w:hAnsi="Times New Roman" w:cs="Times New Roman"/>
                <w:sz w:val="20"/>
                <w:szCs w:val="20"/>
              </w:rPr>
            </w:pPr>
            <w:r w:rsidRPr="008074F6">
              <w:rPr>
                <w:rFonts w:ascii="Times New Roman" w:hAnsi="Times New Roman" w:cs="Times New Roman"/>
                <w:sz w:val="20"/>
                <w:szCs w:val="20"/>
              </w:rPr>
              <w:t>Total Soluble Sugar (g/L)</w:t>
            </w:r>
          </w:p>
        </w:tc>
        <w:tc>
          <w:tcPr>
            <w:tcW w:w="0" w:type="auto"/>
            <w:tcBorders>
              <w:top w:val="nil"/>
              <w:bottom w:val="single" w:sz="4" w:space="0" w:color="auto"/>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5.380</w:t>
            </w:r>
          </w:p>
        </w:tc>
        <w:tc>
          <w:tcPr>
            <w:tcW w:w="0" w:type="auto"/>
            <w:tcBorders>
              <w:top w:val="nil"/>
              <w:bottom w:val="single" w:sz="4" w:space="0" w:color="auto"/>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19.570</w:t>
            </w:r>
          </w:p>
        </w:tc>
        <w:tc>
          <w:tcPr>
            <w:tcW w:w="0" w:type="auto"/>
            <w:tcBorders>
              <w:top w:val="nil"/>
              <w:bottom w:val="single" w:sz="4" w:space="0" w:color="auto"/>
            </w:tcBorders>
          </w:tcPr>
          <w:p w:rsidR="008074F6" w:rsidRPr="008074F6" w:rsidRDefault="008074F6" w:rsidP="005103D3">
            <w:pPr>
              <w:spacing w:before="60" w:after="0" w:line="240" w:lineRule="auto"/>
              <w:jc w:val="center"/>
              <w:rPr>
                <w:rFonts w:ascii="Times New Roman" w:hAnsi="Times New Roman" w:cs="Times New Roman"/>
                <w:sz w:val="20"/>
                <w:szCs w:val="20"/>
              </w:rPr>
            </w:pPr>
            <w:r w:rsidRPr="008074F6">
              <w:rPr>
                <w:rFonts w:ascii="Times New Roman" w:hAnsi="Times New Roman" w:cs="Times New Roman"/>
                <w:sz w:val="20"/>
                <w:szCs w:val="20"/>
              </w:rPr>
              <w:t>11.820</w:t>
            </w:r>
          </w:p>
        </w:tc>
        <w:tc>
          <w:tcPr>
            <w:tcW w:w="0" w:type="auto"/>
            <w:tcBorders>
              <w:top w:val="nil"/>
              <w:bottom w:val="single" w:sz="4" w:space="0" w:color="auto"/>
            </w:tcBorders>
          </w:tcPr>
          <w:p w:rsidR="008074F6" w:rsidRPr="008074F6" w:rsidRDefault="008074F6" w:rsidP="005103D3">
            <w:pPr>
              <w:spacing w:before="60" w:after="0" w:line="240" w:lineRule="auto"/>
              <w:rPr>
                <w:rFonts w:ascii="Times New Roman" w:hAnsi="Times New Roman" w:cs="Times New Roman"/>
                <w:sz w:val="20"/>
                <w:szCs w:val="20"/>
              </w:rPr>
            </w:pPr>
          </w:p>
        </w:tc>
      </w:tr>
    </w:tbl>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b/>
          <w:sz w:val="20"/>
          <w:szCs w:val="20"/>
        </w:rPr>
      </w:pPr>
      <w:r w:rsidRPr="008074F6">
        <w:rPr>
          <w:rFonts w:ascii="Times New Roman" w:hAnsi="Times New Roman"/>
          <w:b/>
          <w:sz w:val="20"/>
          <w:szCs w:val="20"/>
        </w:rPr>
        <w:t>Mesophilic dark fermentation</w:t>
      </w: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Mesophilic fermentation of fruit waste was conducted at temperature of 30 °C, pressure 1 bar and pH 5.0. Five SIR values were investigated to evaluate its effect toward total gas yield of biohydrogen production. The previous reports state that optimum hydrogen production from ground waste paper was achieved at a substrate concentration of 18.58 ±2.45 g/L and biomass concentration of 0.5 g/L which is equivalent to SIR of 42. On the other hand, optimum SIR value of 111 and 7.140 was obtained from fermentation of peach pulp and food waste respectively. Since there is various optimum value for the particular type of substrate, this experiment investigated SIR value ranging from 19 – 174 g VS</w:t>
      </w:r>
      <w:r w:rsidRPr="008074F6">
        <w:rPr>
          <w:rFonts w:ascii="Times New Roman" w:hAnsi="Times New Roman"/>
          <w:sz w:val="20"/>
          <w:szCs w:val="20"/>
          <w:vertAlign w:val="subscript"/>
        </w:rPr>
        <w:t>substrate</w:t>
      </w:r>
      <w:r w:rsidRPr="008074F6">
        <w:rPr>
          <w:rFonts w:ascii="Times New Roman" w:hAnsi="Times New Roman"/>
          <w:sz w:val="20"/>
          <w:szCs w:val="20"/>
        </w:rPr>
        <w:t>/g VS</w:t>
      </w:r>
      <w:r w:rsidRPr="008074F6">
        <w:rPr>
          <w:rFonts w:ascii="Times New Roman" w:hAnsi="Times New Roman"/>
          <w:sz w:val="20"/>
          <w:szCs w:val="20"/>
          <w:vertAlign w:val="subscript"/>
        </w:rPr>
        <w:t>inoc</w:t>
      </w:r>
      <w:r w:rsidRPr="008074F6">
        <w:rPr>
          <w:rFonts w:ascii="Times New Roman" w:hAnsi="Times New Roman"/>
          <w:sz w:val="20"/>
          <w:szCs w:val="20"/>
        </w:rPr>
        <w:t xml:space="preserve">.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A time course of total gas yield and hydrogen percentages during fermentation of citrus and melon waste at the SIR values is illustrated in Figure 2. The highest total gas yield was obtained from citrus and melon fermentation at SIR value of 19 g VS</w:t>
      </w:r>
      <w:r w:rsidRPr="008074F6">
        <w:rPr>
          <w:rFonts w:ascii="Times New Roman" w:hAnsi="Times New Roman"/>
          <w:sz w:val="20"/>
          <w:szCs w:val="20"/>
          <w:vertAlign w:val="subscript"/>
        </w:rPr>
        <w:t>substrate</w:t>
      </w:r>
      <w:r w:rsidRPr="008074F6">
        <w:rPr>
          <w:rFonts w:ascii="Times New Roman" w:hAnsi="Times New Roman"/>
          <w:sz w:val="20"/>
          <w:szCs w:val="20"/>
        </w:rPr>
        <w:t>/g VS</w:t>
      </w:r>
      <w:r w:rsidRPr="008074F6">
        <w:rPr>
          <w:rFonts w:ascii="Times New Roman" w:hAnsi="Times New Roman"/>
          <w:sz w:val="20"/>
          <w:szCs w:val="20"/>
          <w:vertAlign w:val="subscript"/>
        </w:rPr>
        <w:t>inoc</w:t>
      </w:r>
      <w:r w:rsidRPr="008074F6">
        <w:rPr>
          <w:rFonts w:ascii="Times New Roman" w:hAnsi="Times New Roman"/>
          <w:sz w:val="20"/>
          <w:szCs w:val="20"/>
        </w:rPr>
        <w:t xml:space="preserve"> corresponding to 113 and 98 ml STP/g VS respectively. Increasing SIR value to 174 g VS</w:t>
      </w:r>
      <w:r w:rsidRPr="008074F6">
        <w:rPr>
          <w:rFonts w:ascii="Times New Roman" w:hAnsi="Times New Roman"/>
          <w:sz w:val="20"/>
          <w:szCs w:val="20"/>
          <w:vertAlign w:val="subscript"/>
        </w:rPr>
        <w:t>substrate</w:t>
      </w:r>
      <w:r w:rsidRPr="008074F6">
        <w:rPr>
          <w:rFonts w:ascii="Times New Roman" w:hAnsi="Times New Roman"/>
          <w:sz w:val="20"/>
          <w:szCs w:val="20"/>
        </w:rPr>
        <w:t>/g VS</w:t>
      </w:r>
      <w:r w:rsidRPr="008074F6">
        <w:rPr>
          <w:rFonts w:ascii="Times New Roman" w:hAnsi="Times New Roman"/>
          <w:sz w:val="20"/>
          <w:szCs w:val="20"/>
          <w:vertAlign w:val="subscript"/>
        </w:rPr>
        <w:t>inoc</w:t>
      </w:r>
      <w:r w:rsidRPr="008074F6">
        <w:rPr>
          <w:rFonts w:ascii="Times New Roman" w:hAnsi="Times New Roman"/>
          <w:sz w:val="20"/>
          <w:szCs w:val="20"/>
        </w:rPr>
        <w:t xml:space="preserve"> caused significant reduction of the yield up to 76%. A similar pattern of the yield was noticed for both citrus and melon. </w:t>
      </w:r>
    </w:p>
    <w:p w:rsidR="008074F6" w:rsidRPr="008074F6" w:rsidRDefault="008074F6" w:rsidP="005103D3">
      <w:pPr>
        <w:spacing w:after="120" w:line="240" w:lineRule="auto"/>
        <w:jc w:val="both"/>
        <w:rPr>
          <w:rFonts w:ascii="Times New Roman" w:hAnsi="Times New Roman"/>
          <w:sz w:val="20"/>
          <w:szCs w:val="20"/>
        </w:rPr>
      </w:pPr>
    </w:p>
    <w:p w:rsidR="008074F6" w:rsidRPr="008074F6" w:rsidRDefault="008074F6" w:rsidP="005103D3">
      <w:pPr>
        <w:spacing w:after="0" w:line="240" w:lineRule="auto"/>
        <w:jc w:val="center"/>
        <w:rPr>
          <w:rFonts w:ascii="Times New Roman" w:hAnsi="Times New Roman"/>
          <w:sz w:val="20"/>
          <w:szCs w:val="20"/>
        </w:rPr>
      </w:pPr>
      <w:r w:rsidRPr="008074F6">
        <w:rPr>
          <w:rFonts w:ascii="Times New Roman" w:hAnsi="Times New Roman"/>
          <w:noProof/>
          <w:sz w:val="20"/>
          <w:szCs w:val="20"/>
          <w:lang w:bidi="ar-SA"/>
        </w:rPr>
        <w:drawing>
          <wp:inline distT="0" distB="0" distL="0" distR="0" wp14:anchorId="2525CFAA" wp14:editId="369C76CA">
            <wp:extent cx="2520000" cy="1800000"/>
            <wp:effectExtent l="19050" t="19050" r="13970" b="1016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520000" cy="1800000"/>
                    </a:xfrm>
                    <a:prstGeom prst="rect">
                      <a:avLst/>
                    </a:prstGeom>
                    <a:ln>
                      <a:solidFill>
                        <a:schemeClr val="tx1"/>
                      </a:solidFill>
                    </a:ln>
                  </pic:spPr>
                </pic:pic>
              </a:graphicData>
            </a:graphic>
          </wp:inline>
        </w:drawing>
      </w:r>
      <w:r w:rsidR="005103D3">
        <w:rPr>
          <w:rFonts w:ascii="Times New Roman" w:hAnsi="Times New Roman"/>
          <w:sz w:val="20"/>
          <w:szCs w:val="20"/>
        </w:rPr>
        <w:t xml:space="preserve">   </w:t>
      </w:r>
      <w:r w:rsidRPr="008074F6">
        <w:rPr>
          <w:rFonts w:ascii="Times New Roman" w:hAnsi="Times New Roman"/>
          <w:noProof/>
          <w:sz w:val="20"/>
          <w:szCs w:val="20"/>
          <w:lang w:bidi="ar-SA"/>
        </w:rPr>
        <w:drawing>
          <wp:inline distT="0" distB="0" distL="0" distR="0" wp14:anchorId="2B85E88B" wp14:editId="4B36E913">
            <wp:extent cx="2520000" cy="1800000"/>
            <wp:effectExtent l="19050" t="19050" r="13970" b="1016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2520000" cy="1800000"/>
                    </a:xfrm>
                    <a:prstGeom prst="rect">
                      <a:avLst/>
                    </a:prstGeom>
                    <a:ln>
                      <a:solidFill>
                        <a:schemeClr val="tx1"/>
                      </a:solidFill>
                    </a:ln>
                  </pic:spPr>
                </pic:pic>
              </a:graphicData>
            </a:graphic>
          </wp:inline>
        </w:drawing>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5103D3">
      <w:pPr>
        <w:spacing w:after="120" w:line="240" w:lineRule="auto"/>
        <w:jc w:val="center"/>
        <w:rPr>
          <w:rFonts w:ascii="Times New Roman" w:hAnsi="Times New Roman"/>
          <w:sz w:val="20"/>
          <w:szCs w:val="20"/>
        </w:rPr>
      </w:pPr>
      <w:r w:rsidRPr="008074F6">
        <w:rPr>
          <w:rFonts w:ascii="Times New Roman" w:hAnsi="Times New Roman"/>
          <w:noProof/>
          <w:sz w:val="20"/>
          <w:szCs w:val="20"/>
          <w:lang w:bidi="ar-SA"/>
        </w:rPr>
        <w:drawing>
          <wp:inline distT="0" distB="0" distL="0" distR="0" wp14:anchorId="0130BD6D" wp14:editId="45DFBA77">
            <wp:extent cx="2520000" cy="1800000"/>
            <wp:effectExtent l="19050" t="19050" r="13970" b="1016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2520000" cy="1800000"/>
                    </a:xfrm>
                    <a:prstGeom prst="rect">
                      <a:avLst/>
                    </a:prstGeom>
                    <a:ln>
                      <a:solidFill>
                        <a:schemeClr val="tx1"/>
                      </a:solidFill>
                    </a:ln>
                  </pic:spPr>
                </pic:pic>
              </a:graphicData>
            </a:graphic>
          </wp:inline>
        </w:drawing>
      </w:r>
      <w:r w:rsidR="005103D3">
        <w:rPr>
          <w:rFonts w:ascii="Times New Roman" w:hAnsi="Times New Roman"/>
          <w:sz w:val="20"/>
          <w:szCs w:val="20"/>
        </w:rPr>
        <w:t xml:space="preserve">   </w:t>
      </w:r>
      <w:r w:rsidRPr="008074F6">
        <w:rPr>
          <w:rFonts w:ascii="Times New Roman" w:hAnsi="Times New Roman"/>
          <w:noProof/>
          <w:sz w:val="20"/>
          <w:szCs w:val="20"/>
          <w:lang w:bidi="ar-SA"/>
        </w:rPr>
        <w:drawing>
          <wp:inline distT="0" distB="0" distL="0" distR="0" wp14:anchorId="33014618" wp14:editId="52EAC402">
            <wp:extent cx="2520000" cy="1800000"/>
            <wp:effectExtent l="19050" t="19050" r="13970" b="1016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2520000" cy="1800000"/>
                    </a:xfrm>
                    <a:prstGeom prst="rect">
                      <a:avLst/>
                    </a:prstGeom>
                    <a:ln>
                      <a:solidFill>
                        <a:schemeClr val="tx1"/>
                      </a:solidFill>
                    </a:ln>
                  </pic:spPr>
                </pic:pic>
              </a:graphicData>
            </a:graphic>
          </wp:inline>
        </w:drawing>
      </w:r>
    </w:p>
    <w:p w:rsidR="008074F6" w:rsidRPr="008074F6" w:rsidRDefault="008074F6" w:rsidP="008074F6">
      <w:pPr>
        <w:spacing w:after="0" w:line="240" w:lineRule="auto"/>
        <w:ind w:left="851" w:hanging="851"/>
        <w:jc w:val="both"/>
        <w:rPr>
          <w:rFonts w:ascii="Times New Roman" w:hAnsi="Times New Roman"/>
          <w:sz w:val="20"/>
          <w:szCs w:val="20"/>
        </w:rPr>
      </w:pPr>
      <w:r w:rsidRPr="008074F6">
        <w:rPr>
          <w:rFonts w:ascii="Times New Roman" w:hAnsi="Times New Roman"/>
          <w:sz w:val="20"/>
          <w:szCs w:val="20"/>
        </w:rPr>
        <w:t>Figure 2.</w:t>
      </w:r>
      <w:r w:rsidRPr="008074F6">
        <w:rPr>
          <w:rFonts w:ascii="Times New Roman" w:hAnsi="Times New Roman"/>
          <w:sz w:val="20"/>
          <w:szCs w:val="20"/>
        </w:rPr>
        <w:tab/>
        <w:t xml:space="preserve">Total gas yield and percentages of hydrogen during mesophilic fermentation (30 °C, 1 atm) at various SIR values (□ SIR 19, ◊ SIR 29, </w:t>
      </w:r>
      <m:oMath>
        <m:r>
          <w:rPr>
            <w:rFonts w:ascii="Cambria Math" w:eastAsia="Cambria" w:hAnsi="Cambria Math"/>
            <w:sz w:val="20"/>
            <w:szCs w:val="20"/>
          </w:rPr>
          <m:t>∆ SIR 58, ×SIR 116,+SIR 174</m:t>
        </m:r>
      </m:oMath>
      <w:r w:rsidRPr="008074F6">
        <w:rPr>
          <w:rFonts w:ascii="Times New Roman" w:hAnsi="Times New Roman"/>
          <w:sz w:val="20"/>
          <w:szCs w:val="20"/>
        </w:rPr>
        <w:t>)</w:t>
      </w:r>
    </w:p>
    <w:p w:rsidR="008074F6" w:rsidRPr="008074F6" w:rsidRDefault="008074F6" w:rsidP="005103D3">
      <w:pPr>
        <w:spacing w:after="12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The lower SIR value which implies an ideal ratio of carbon sources to the microorganism population, the higher total gas yield. High SIR may lead to the overwhelming food supply to the limited population of the microorganisms leading to substrate inhibition or by-products retardation such as volatile fatty acids accumulation (pH decrease) [5]. This result was in agreement with the previous report that higher substrate concentration (0.5 to 2 g/L) led to a reduction of hydrogen production from 105 to 50 ml STP H</w:t>
      </w:r>
      <w:r w:rsidRPr="008074F6">
        <w:rPr>
          <w:rFonts w:ascii="Times New Roman" w:hAnsi="Times New Roman"/>
          <w:sz w:val="20"/>
          <w:szCs w:val="20"/>
          <w:vertAlign w:val="subscript"/>
        </w:rPr>
        <w:t>2</w:t>
      </w:r>
      <w:r w:rsidRPr="008074F6">
        <w:rPr>
          <w:rFonts w:ascii="Times New Roman" w:hAnsi="Times New Roman"/>
          <w:sz w:val="20"/>
          <w:szCs w:val="20"/>
        </w:rPr>
        <w:t xml:space="preserve"> (appx. 50% reduction) [23].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lastRenderedPageBreak/>
        <w:t>It was also exhibited that type of fruits does not affect the yield pattern towards SIR, except for its quantitative values. Citrus waste could generate higher total gas yield which might be due to high IC</w:t>
      </w:r>
      <w:r w:rsidRPr="008074F6">
        <w:rPr>
          <w:rFonts w:ascii="Times New Roman" w:hAnsi="Times New Roman"/>
          <w:sz w:val="20"/>
          <w:szCs w:val="20"/>
          <w:vertAlign w:val="subscript"/>
        </w:rPr>
        <w:t>50</w:t>
      </w:r>
      <w:r w:rsidRPr="008074F6">
        <w:rPr>
          <w:rFonts w:ascii="Times New Roman" w:hAnsi="Times New Roman"/>
          <w:sz w:val="20"/>
          <w:szCs w:val="20"/>
        </w:rPr>
        <w:t xml:space="preserve"> (669 mg/kg) and lower content of limonene (0.125 mg/L) compare to that of melon i.e. IC</w:t>
      </w:r>
      <w:r w:rsidRPr="008074F6">
        <w:rPr>
          <w:rFonts w:ascii="Times New Roman" w:hAnsi="Times New Roman"/>
          <w:sz w:val="20"/>
          <w:szCs w:val="20"/>
          <w:vertAlign w:val="subscript"/>
        </w:rPr>
        <w:t>50</w:t>
      </w:r>
      <w:r w:rsidRPr="008074F6">
        <w:rPr>
          <w:rFonts w:ascii="Times New Roman" w:hAnsi="Times New Roman"/>
          <w:sz w:val="20"/>
          <w:szCs w:val="20"/>
        </w:rPr>
        <w:t xml:space="preserve"> of 50 μM and eugenol content of 2302.400 μg/kg. Eugenol concentration at SIR of 174 was estimated to value of 41.760 mg/kg or 254 μM (5 times of IC</w:t>
      </w:r>
      <w:r w:rsidRPr="008074F6">
        <w:rPr>
          <w:rFonts w:ascii="Times New Roman" w:hAnsi="Times New Roman"/>
          <w:sz w:val="20"/>
          <w:szCs w:val="20"/>
          <w:vertAlign w:val="subscript"/>
        </w:rPr>
        <w:t>50</w:t>
      </w:r>
      <w:r w:rsidRPr="008074F6">
        <w:rPr>
          <w:rFonts w:ascii="Times New Roman" w:hAnsi="Times New Roman"/>
          <w:sz w:val="20"/>
          <w:szCs w:val="20"/>
        </w:rPr>
        <w:t>). Meanwhile, limonene concentration at the same SIR was only 2.25 mg/kg (0.336% of IC</w:t>
      </w:r>
      <w:r w:rsidRPr="008074F6">
        <w:rPr>
          <w:rFonts w:ascii="Times New Roman" w:hAnsi="Times New Roman"/>
          <w:sz w:val="20"/>
          <w:szCs w:val="20"/>
          <w:vertAlign w:val="subscript"/>
        </w:rPr>
        <w:t>50</w:t>
      </w:r>
      <w:r w:rsidRPr="008074F6">
        <w:rPr>
          <w:rFonts w:ascii="Times New Roman" w:hAnsi="Times New Roman"/>
          <w:sz w:val="20"/>
          <w:szCs w:val="20"/>
        </w:rPr>
        <w:t xml:space="preserve">). In addition, total dietary fiber (TDF) in citrus waste which mainly consists of cellulose, hemicellulose, pectin, lignin is higher (63.240%) compare to that of melon (41.690%). Higher TDF content provides more potential substrate to produce hydrogen at the same SIR, whereas it can decrease the gas yield at the increasing SIR due to recalcitrant properties of the fiber.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The highest hydrogen percentages of citrus and melon fermentation were achieved at the value of 27%v at 48 hours and 10.8%v at 24 hours, respectively. In Figure 1, it was noticed that this percentage declined after the 48 and 24 hours of citrus and melon fermentation respectively because of pH decreases thereby microbial activity to generate more hydrogen was retarded. The addition of buffer solution (NaHCO</w:t>
      </w:r>
      <w:r w:rsidRPr="008074F6">
        <w:rPr>
          <w:rFonts w:ascii="Times New Roman" w:hAnsi="Times New Roman"/>
          <w:sz w:val="20"/>
          <w:szCs w:val="20"/>
          <w:vertAlign w:val="subscript"/>
        </w:rPr>
        <w:t>3(aq)</w:t>
      </w:r>
      <w:r w:rsidRPr="008074F6">
        <w:rPr>
          <w:rFonts w:ascii="Times New Roman" w:hAnsi="Times New Roman"/>
          <w:sz w:val="20"/>
          <w:szCs w:val="20"/>
        </w:rPr>
        <w:t>) could be the solution to improve the H</w:t>
      </w:r>
      <w:r w:rsidRPr="008074F6">
        <w:rPr>
          <w:rFonts w:ascii="Times New Roman" w:hAnsi="Times New Roman"/>
          <w:sz w:val="20"/>
          <w:szCs w:val="20"/>
          <w:vertAlign w:val="subscript"/>
        </w:rPr>
        <w:t>2</w:t>
      </w:r>
      <w:r w:rsidRPr="008074F6">
        <w:rPr>
          <w:rFonts w:ascii="Times New Roman" w:hAnsi="Times New Roman"/>
          <w:sz w:val="20"/>
          <w:szCs w:val="20"/>
        </w:rPr>
        <w:t xml:space="preserve"> percentage by increasing the buffering capacity of the fermentation process. As a result, the hydrogen yield from the citrus and melon fermentation was approximately 14.333 and 4.900 mL H</w:t>
      </w:r>
      <w:r w:rsidRPr="008074F6">
        <w:rPr>
          <w:rFonts w:ascii="Times New Roman" w:hAnsi="Times New Roman"/>
          <w:sz w:val="20"/>
          <w:szCs w:val="20"/>
          <w:vertAlign w:val="subscript"/>
        </w:rPr>
        <w:t>2</w:t>
      </w:r>
      <w:r w:rsidRPr="008074F6">
        <w:rPr>
          <w:rFonts w:ascii="Times New Roman" w:hAnsi="Times New Roman"/>
          <w:sz w:val="20"/>
          <w:szCs w:val="20"/>
        </w:rPr>
        <w:t>/g VS</w:t>
      </w:r>
      <w:r w:rsidRPr="008074F6">
        <w:rPr>
          <w:rFonts w:ascii="Times New Roman" w:hAnsi="Times New Roman"/>
          <w:sz w:val="20"/>
          <w:szCs w:val="20"/>
          <w:vertAlign w:val="subscript"/>
        </w:rPr>
        <w:t>added</w:t>
      </w:r>
      <w:r w:rsidRPr="008074F6">
        <w:rPr>
          <w:rFonts w:ascii="Times New Roman" w:hAnsi="Times New Roman"/>
          <w:sz w:val="20"/>
          <w:szCs w:val="20"/>
        </w:rPr>
        <w:t xml:space="preserve"> respectively. Although this result is considered low to the maximum achievable yield i.e. 4 mol H</w:t>
      </w:r>
      <w:r w:rsidRPr="008074F6">
        <w:rPr>
          <w:rFonts w:ascii="Times New Roman" w:hAnsi="Times New Roman"/>
          <w:sz w:val="20"/>
          <w:szCs w:val="20"/>
          <w:vertAlign w:val="subscript"/>
        </w:rPr>
        <w:t>2</w:t>
      </w:r>
      <w:r w:rsidRPr="008074F6">
        <w:rPr>
          <w:rFonts w:ascii="Times New Roman" w:hAnsi="Times New Roman"/>
          <w:sz w:val="20"/>
          <w:szCs w:val="20"/>
        </w:rPr>
        <w:t>/mol glucose (497 mL H</w:t>
      </w:r>
      <w:r w:rsidRPr="008074F6">
        <w:rPr>
          <w:rFonts w:ascii="Times New Roman" w:hAnsi="Times New Roman"/>
          <w:sz w:val="20"/>
          <w:szCs w:val="20"/>
          <w:vertAlign w:val="subscript"/>
        </w:rPr>
        <w:t>2</w:t>
      </w:r>
      <w:r w:rsidRPr="008074F6">
        <w:rPr>
          <w:rFonts w:ascii="Times New Roman" w:hAnsi="Times New Roman"/>
          <w:sz w:val="20"/>
          <w:szCs w:val="20"/>
        </w:rPr>
        <w:t>/g glucose), it is quite reasonable at mesophilic condition using fruit waste containing high TDF. As a comparison, hydrogen yield value of 0.02 mmol H</w:t>
      </w:r>
      <w:r w:rsidRPr="008074F6">
        <w:rPr>
          <w:rFonts w:ascii="Times New Roman" w:hAnsi="Times New Roman"/>
          <w:sz w:val="20"/>
          <w:szCs w:val="20"/>
          <w:vertAlign w:val="subscript"/>
        </w:rPr>
        <w:t>2</w:t>
      </w:r>
      <w:r w:rsidRPr="008074F6">
        <w:rPr>
          <w:rFonts w:ascii="Times New Roman" w:hAnsi="Times New Roman"/>
          <w:sz w:val="20"/>
          <w:szCs w:val="20"/>
        </w:rPr>
        <w:t>/g cellulose (0.448 mL H</w:t>
      </w:r>
      <w:r w:rsidRPr="008074F6">
        <w:rPr>
          <w:rFonts w:ascii="Times New Roman" w:hAnsi="Times New Roman"/>
          <w:sz w:val="20"/>
          <w:szCs w:val="20"/>
          <w:vertAlign w:val="subscript"/>
        </w:rPr>
        <w:t>2</w:t>
      </w:r>
      <w:r w:rsidRPr="008074F6">
        <w:rPr>
          <w:rFonts w:ascii="Times New Roman" w:hAnsi="Times New Roman"/>
          <w:sz w:val="20"/>
          <w:szCs w:val="20"/>
        </w:rPr>
        <w:t>/g cellulose) was obtained from fermentation of cellulose at 4.7 g/L and 26 °C. At higher temperature (37 °C), the yield increased to 3.66 mmol H</w:t>
      </w:r>
      <w:r w:rsidRPr="008074F6">
        <w:rPr>
          <w:rFonts w:ascii="Times New Roman" w:hAnsi="Times New Roman"/>
          <w:sz w:val="20"/>
          <w:szCs w:val="20"/>
          <w:vertAlign w:val="subscript"/>
        </w:rPr>
        <w:t>2</w:t>
      </w:r>
      <w:r w:rsidRPr="008074F6">
        <w:rPr>
          <w:rFonts w:ascii="Times New Roman" w:hAnsi="Times New Roman"/>
          <w:sz w:val="20"/>
          <w:szCs w:val="20"/>
        </w:rPr>
        <w:t>/g cellulose (75 ml H</w:t>
      </w:r>
      <w:r w:rsidRPr="008074F6">
        <w:rPr>
          <w:rFonts w:ascii="Times New Roman" w:hAnsi="Times New Roman"/>
          <w:sz w:val="20"/>
          <w:szCs w:val="20"/>
          <w:vertAlign w:val="subscript"/>
        </w:rPr>
        <w:t>2</w:t>
      </w:r>
      <w:r w:rsidRPr="008074F6">
        <w:rPr>
          <w:rFonts w:ascii="Times New Roman" w:hAnsi="Times New Roman"/>
          <w:sz w:val="20"/>
          <w:szCs w:val="20"/>
        </w:rPr>
        <w:t xml:space="preserve">/g cellulose) [24]. </w:t>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8074F6">
      <w:pPr>
        <w:spacing w:after="0" w:line="240" w:lineRule="auto"/>
        <w:jc w:val="both"/>
        <w:rPr>
          <w:rFonts w:ascii="Times New Roman" w:hAnsi="Times New Roman"/>
          <w:b/>
          <w:sz w:val="20"/>
          <w:szCs w:val="20"/>
        </w:rPr>
      </w:pPr>
      <w:r w:rsidRPr="008074F6">
        <w:rPr>
          <w:rFonts w:ascii="Times New Roman" w:hAnsi="Times New Roman"/>
          <w:b/>
          <w:sz w:val="20"/>
          <w:szCs w:val="20"/>
        </w:rPr>
        <w:t>Thermophilic dark fermentation</w:t>
      </w:r>
    </w:p>
    <w:p w:rsidR="008074F6" w:rsidRPr="008074F6" w:rsidRDefault="008074F6" w:rsidP="008074F6">
      <w:pPr>
        <w:spacing w:after="0" w:line="240" w:lineRule="auto"/>
        <w:jc w:val="both"/>
        <w:rPr>
          <w:rFonts w:ascii="Times New Roman" w:hAnsi="Times New Roman"/>
          <w:sz w:val="20"/>
          <w:szCs w:val="20"/>
        </w:rPr>
      </w:pPr>
      <w:r w:rsidRPr="008074F6">
        <w:rPr>
          <w:rFonts w:ascii="Times New Roman" w:hAnsi="Times New Roman"/>
          <w:sz w:val="20"/>
          <w:szCs w:val="20"/>
        </w:rPr>
        <w:t>Biohydrogen production from citrus, apple, and melon waste which was conducted in thermophilic condition is depicted in Figure 3. In this fermentation, Apple was also investigated as a substrate to accommodate the high global production of this fruit. Due to low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during mesophilic fermentation, it was decided to conduct thermophilic one at 55 °C, 1 atm and pH 5.0.  In addition, a lower SIR values of 0.800 and 1.500 g VS</w:t>
      </w:r>
      <w:r w:rsidRPr="008074F6">
        <w:rPr>
          <w:rFonts w:ascii="Times New Roman" w:hAnsi="Times New Roman"/>
          <w:sz w:val="20"/>
          <w:szCs w:val="20"/>
          <w:vertAlign w:val="subscript"/>
        </w:rPr>
        <w:t>substrate</w:t>
      </w:r>
      <w:r w:rsidRPr="008074F6">
        <w:rPr>
          <w:rFonts w:ascii="Times New Roman" w:hAnsi="Times New Roman"/>
          <w:sz w:val="20"/>
          <w:szCs w:val="20"/>
        </w:rPr>
        <w:t>/g VS</w:t>
      </w:r>
      <w:r w:rsidRPr="008074F6">
        <w:rPr>
          <w:rFonts w:ascii="Times New Roman" w:hAnsi="Times New Roman"/>
          <w:sz w:val="20"/>
          <w:szCs w:val="20"/>
          <w:vertAlign w:val="subscript"/>
        </w:rPr>
        <w:t>inoc</w:t>
      </w:r>
      <w:r w:rsidRPr="008074F6">
        <w:rPr>
          <w:rFonts w:ascii="Times New Roman" w:hAnsi="Times New Roman"/>
          <w:sz w:val="20"/>
          <w:szCs w:val="20"/>
        </w:rPr>
        <w:t xml:space="preserve"> was also selected based on previous report that the optimum substrate (food waste) to inoculum ratio was 2 g VS</w:t>
      </w:r>
      <w:r w:rsidRPr="008074F6">
        <w:rPr>
          <w:rFonts w:ascii="Times New Roman" w:hAnsi="Times New Roman"/>
          <w:sz w:val="20"/>
          <w:szCs w:val="20"/>
          <w:vertAlign w:val="subscript"/>
        </w:rPr>
        <w:t>substrate</w:t>
      </w:r>
      <w:r w:rsidRPr="008074F6">
        <w:rPr>
          <w:rFonts w:ascii="Times New Roman" w:hAnsi="Times New Roman"/>
          <w:sz w:val="20"/>
          <w:szCs w:val="20"/>
        </w:rPr>
        <w:t>/g VS</w:t>
      </w:r>
      <w:r w:rsidRPr="008074F6">
        <w:rPr>
          <w:rFonts w:ascii="Times New Roman" w:hAnsi="Times New Roman"/>
          <w:sz w:val="20"/>
          <w:szCs w:val="20"/>
          <w:vertAlign w:val="subscript"/>
        </w:rPr>
        <w:t>inoc</w:t>
      </w:r>
      <w:r w:rsidRPr="008074F6">
        <w:rPr>
          <w:rFonts w:ascii="Times New Roman" w:hAnsi="Times New Roman"/>
          <w:sz w:val="20"/>
          <w:szCs w:val="20"/>
        </w:rPr>
        <w:t xml:space="preserve"> [25]. The SIR value in this experiment was selected to even lower in order to authenticate whether or not similar pattern of gas yield will occur.</w:t>
      </w:r>
    </w:p>
    <w:p w:rsidR="008074F6" w:rsidRDefault="008074F6" w:rsidP="008074F6">
      <w:pPr>
        <w:spacing w:after="0" w:line="240" w:lineRule="auto"/>
        <w:jc w:val="both"/>
        <w:rPr>
          <w:rFonts w:ascii="Times New Roman" w:hAnsi="Times New Roman"/>
          <w:sz w:val="20"/>
          <w:szCs w:val="20"/>
        </w:rPr>
      </w:pPr>
    </w:p>
    <w:p w:rsidR="005103D3" w:rsidRPr="008074F6" w:rsidRDefault="005103D3" w:rsidP="005103D3">
      <w:pPr>
        <w:spacing w:after="0" w:line="240" w:lineRule="auto"/>
        <w:jc w:val="both"/>
        <w:rPr>
          <w:rFonts w:ascii="Times New Roman" w:hAnsi="Times New Roman"/>
          <w:sz w:val="20"/>
          <w:szCs w:val="20"/>
        </w:rPr>
      </w:pPr>
      <w:r w:rsidRPr="008074F6">
        <w:rPr>
          <w:rFonts w:ascii="Times New Roman" w:hAnsi="Times New Roman"/>
          <w:sz w:val="20"/>
          <w:szCs w:val="20"/>
        </w:rPr>
        <w:t>Hydrogen yield profile during fermentation of citrus, melon and apple is depicted in Figure 3. It was observed that a similar pattern of hydrogen gas yield occurred that the lower SIR of any fruit waste, the higher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The highest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was obtained from apple waste at SIR 0.800 corresponding to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of 294 mL STP/g VS (50-60%v of purity). This might be due to high content of TDF and total soluble sugars in apple waste compare to that of citrus and melon. It was also demonstrated that an increase in SIR value of 1.500 g VS</w:t>
      </w:r>
      <w:r w:rsidRPr="008074F6">
        <w:rPr>
          <w:rFonts w:ascii="Times New Roman" w:hAnsi="Times New Roman"/>
          <w:sz w:val="20"/>
          <w:szCs w:val="20"/>
          <w:vertAlign w:val="subscript"/>
        </w:rPr>
        <w:t>substrate</w:t>
      </w:r>
      <w:r w:rsidRPr="008074F6">
        <w:rPr>
          <w:rFonts w:ascii="Times New Roman" w:hAnsi="Times New Roman"/>
          <w:sz w:val="20"/>
          <w:szCs w:val="20"/>
        </w:rPr>
        <w:t>/g VS</w:t>
      </w:r>
      <w:r w:rsidRPr="008074F6">
        <w:rPr>
          <w:rFonts w:ascii="Times New Roman" w:hAnsi="Times New Roman"/>
          <w:sz w:val="20"/>
          <w:szCs w:val="20"/>
          <w:vertAlign w:val="subscript"/>
        </w:rPr>
        <w:t>inoc</w:t>
      </w:r>
      <w:r w:rsidRPr="008074F6">
        <w:rPr>
          <w:rFonts w:ascii="Times New Roman" w:hAnsi="Times New Roman"/>
          <w:sz w:val="20"/>
          <w:szCs w:val="20"/>
        </w:rPr>
        <w:t xml:space="preserve"> could decrease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up to 38%v. Whereas, the lower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was attained from fermentation of melon waste at SIR of 1.500 corresponding to 133 mL STP H</w:t>
      </w:r>
      <w:r w:rsidRPr="008074F6">
        <w:rPr>
          <w:rFonts w:ascii="Times New Roman" w:hAnsi="Times New Roman"/>
          <w:sz w:val="20"/>
          <w:szCs w:val="20"/>
          <w:vertAlign w:val="subscript"/>
        </w:rPr>
        <w:t>2</w:t>
      </w:r>
      <w:r w:rsidRPr="008074F6">
        <w:rPr>
          <w:rFonts w:ascii="Times New Roman" w:hAnsi="Times New Roman"/>
          <w:sz w:val="20"/>
          <w:szCs w:val="20"/>
        </w:rPr>
        <w:t>/g VS. This result is comparable to some previous report on thermophilic dark fermentation. As a comparison, a similar result was demonstrated from immobilized system of dark fermentation using glucose as substrate i.e. 1.9 mol H</w:t>
      </w:r>
      <w:r w:rsidRPr="008074F6">
        <w:rPr>
          <w:rFonts w:ascii="Times New Roman" w:hAnsi="Times New Roman"/>
          <w:sz w:val="20"/>
          <w:szCs w:val="20"/>
          <w:vertAlign w:val="subscript"/>
        </w:rPr>
        <w:t>2</w:t>
      </w:r>
      <w:r w:rsidRPr="008074F6">
        <w:rPr>
          <w:rFonts w:ascii="Times New Roman" w:hAnsi="Times New Roman"/>
          <w:sz w:val="20"/>
          <w:szCs w:val="20"/>
        </w:rPr>
        <w:t>/mol glucose (244 mL H</w:t>
      </w:r>
      <w:r w:rsidRPr="008074F6">
        <w:rPr>
          <w:rFonts w:ascii="Times New Roman" w:hAnsi="Times New Roman"/>
          <w:sz w:val="20"/>
          <w:szCs w:val="20"/>
          <w:vertAlign w:val="subscript"/>
        </w:rPr>
        <w:t>2</w:t>
      </w:r>
      <w:r w:rsidRPr="008074F6">
        <w:rPr>
          <w:rFonts w:ascii="Times New Roman" w:hAnsi="Times New Roman"/>
          <w:sz w:val="20"/>
          <w:szCs w:val="20"/>
        </w:rPr>
        <w:t>/g glucose) [26]. A lower yield was also reported when starch and cellulose was utilized as substrate with corresponding yield of 92 mL H</w:t>
      </w:r>
      <w:r w:rsidRPr="008074F6">
        <w:rPr>
          <w:rFonts w:ascii="Times New Roman" w:hAnsi="Times New Roman"/>
          <w:sz w:val="20"/>
          <w:szCs w:val="20"/>
          <w:vertAlign w:val="subscript"/>
        </w:rPr>
        <w:t>2</w:t>
      </w:r>
      <w:r w:rsidRPr="008074F6">
        <w:rPr>
          <w:rFonts w:ascii="Times New Roman" w:hAnsi="Times New Roman"/>
          <w:sz w:val="20"/>
          <w:szCs w:val="20"/>
        </w:rPr>
        <w:t>/g starch and 102 mL H</w:t>
      </w:r>
      <w:r w:rsidRPr="008074F6">
        <w:rPr>
          <w:rFonts w:ascii="Times New Roman" w:hAnsi="Times New Roman"/>
          <w:sz w:val="20"/>
          <w:szCs w:val="20"/>
          <w:vertAlign w:val="subscript"/>
        </w:rPr>
        <w:t>2</w:t>
      </w:r>
      <w:r w:rsidRPr="008074F6">
        <w:rPr>
          <w:rFonts w:ascii="Times New Roman" w:hAnsi="Times New Roman"/>
          <w:sz w:val="20"/>
          <w:szCs w:val="20"/>
        </w:rPr>
        <w:t>/g cellulose [5].</w:t>
      </w:r>
    </w:p>
    <w:p w:rsidR="005103D3" w:rsidRDefault="005103D3" w:rsidP="008074F6">
      <w:pPr>
        <w:spacing w:after="0" w:line="240" w:lineRule="auto"/>
        <w:jc w:val="both"/>
        <w:rPr>
          <w:rFonts w:ascii="Times New Roman" w:hAnsi="Times New Roman"/>
          <w:b/>
          <w:sz w:val="20"/>
          <w:szCs w:val="20"/>
        </w:rPr>
      </w:pPr>
    </w:p>
    <w:p w:rsidR="005103D3" w:rsidRDefault="005103D3" w:rsidP="005103D3">
      <w:pPr>
        <w:spacing w:after="0" w:line="240" w:lineRule="auto"/>
        <w:jc w:val="both"/>
        <w:rPr>
          <w:rFonts w:ascii="Times New Roman" w:hAnsi="Times New Roman"/>
          <w:sz w:val="20"/>
          <w:szCs w:val="20"/>
        </w:rPr>
      </w:pPr>
      <w:r w:rsidRPr="008074F6">
        <w:rPr>
          <w:rFonts w:ascii="Times New Roman" w:hAnsi="Times New Roman"/>
          <w:sz w:val="20"/>
          <w:szCs w:val="20"/>
        </w:rPr>
        <w:t>Effect of inhibition due to the presence of volatile compounds (limonene, eugenol and phloretin) was not observed significantly in comparison to that of mesophilic condition. Both lower SIR values and higher temperature provide concentration of these compounds significantly below inhibition concentration (IC</w:t>
      </w:r>
      <w:r w:rsidRPr="008074F6">
        <w:rPr>
          <w:rFonts w:ascii="Times New Roman" w:hAnsi="Times New Roman"/>
          <w:sz w:val="20"/>
          <w:szCs w:val="20"/>
          <w:vertAlign w:val="subscript"/>
        </w:rPr>
        <w:t>50</w:t>
      </w:r>
      <w:r w:rsidRPr="008074F6">
        <w:rPr>
          <w:rFonts w:ascii="Times New Roman" w:hAnsi="Times New Roman"/>
          <w:sz w:val="20"/>
          <w:szCs w:val="20"/>
        </w:rPr>
        <w:t>). Low SIR implies less quantity of substrate addition to fermentation so that there is only limited concentration in the same population of microorganism. Whereas, higher temperature (55 °C) condition could induce evaporation of these compounds and decrease the solubility in water. The hydrogen yield is 20-fold in thermophilic fermentation compare to that of mesophilic one. Therefore, combination of these SIR and temperature results in optimum condition for improving H</w:t>
      </w:r>
      <w:r w:rsidRPr="008074F6">
        <w:rPr>
          <w:rFonts w:ascii="Times New Roman" w:hAnsi="Times New Roman"/>
          <w:sz w:val="20"/>
          <w:szCs w:val="20"/>
          <w:vertAlign w:val="subscript"/>
        </w:rPr>
        <w:t>2</w:t>
      </w:r>
      <w:r w:rsidRPr="008074F6">
        <w:rPr>
          <w:rFonts w:ascii="Times New Roman" w:hAnsi="Times New Roman"/>
          <w:sz w:val="20"/>
          <w:szCs w:val="20"/>
        </w:rPr>
        <w:t xml:space="preserve"> yield in this fermentation. </w:t>
      </w:r>
    </w:p>
    <w:p w:rsidR="005103D3" w:rsidRDefault="005103D3" w:rsidP="008074F6">
      <w:pPr>
        <w:spacing w:after="0" w:line="240" w:lineRule="auto"/>
        <w:jc w:val="both"/>
        <w:rPr>
          <w:rFonts w:ascii="Times New Roman" w:hAnsi="Times New Roman"/>
          <w:b/>
          <w:sz w:val="20"/>
          <w:szCs w:val="20"/>
        </w:rPr>
      </w:pPr>
    </w:p>
    <w:p w:rsidR="005103D3" w:rsidRPr="008074F6" w:rsidRDefault="005103D3" w:rsidP="008074F6">
      <w:pPr>
        <w:spacing w:after="0" w:line="240" w:lineRule="auto"/>
        <w:jc w:val="both"/>
        <w:rPr>
          <w:rFonts w:ascii="Times New Roman" w:hAnsi="Times New Roman"/>
          <w:b/>
          <w:sz w:val="20"/>
          <w:szCs w:val="20"/>
        </w:rPr>
      </w:pPr>
    </w:p>
    <w:p w:rsidR="008074F6" w:rsidRPr="008074F6" w:rsidRDefault="008074F6" w:rsidP="005103D3">
      <w:pPr>
        <w:spacing w:after="0" w:line="240" w:lineRule="auto"/>
        <w:jc w:val="center"/>
        <w:rPr>
          <w:rFonts w:ascii="Times New Roman" w:hAnsi="Times New Roman"/>
          <w:sz w:val="20"/>
          <w:szCs w:val="20"/>
        </w:rPr>
      </w:pPr>
      <w:r w:rsidRPr="008074F6">
        <w:rPr>
          <w:rFonts w:ascii="Times New Roman" w:hAnsi="Times New Roman"/>
          <w:noProof/>
          <w:sz w:val="20"/>
          <w:szCs w:val="20"/>
          <w:lang w:bidi="ar-SA"/>
        </w:rPr>
        <w:lastRenderedPageBreak/>
        <w:drawing>
          <wp:inline distT="0" distB="0" distL="0" distR="0" wp14:anchorId="11E4E82F" wp14:editId="15AC1B4F">
            <wp:extent cx="2520000" cy="1800000"/>
            <wp:effectExtent l="19050" t="19050" r="13970" b="1016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2520000" cy="1800000"/>
                    </a:xfrm>
                    <a:prstGeom prst="rect">
                      <a:avLst/>
                    </a:prstGeom>
                    <a:ln>
                      <a:solidFill>
                        <a:schemeClr val="tx1"/>
                      </a:solidFill>
                    </a:ln>
                  </pic:spPr>
                </pic:pic>
              </a:graphicData>
            </a:graphic>
          </wp:inline>
        </w:drawing>
      </w:r>
      <w:r w:rsidR="005103D3">
        <w:rPr>
          <w:rFonts w:ascii="Times New Roman" w:hAnsi="Times New Roman"/>
          <w:sz w:val="20"/>
          <w:szCs w:val="20"/>
        </w:rPr>
        <w:t xml:space="preserve">   </w:t>
      </w:r>
      <w:r w:rsidRPr="008074F6">
        <w:rPr>
          <w:rFonts w:ascii="Times New Roman" w:hAnsi="Times New Roman"/>
          <w:noProof/>
          <w:sz w:val="20"/>
          <w:szCs w:val="20"/>
          <w:lang w:bidi="ar-SA"/>
        </w:rPr>
        <w:drawing>
          <wp:inline distT="0" distB="0" distL="0" distR="0" wp14:anchorId="06A05D13" wp14:editId="511F5E4B">
            <wp:extent cx="2520000" cy="1800000"/>
            <wp:effectExtent l="19050" t="19050" r="13970" b="1016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2520000" cy="1800000"/>
                    </a:xfrm>
                    <a:prstGeom prst="rect">
                      <a:avLst/>
                    </a:prstGeom>
                    <a:ln>
                      <a:solidFill>
                        <a:schemeClr val="tx1"/>
                      </a:solidFill>
                    </a:ln>
                  </pic:spPr>
                </pic:pic>
              </a:graphicData>
            </a:graphic>
          </wp:inline>
        </w:drawing>
      </w:r>
    </w:p>
    <w:p w:rsidR="008074F6" w:rsidRPr="008074F6" w:rsidRDefault="008074F6" w:rsidP="008074F6">
      <w:pPr>
        <w:spacing w:after="0" w:line="240" w:lineRule="auto"/>
        <w:jc w:val="both"/>
        <w:rPr>
          <w:rFonts w:ascii="Times New Roman" w:hAnsi="Times New Roman"/>
          <w:sz w:val="20"/>
          <w:szCs w:val="20"/>
        </w:rPr>
      </w:pPr>
    </w:p>
    <w:p w:rsidR="008074F6" w:rsidRPr="008074F6" w:rsidRDefault="008074F6" w:rsidP="005103D3">
      <w:pPr>
        <w:spacing w:after="120" w:line="240" w:lineRule="auto"/>
        <w:jc w:val="center"/>
        <w:rPr>
          <w:rFonts w:ascii="Times New Roman" w:hAnsi="Times New Roman"/>
          <w:sz w:val="20"/>
          <w:szCs w:val="20"/>
        </w:rPr>
      </w:pPr>
      <w:r w:rsidRPr="008074F6">
        <w:rPr>
          <w:rFonts w:ascii="Times New Roman" w:hAnsi="Times New Roman"/>
          <w:noProof/>
          <w:sz w:val="20"/>
          <w:szCs w:val="20"/>
          <w:lang w:bidi="ar-SA"/>
        </w:rPr>
        <w:drawing>
          <wp:inline distT="0" distB="0" distL="0" distR="0" wp14:anchorId="2A2D5DD9" wp14:editId="29761D55">
            <wp:extent cx="2520000" cy="1800000"/>
            <wp:effectExtent l="19050" t="19050" r="13970" b="1016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2520000" cy="1800000"/>
                    </a:xfrm>
                    <a:prstGeom prst="rect">
                      <a:avLst/>
                    </a:prstGeom>
                    <a:ln>
                      <a:solidFill>
                        <a:schemeClr val="tx1"/>
                      </a:solidFill>
                    </a:ln>
                  </pic:spPr>
                </pic:pic>
              </a:graphicData>
            </a:graphic>
          </wp:inline>
        </w:drawing>
      </w:r>
    </w:p>
    <w:p w:rsidR="005103D3" w:rsidRPr="008074F6" w:rsidRDefault="008074F6" w:rsidP="005103D3">
      <w:pPr>
        <w:spacing w:after="0" w:line="240" w:lineRule="auto"/>
        <w:ind w:left="851" w:hanging="851"/>
        <w:jc w:val="both"/>
        <w:rPr>
          <w:rFonts w:ascii="Times New Roman" w:hAnsi="Times New Roman"/>
          <w:sz w:val="20"/>
          <w:szCs w:val="20"/>
        </w:rPr>
      </w:pPr>
      <w:r w:rsidRPr="008074F6">
        <w:rPr>
          <w:rFonts w:ascii="Times New Roman" w:hAnsi="Times New Roman"/>
          <w:sz w:val="20"/>
          <w:szCs w:val="20"/>
        </w:rPr>
        <w:t xml:space="preserve">Figure 3. </w:t>
      </w:r>
      <w:r w:rsidRPr="008074F6">
        <w:rPr>
          <w:rFonts w:ascii="Times New Roman" w:hAnsi="Times New Roman"/>
          <w:sz w:val="20"/>
          <w:szCs w:val="20"/>
        </w:rPr>
        <w:tab/>
        <w:t xml:space="preserve">Profile of hydrogen yield during thermophilic fermentation (55 °C,1 atm) at various SIR values  (□ SIR 0.800, </w:t>
      </w:r>
      <m:oMath>
        <m:r>
          <w:rPr>
            <w:rFonts w:ascii="Cambria Math" w:eastAsia="Cambria" w:hAnsi="Cambria Math"/>
            <w:sz w:val="20"/>
            <w:szCs w:val="20"/>
          </w:rPr>
          <m:t>∆ SIR 1.500</m:t>
        </m:r>
      </m:oMath>
      <w:r w:rsidRPr="008074F6">
        <w:rPr>
          <w:rFonts w:ascii="Times New Roman" w:hAnsi="Times New Roman"/>
          <w:sz w:val="20"/>
          <w:szCs w:val="20"/>
        </w:rPr>
        <w:t>)</w:t>
      </w:r>
    </w:p>
    <w:p w:rsidR="005103D3" w:rsidRDefault="005103D3" w:rsidP="008074F6">
      <w:pPr>
        <w:spacing w:after="0" w:line="240" w:lineRule="auto"/>
        <w:jc w:val="center"/>
        <w:rPr>
          <w:rFonts w:ascii="Times New Roman" w:hAnsi="Times New Roman"/>
          <w:noProof/>
          <w:sz w:val="20"/>
          <w:szCs w:val="20"/>
          <w:lang w:bidi="ar-SA"/>
        </w:rPr>
      </w:pPr>
    </w:p>
    <w:p w:rsidR="005103D3" w:rsidRPr="00F447A7" w:rsidRDefault="005103D3" w:rsidP="008074F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103D3" w:rsidRPr="005103D3" w:rsidRDefault="005103D3" w:rsidP="005103D3">
      <w:pPr>
        <w:spacing w:after="0" w:line="240" w:lineRule="auto"/>
        <w:jc w:val="both"/>
        <w:rPr>
          <w:rFonts w:ascii="Times New Roman" w:hAnsi="Times New Roman"/>
          <w:sz w:val="20"/>
          <w:szCs w:val="20"/>
        </w:rPr>
      </w:pPr>
      <w:r w:rsidRPr="005103D3">
        <w:rPr>
          <w:rFonts w:ascii="Times New Roman" w:hAnsi="Times New Roman"/>
          <w:sz w:val="20"/>
          <w:szCs w:val="20"/>
        </w:rPr>
        <w:t>Optimization of hydrogen production from fruit waste through dark fermentation was achieved through adjustment of the substrate-to-inoculum ratio (SIR). It was demonstrated that the lower SIR value, the higher total gas yield. The highest one was achieved from fermentation of apple waste at thermophilic condition (55</w:t>
      </w:r>
      <m:oMath>
        <m:r>
          <w:rPr>
            <w:rFonts w:ascii="Cambria Math" w:eastAsia="Cambria" w:hAnsi="Cambria Math"/>
            <w:sz w:val="20"/>
            <w:szCs w:val="20"/>
          </w:rPr>
          <m:t>℃</m:t>
        </m:r>
      </m:oMath>
      <w:r w:rsidRPr="005103D3">
        <w:rPr>
          <w:rFonts w:ascii="Times New Roman" w:hAnsi="Times New Roman"/>
          <w:sz w:val="20"/>
          <w:szCs w:val="20"/>
        </w:rPr>
        <w:t>) and SIR of 0.800 g VS</w:t>
      </w:r>
      <w:r w:rsidRPr="005103D3">
        <w:rPr>
          <w:rFonts w:ascii="Times New Roman" w:hAnsi="Times New Roman"/>
          <w:sz w:val="20"/>
          <w:szCs w:val="20"/>
          <w:vertAlign w:val="subscript"/>
        </w:rPr>
        <w:t>substrate</w:t>
      </w:r>
      <w:r w:rsidRPr="005103D3">
        <w:rPr>
          <w:rFonts w:ascii="Times New Roman" w:hAnsi="Times New Roman"/>
          <w:sz w:val="20"/>
          <w:szCs w:val="20"/>
        </w:rPr>
        <w:t>/g VS</w:t>
      </w:r>
      <w:r w:rsidRPr="005103D3">
        <w:rPr>
          <w:rFonts w:ascii="Times New Roman" w:hAnsi="Times New Roman"/>
          <w:sz w:val="20"/>
          <w:szCs w:val="20"/>
          <w:vertAlign w:val="subscript"/>
        </w:rPr>
        <w:t>inoc</w:t>
      </w:r>
      <w:r w:rsidRPr="005103D3">
        <w:rPr>
          <w:rFonts w:ascii="Times New Roman" w:hAnsi="Times New Roman"/>
          <w:sz w:val="20"/>
          <w:szCs w:val="20"/>
        </w:rPr>
        <w:t xml:space="preserve"> corresponding to H</w:t>
      </w:r>
      <w:r w:rsidRPr="005103D3">
        <w:rPr>
          <w:rFonts w:ascii="Times New Roman" w:hAnsi="Times New Roman"/>
          <w:sz w:val="20"/>
          <w:szCs w:val="20"/>
          <w:vertAlign w:val="subscript"/>
        </w:rPr>
        <w:t>2</w:t>
      </w:r>
      <w:r w:rsidRPr="005103D3">
        <w:rPr>
          <w:rFonts w:ascii="Times New Roman" w:hAnsi="Times New Roman"/>
          <w:sz w:val="20"/>
          <w:szCs w:val="20"/>
        </w:rPr>
        <w:t xml:space="preserve"> yield of 294 ml STP/g VS</w:t>
      </w:r>
      <w:r w:rsidRPr="005103D3">
        <w:rPr>
          <w:rFonts w:ascii="Times New Roman" w:hAnsi="Times New Roman"/>
          <w:sz w:val="20"/>
          <w:szCs w:val="20"/>
          <w:vertAlign w:val="subscript"/>
        </w:rPr>
        <w:t>added</w:t>
      </w:r>
      <w:r w:rsidRPr="005103D3">
        <w:rPr>
          <w:rFonts w:ascii="Times New Roman" w:hAnsi="Times New Roman"/>
          <w:sz w:val="20"/>
          <w:szCs w:val="20"/>
        </w:rPr>
        <w:t xml:space="preserve"> (50-60%v of H</w:t>
      </w:r>
      <w:r w:rsidRPr="005103D3">
        <w:rPr>
          <w:rFonts w:ascii="Times New Roman" w:hAnsi="Times New Roman"/>
          <w:sz w:val="20"/>
          <w:szCs w:val="20"/>
          <w:vertAlign w:val="subscript"/>
        </w:rPr>
        <w:t>2</w:t>
      </w:r>
      <w:r w:rsidRPr="005103D3">
        <w:rPr>
          <w:rFonts w:ascii="Times New Roman" w:hAnsi="Times New Roman"/>
          <w:sz w:val="20"/>
          <w:szCs w:val="20"/>
        </w:rPr>
        <w:t xml:space="preserve">). It was noticed that there is the consistency of SIR effect toward hydrogen production regardless the type of fruit waste. This optimized condition may be implemented to improve the renewable energy of hydrogen production for better environment.  </w:t>
      </w:r>
    </w:p>
    <w:p w:rsidR="005103D3" w:rsidRPr="005103D3" w:rsidRDefault="005103D3" w:rsidP="005103D3">
      <w:pPr>
        <w:spacing w:after="0" w:line="240" w:lineRule="auto"/>
        <w:jc w:val="center"/>
        <w:rPr>
          <w:rFonts w:ascii="Times New Roman" w:hAnsi="Times New Roman"/>
          <w:b/>
          <w:sz w:val="20"/>
          <w:szCs w:val="20"/>
        </w:rPr>
      </w:pPr>
    </w:p>
    <w:p w:rsidR="005103D3" w:rsidRPr="005103D3" w:rsidRDefault="005103D3" w:rsidP="005103D3">
      <w:pPr>
        <w:spacing w:after="0" w:line="240" w:lineRule="auto"/>
        <w:jc w:val="center"/>
        <w:rPr>
          <w:rFonts w:ascii="Times New Roman" w:hAnsi="Times New Roman"/>
          <w:b/>
          <w:sz w:val="20"/>
          <w:szCs w:val="20"/>
        </w:rPr>
      </w:pPr>
      <w:r w:rsidRPr="005103D3">
        <w:rPr>
          <w:rFonts w:ascii="Times New Roman" w:hAnsi="Times New Roman"/>
          <w:b/>
          <w:sz w:val="20"/>
          <w:szCs w:val="20"/>
        </w:rPr>
        <w:t>Acknowledgements</w:t>
      </w:r>
    </w:p>
    <w:p w:rsidR="006768E9" w:rsidRPr="00F447A7" w:rsidRDefault="005103D3" w:rsidP="005103D3">
      <w:pPr>
        <w:spacing w:after="0" w:line="240" w:lineRule="auto"/>
        <w:jc w:val="both"/>
        <w:rPr>
          <w:rFonts w:ascii="Times New Roman" w:hAnsi="Times New Roman"/>
          <w:sz w:val="20"/>
          <w:szCs w:val="20"/>
        </w:rPr>
      </w:pPr>
      <w:r w:rsidRPr="005103D3">
        <w:rPr>
          <w:rFonts w:ascii="Times New Roman" w:hAnsi="Times New Roman"/>
          <w:sz w:val="20"/>
          <w:szCs w:val="20"/>
        </w:rPr>
        <w:t>Authors extend their gratitude to Swedish International Development Cooperation Agency (SIDA), Sweden and Ministry of Research and Higher Education of Indonesia for financially supporting this research.</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Sugiawan, Y. and Managi, S. (2016). The environmental Kuznets curve in Indonesia: Exploring the potential of renewable energy. </w:t>
      </w:r>
      <w:r w:rsidRPr="005103D3">
        <w:rPr>
          <w:rFonts w:ascii="Times New Roman" w:hAnsi="Times New Roman"/>
          <w:i/>
          <w:sz w:val="20"/>
          <w:szCs w:val="20"/>
        </w:rPr>
        <w:t>Energy Policy</w:t>
      </w:r>
      <w:r w:rsidRPr="005103D3">
        <w:rPr>
          <w:rFonts w:ascii="Times New Roman" w:hAnsi="Times New Roman"/>
          <w:sz w:val="20"/>
          <w:szCs w:val="20"/>
        </w:rPr>
        <w:t>, 98: 187–198.</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Alam, M. S. and Paramati, S. R. (2015). Do oil consumption and economic growth intensify environmental degradation? Evidence from developing economies. </w:t>
      </w:r>
      <w:r w:rsidRPr="005103D3">
        <w:rPr>
          <w:rFonts w:ascii="Times New Roman" w:hAnsi="Times New Roman"/>
          <w:i/>
          <w:sz w:val="20"/>
          <w:szCs w:val="20"/>
        </w:rPr>
        <w:t>Applied Economics</w:t>
      </w:r>
      <w:r w:rsidRPr="005103D3">
        <w:rPr>
          <w:rFonts w:ascii="Times New Roman" w:hAnsi="Times New Roman"/>
          <w:sz w:val="20"/>
          <w:szCs w:val="20"/>
        </w:rPr>
        <w:t>, 47: 5186–5203.</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Kumar, S. (2016). Assessment of renewables for energy security and carbon mitigation in Southeast Asia: The case of Indonesia and Thailand. </w:t>
      </w:r>
      <w:r w:rsidRPr="005103D3">
        <w:rPr>
          <w:rFonts w:ascii="Times New Roman" w:hAnsi="Times New Roman"/>
          <w:i/>
          <w:sz w:val="20"/>
          <w:szCs w:val="20"/>
        </w:rPr>
        <w:t>Applied Energy</w:t>
      </w:r>
      <w:r w:rsidRPr="005103D3">
        <w:rPr>
          <w:rFonts w:ascii="Times New Roman" w:hAnsi="Times New Roman"/>
          <w:sz w:val="20"/>
          <w:szCs w:val="20"/>
        </w:rPr>
        <w:t>, 163: 63–70.</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Mujiyanto, S. and Tiess, G. (2013). Secure energy supply in 2025: Indonesia’s need for an energy policy strategy. </w:t>
      </w:r>
      <w:r w:rsidRPr="005103D3">
        <w:rPr>
          <w:rFonts w:ascii="Times New Roman" w:hAnsi="Times New Roman"/>
          <w:i/>
          <w:sz w:val="20"/>
          <w:szCs w:val="20"/>
        </w:rPr>
        <w:t>Energy Policy</w:t>
      </w:r>
      <w:r w:rsidRPr="005103D3">
        <w:rPr>
          <w:rFonts w:ascii="Times New Roman" w:hAnsi="Times New Roman"/>
          <w:sz w:val="20"/>
          <w:szCs w:val="20"/>
        </w:rPr>
        <w:t>, 61: 31–41.</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Elbeshbishy, E., Dhar, B. R., Nakhla, G. and Lee, H.-S. (2017). A critical review on inhibition of dark biohydrogen fermentation. </w:t>
      </w:r>
      <w:r w:rsidRPr="005103D3">
        <w:rPr>
          <w:rFonts w:ascii="Times New Roman" w:hAnsi="Times New Roman"/>
          <w:i/>
          <w:sz w:val="20"/>
          <w:szCs w:val="20"/>
        </w:rPr>
        <w:t>Renewable and Sustainable Energy Reviews</w:t>
      </w:r>
      <w:r w:rsidRPr="005103D3">
        <w:rPr>
          <w:rFonts w:ascii="Times New Roman" w:hAnsi="Times New Roman"/>
          <w:sz w:val="20"/>
          <w:szCs w:val="20"/>
        </w:rPr>
        <w:t>, 79: 656–668.</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lastRenderedPageBreak/>
        <w:t xml:space="preserve">Gustavsson, J., Cederberg, C. and Sonesson, U. (2011). Global food losses and food waste. </w:t>
      </w:r>
      <w:r w:rsidRPr="005103D3">
        <w:rPr>
          <w:rFonts w:ascii="Times New Roman" w:hAnsi="Times New Roman"/>
          <w:i/>
          <w:sz w:val="20"/>
          <w:szCs w:val="20"/>
        </w:rPr>
        <w:t>Food Agricultural Organization of United Nation</w:t>
      </w:r>
      <w:r w:rsidRPr="005103D3">
        <w:rPr>
          <w:rFonts w:ascii="Times New Roman" w:hAnsi="Times New Roman"/>
          <w:sz w:val="20"/>
          <w:szCs w:val="20"/>
        </w:rPr>
        <w:t xml:space="preserve">. Access from http://www.fao.org/3/a-i2697e.pdf </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Sanjaya, A., Cahyanto, M. and Millati, R. (2016). Mesophilic batch anaerobic digestion from fruit fragments. </w:t>
      </w:r>
      <w:r w:rsidRPr="005103D3">
        <w:rPr>
          <w:rFonts w:ascii="Times New Roman" w:hAnsi="Times New Roman"/>
          <w:i/>
          <w:sz w:val="20"/>
          <w:szCs w:val="20"/>
        </w:rPr>
        <w:t>Renewable Energy</w:t>
      </w:r>
      <w:r w:rsidRPr="005103D3">
        <w:rPr>
          <w:rFonts w:ascii="Times New Roman" w:hAnsi="Times New Roman"/>
          <w:sz w:val="20"/>
          <w:szCs w:val="20"/>
        </w:rPr>
        <w:t>, 98: 135–141.</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Millati, R., Nurrihadini, O. D., Suroto, D. A. and Cahyari, K. (2009). Waste refinery program in Indonesia: Characterization of waste from “gemah ripah” fruit market as a feedstock for biogas production. </w:t>
      </w:r>
      <w:r w:rsidRPr="005103D3">
        <w:rPr>
          <w:rFonts w:ascii="Times New Roman" w:hAnsi="Times New Roman"/>
          <w:i/>
          <w:sz w:val="20"/>
          <w:szCs w:val="20"/>
        </w:rPr>
        <w:t xml:space="preserve">Department of Chemical Engineering, </w:t>
      </w:r>
      <w:r w:rsidRPr="005103D3">
        <w:rPr>
          <w:rFonts w:ascii="Times New Roman" w:hAnsi="Times New Roman"/>
          <w:sz w:val="20"/>
          <w:szCs w:val="20"/>
        </w:rPr>
        <w:t xml:space="preserve">Universitas Gadjah Mada, Indonesia. </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lang w:val="sv-SE"/>
        </w:rPr>
        <w:t xml:space="preserve">Cappai, G., Gioannis, G. De and Muntoni, A. (2015). </w:t>
      </w:r>
      <w:r w:rsidRPr="005103D3">
        <w:rPr>
          <w:rFonts w:ascii="Times New Roman" w:hAnsi="Times New Roman"/>
          <w:sz w:val="20"/>
          <w:szCs w:val="20"/>
        </w:rPr>
        <w:t xml:space="preserve">Effect of inoculum to substrate ratio (ISR) on hydrogen production through dark fermentation of food waste. In </w:t>
      </w:r>
      <w:r w:rsidRPr="005103D3">
        <w:rPr>
          <w:rFonts w:ascii="Times New Roman" w:hAnsi="Times New Roman"/>
          <w:i/>
          <w:sz w:val="20"/>
          <w:szCs w:val="20"/>
        </w:rPr>
        <w:t>Proceeding Sardinia, 15th International Waste Management and Landfill Symposium</w:t>
      </w:r>
      <w:r w:rsidRPr="005103D3">
        <w:rPr>
          <w:rFonts w:ascii="Times New Roman" w:hAnsi="Times New Roman"/>
          <w:sz w:val="20"/>
          <w:szCs w:val="20"/>
        </w:rPr>
        <w:t>. Cagliary, Italy: CISA Publisher.</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Argun, H. and Dao, S. (2017). Bio-hydrogen production from waste peach pulp by dark fermentation: Effect of inoculum addition. </w:t>
      </w:r>
      <w:r w:rsidRPr="005103D3">
        <w:rPr>
          <w:rFonts w:ascii="Times New Roman" w:hAnsi="Times New Roman"/>
          <w:i/>
          <w:sz w:val="20"/>
          <w:szCs w:val="20"/>
        </w:rPr>
        <w:t>International Journal of Hydrogen Energy</w:t>
      </w:r>
      <w:r w:rsidRPr="005103D3">
        <w:rPr>
          <w:rFonts w:ascii="Times New Roman" w:hAnsi="Times New Roman"/>
          <w:sz w:val="20"/>
          <w:szCs w:val="20"/>
        </w:rPr>
        <w:t>, 42: 2569–2574.</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Jeihanipour, A., Karimi, K. and Taherzadeh, M. J. (2010). Enhancement of ethanol and biogas production from high-crystalline cellulose by different modes of NMO pretreatment. </w:t>
      </w:r>
      <w:r w:rsidRPr="005103D3">
        <w:rPr>
          <w:rFonts w:ascii="Times New Roman" w:hAnsi="Times New Roman"/>
          <w:i/>
          <w:sz w:val="20"/>
          <w:szCs w:val="20"/>
        </w:rPr>
        <w:t>Biotechnology and Bioengineering</w:t>
      </w:r>
      <w:r w:rsidRPr="005103D3">
        <w:rPr>
          <w:rFonts w:ascii="Times New Roman" w:hAnsi="Times New Roman"/>
          <w:sz w:val="20"/>
          <w:szCs w:val="20"/>
        </w:rPr>
        <w:t>, 105: 469–476.</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APHA (2012). Standard methods for the examination of water and wastewater. </w:t>
      </w:r>
      <w:r w:rsidRPr="005103D3">
        <w:rPr>
          <w:rFonts w:ascii="Times New Roman" w:hAnsi="Times New Roman"/>
          <w:i/>
          <w:sz w:val="20"/>
          <w:szCs w:val="20"/>
        </w:rPr>
        <w:t>American Public Health Association, DC</w:t>
      </w:r>
      <w:r w:rsidRPr="005103D3">
        <w:rPr>
          <w:rFonts w:ascii="Times New Roman" w:hAnsi="Times New Roman"/>
          <w:sz w:val="20"/>
          <w:szCs w:val="20"/>
        </w:rPr>
        <w:t>.</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FAOUN. (2014). Data of Production Quantity of Crops. Access from http://www.fao.org/faostat/en/#data/QC [May 31, 2017].</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Górnaś, P., Mišina, I., Olšteine, A., Krasnova, I., Pugajeva, I., Lācis, G., Siger, A., Michalak, M., Soliven, A. and Segliņa, D. (2015). Phenolic compounds in different fruit parts of crab apple: Dihydrochalcones as promising quality markers of industrial apple pomace by-products. </w:t>
      </w:r>
      <w:r w:rsidRPr="005103D3">
        <w:rPr>
          <w:rFonts w:ascii="Times New Roman" w:hAnsi="Times New Roman"/>
          <w:i/>
          <w:sz w:val="20"/>
          <w:szCs w:val="20"/>
        </w:rPr>
        <w:t>Industrial Crops and Products</w:t>
      </w:r>
      <w:r w:rsidRPr="005103D3">
        <w:rPr>
          <w:rFonts w:ascii="Times New Roman" w:hAnsi="Times New Roman"/>
          <w:sz w:val="20"/>
          <w:szCs w:val="20"/>
        </w:rPr>
        <w:t>, 74: 607–612.</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Wang, L., Xu, H., Yuan, F., Pan, Q., Fan, R. and Gao, Y. (2015). Physicochemical characterization of five types of citrus dietary fibers. </w:t>
      </w:r>
      <w:r w:rsidRPr="005103D3">
        <w:rPr>
          <w:rFonts w:ascii="Times New Roman" w:hAnsi="Times New Roman"/>
          <w:i/>
          <w:sz w:val="20"/>
          <w:szCs w:val="20"/>
        </w:rPr>
        <w:t>Biocatalysis and Agricultural Biotechnology</w:t>
      </w:r>
      <w:r w:rsidRPr="005103D3">
        <w:rPr>
          <w:rFonts w:ascii="Times New Roman" w:hAnsi="Times New Roman"/>
          <w:sz w:val="20"/>
          <w:szCs w:val="20"/>
        </w:rPr>
        <w:t>, 4: 250–258.</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Raji, Z., Khodaiyan, F., Rezaei, K., Kiani, H. and Hosseini, S. S. (2017). Extraction optimization and physicochemical properties of pectin from melon peel. </w:t>
      </w:r>
      <w:r w:rsidRPr="005103D3">
        <w:rPr>
          <w:rFonts w:ascii="Times New Roman" w:hAnsi="Times New Roman"/>
          <w:i/>
          <w:sz w:val="20"/>
          <w:szCs w:val="20"/>
        </w:rPr>
        <w:t>International Journal of Biological Macromolecules</w:t>
      </w:r>
      <w:r w:rsidRPr="005103D3">
        <w:rPr>
          <w:rFonts w:ascii="Times New Roman" w:hAnsi="Times New Roman"/>
          <w:sz w:val="20"/>
          <w:szCs w:val="20"/>
        </w:rPr>
        <w:t>, 98: 709–716.</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Mallek-Ayadi, S., Bahloul, N. and Kechaou, N. (2017). Characterization, phenolic compounds and functional properties of Cucumis melo L. peels. </w:t>
      </w:r>
      <w:r w:rsidRPr="005103D3">
        <w:rPr>
          <w:rFonts w:ascii="Times New Roman" w:hAnsi="Times New Roman"/>
          <w:i/>
          <w:sz w:val="20"/>
          <w:szCs w:val="20"/>
        </w:rPr>
        <w:t>Food Chemistry</w:t>
      </w:r>
      <w:r w:rsidRPr="005103D3">
        <w:rPr>
          <w:rFonts w:ascii="Times New Roman" w:hAnsi="Times New Roman"/>
          <w:sz w:val="20"/>
          <w:szCs w:val="20"/>
        </w:rPr>
        <w:t>, 221: 1691–1697.</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Macagnan, F. T., Santos, L. R. dos, Roberto, B. S., de Moura, F. A., Bizzani, M. and da Silva, L. P. (2015). Biological properties of apple pomace, orange bagasse and passion fruit peel as alternative sources of dietary fibre. </w:t>
      </w:r>
      <w:r w:rsidRPr="005103D3">
        <w:rPr>
          <w:rFonts w:ascii="Times New Roman" w:hAnsi="Times New Roman"/>
          <w:i/>
          <w:sz w:val="20"/>
          <w:szCs w:val="20"/>
        </w:rPr>
        <w:t>Bioactive Carbohydrates and Dietary Fibre</w:t>
      </w:r>
      <w:r w:rsidRPr="005103D3">
        <w:rPr>
          <w:rFonts w:ascii="Times New Roman" w:hAnsi="Times New Roman"/>
          <w:sz w:val="20"/>
          <w:szCs w:val="20"/>
        </w:rPr>
        <w:t>, 6: 1–6.</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Atkinson, R. G. (2017). Phenylpropenes: Occurrence, distribution, and biosynthesis in fruit. </w:t>
      </w:r>
      <w:r w:rsidRPr="005103D3">
        <w:rPr>
          <w:rFonts w:ascii="Times New Roman" w:hAnsi="Times New Roman"/>
          <w:i/>
          <w:sz w:val="20"/>
          <w:szCs w:val="20"/>
        </w:rPr>
        <w:t>Journal of Agricultural and Food Chemistry</w:t>
      </w:r>
      <w:r w:rsidRPr="005103D3">
        <w:rPr>
          <w:rFonts w:ascii="Times New Roman" w:hAnsi="Times New Roman"/>
          <w:sz w:val="20"/>
          <w:szCs w:val="20"/>
        </w:rPr>
        <w:t>, 66(10): 2259-2272.</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Ruiz, B. and Flotats, X. (2016). Effect of limonene on batch anaerobic digestion of citrus peel waste. </w:t>
      </w:r>
      <w:r w:rsidRPr="005103D3">
        <w:rPr>
          <w:rFonts w:ascii="Times New Roman" w:hAnsi="Times New Roman"/>
          <w:i/>
          <w:sz w:val="20"/>
          <w:szCs w:val="20"/>
        </w:rPr>
        <w:t>Biochemical Engineering Journal</w:t>
      </w:r>
      <w:r w:rsidRPr="005103D3">
        <w:rPr>
          <w:rFonts w:ascii="Times New Roman" w:hAnsi="Times New Roman"/>
          <w:sz w:val="20"/>
          <w:szCs w:val="20"/>
        </w:rPr>
        <w:t>, 109: 9-18.</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Barreca, D., Bellocco, E., Laganà, G., Ginestra, G. and Bisignano, C. (2014). Biochemical and antimicrobial activity of phloretin and its glycosilated derivatives present in apple and kumquat. </w:t>
      </w:r>
      <w:r w:rsidRPr="005103D3">
        <w:rPr>
          <w:rFonts w:ascii="Times New Roman" w:hAnsi="Times New Roman"/>
          <w:i/>
          <w:sz w:val="20"/>
          <w:szCs w:val="20"/>
        </w:rPr>
        <w:t>Food Chemistry</w:t>
      </w:r>
      <w:r w:rsidRPr="005103D3">
        <w:rPr>
          <w:rFonts w:ascii="Times New Roman" w:hAnsi="Times New Roman"/>
          <w:sz w:val="20"/>
          <w:szCs w:val="20"/>
        </w:rPr>
        <w:t>, 160: 292–297.</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Lin, C.-H., Lin, S. H., Lin, C.-C., Liu, Y.-C., Chen, C.-J., Chu, C.-L., Huang, H-C. and Lin, M.-K. (2016). Inhibitory effect of clove methanolic extract and eugenol on dendritic cell functions. </w:t>
      </w:r>
      <w:r w:rsidRPr="005103D3">
        <w:rPr>
          <w:rFonts w:ascii="Times New Roman" w:hAnsi="Times New Roman"/>
          <w:i/>
          <w:sz w:val="20"/>
          <w:szCs w:val="20"/>
        </w:rPr>
        <w:t>Journal of Functional Foods</w:t>
      </w:r>
      <w:r w:rsidRPr="005103D3">
        <w:rPr>
          <w:rFonts w:ascii="Times New Roman" w:hAnsi="Times New Roman"/>
          <w:sz w:val="20"/>
          <w:szCs w:val="20"/>
        </w:rPr>
        <w:t>, 27: 439–447.</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Eker, S. and Sarp, M. (2017). Hydrogen gas production from waste paper by dark fermentation: Effects of initial substrate and biomass concentrations. </w:t>
      </w:r>
      <w:r w:rsidRPr="005103D3">
        <w:rPr>
          <w:rFonts w:ascii="Times New Roman" w:hAnsi="Times New Roman"/>
          <w:i/>
          <w:sz w:val="20"/>
          <w:szCs w:val="20"/>
        </w:rPr>
        <w:t>International Journal of Hydrogen Energy</w:t>
      </w:r>
      <w:r w:rsidRPr="005103D3">
        <w:rPr>
          <w:rFonts w:ascii="Times New Roman" w:hAnsi="Times New Roman"/>
          <w:sz w:val="20"/>
          <w:szCs w:val="20"/>
        </w:rPr>
        <w:t>, 42: 2562–2568.</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Saratale, G. D., Chen, S.-D., Lo, Y.-C., Saratale, R. G. and Chang, J.-S. (2008). Outlook of biohydrogen production from lignocellulosic feedstock using dark fermentation - a review. </w:t>
      </w:r>
      <w:r w:rsidRPr="005103D3">
        <w:rPr>
          <w:rFonts w:ascii="Times New Roman" w:hAnsi="Times New Roman"/>
          <w:i/>
          <w:sz w:val="20"/>
          <w:szCs w:val="20"/>
        </w:rPr>
        <w:t>Journal of Scientific and Industrial Research</w:t>
      </w:r>
      <w:r w:rsidRPr="005103D3">
        <w:rPr>
          <w:rFonts w:ascii="Times New Roman" w:hAnsi="Times New Roman"/>
          <w:sz w:val="20"/>
          <w:szCs w:val="20"/>
        </w:rPr>
        <w:t>, 67: 962–979.</w:t>
      </w:r>
    </w:p>
    <w:p w:rsidR="005103D3" w:rsidRDefault="005060E7" w:rsidP="005103D3">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Laothanachareon, T., Kanchanasuta, S., Mhuanthong, W., Phalakornkule, C., Pisutpaisal, N. and Champreda, V. (2014). Analysis of microbial community adaptation in mesophilic hydrogen fermentation from food waste by tagged 16S rRNA gene pyrosequencing. </w:t>
      </w:r>
      <w:r w:rsidRPr="005103D3">
        <w:rPr>
          <w:rFonts w:ascii="Times New Roman" w:hAnsi="Times New Roman"/>
          <w:i/>
          <w:sz w:val="20"/>
          <w:szCs w:val="20"/>
        </w:rPr>
        <w:t>Journal of Environmental Management</w:t>
      </w:r>
      <w:r w:rsidRPr="005103D3">
        <w:rPr>
          <w:rFonts w:ascii="Times New Roman" w:hAnsi="Times New Roman"/>
          <w:sz w:val="20"/>
          <w:szCs w:val="20"/>
        </w:rPr>
        <w:t>, 144: 143–151.</w:t>
      </w:r>
    </w:p>
    <w:p w:rsidR="00A74A7E" w:rsidRPr="005103D3" w:rsidRDefault="005060E7" w:rsidP="00A74A7E">
      <w:pPr>
        <w:pStyle w:val="ListParagraph"/>
        <w:widowControl w:val="0"/>
        <w:numPr>
          <w:ilvl w:val="0"/>
          <w:numId w:val="3"/>
        </w:numPr>
        <w:spacing w:after="0" w:line="240" w:lineRule="auto"/>
        <w:ind w:left="360"/>
        <w:jc w:val="both"/>
        <w:rPr>
          <w:rFonts w:ascii="Times New Roman" w:hAnsi="Times New Roman"/>
          <w:sz w:val="20"/>
          <w:szCs w:val="20"/>
        </w:rPr>
      </w:pPr>
      <w:r w:rsidRPr="005103D3">
        <w:rPr>
          <w:rFonts w:ascii="Times New Roman" w:hAnsi="Times New Roman"/>
          <w:sz w:val="20"/>
          <w:szCs w:val="20"/>
        </w:rPr>
        <w:t xml:space="preserve">Gokfiliz, P. and Karapinar, I. (2017). The effect of support particle type on thermophilic hydrogen production by immobilized batch dark fermentation. </w:t>
      </w:r>
      <w:r w:rsidRPr="005103D3">
        <w:rPr>
          <w:rFonts w:ascii="Times New Roman" w:hAnsi="Times New Roman"/>
          <w:i/>
          <w:sz w:val="20"/>
          <w:szCs w:val="20"/>
        </w:rPr>
        <w:t>International Journal of Hydrogen Energy</w:t>
      </w:r>
      <w:r w:rsidRPr="005103D3">
        <w:rPr>
          <w:rFonts w:ascii="Times New Roman" w:hAnsi="Times New Roman"/>
          <w:sz w:val="20"/>
          <w:szCs w:val="20"/>
        </w:rPr>
        <w:t>, 42: 2553–2561.</w:t>
      </w:r>
    </w:p>
    <w:sectPr w:rsidR="00A74A7E" w:rsidRPr="005103D3" w:rsidSect="00331E3F">
      <w:headerReference w:type="even" r:id="rId19"/>
      <w:headerReference w:type="default" r:id="rId20"/>
      <w:footerReference w:type="even" r:id="rId21"/>
      <w:footerReference w:type="default" r:id="rId22"/>
      <w:pgSz w:w="12240" w:h="15840" w:code="1"/>
      <w:pgMar w:top="1800" w:right="1469" w:bottom="1699" w:left="1440" w:header="706" w:footer="706" w:gutter="0"/>
      <w:pgNumType w:start="11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42A18">
          <w:rPr>
            <w:rFonts w:ascii="Times New Roman" w:hAnsi="Times New Roman"/>
            <w:noProof/>
          </w:rPr>
          <w:t>122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42A18">
          <w:rPr>
            <w:rFonts w:ascii="Times New Roman" w:hAnsi="Times New Roman"/>
            <w:noProof/>
          </w:rPr>
          <w:t>123</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624C7C">
      <w:rPr>
        <w:rFonts w:ascii="Times New Roman" w:hAnsi="Times New Roman"/>
        <w:i/>
        <w:lang w:val="en-US"/>
      </w:rPr>
      <w:t>23</w:t>
    </w:r>
    <w:r w:rsidR="00CF05FF">
      <w:rPr>
        <w:rFonts w:ascii="Times New Roman" w:hAnsi="Times New Roman"/>
        <w:i/>
      </w:rPr>
      <w:t xml:space="preserve"> </w:t>
    </w:r>
    <w:r w:rsidR="00312C0E">
      <w:rPr>
        <w:rFonts w:ascii="Times New Roman" w:hAnsi="Times New Roman"/>
        <w:i/>
        <w:lang w:val="en-US"/>
      </w:rPr>
      <w:t>No 1</w:t>
    </w:r>
    <w:r w:rsidR="00B25B65">
      <w:rPr>
        <w:rFonts w:ascii="Times New Roman" w:hAnsi="Times New Roman"/>
        <w:i/>
      </w:rPr>
      <w:t xml:space="preserve"> (201</w:t>
    </w:r>
    <w:r w:rsidR="00624C7C">
      <w:rPr>
        <w:rFonts w:ascii="Times New Roman" w:hAnsi="Times New Roman"/>
        <w:i/>
        <w:lang w:val="en-US"/>
      </w:rPr>
      <w:t>9</w:t>
    </w:r>
    <w:r w:rsidRPr="00D75B35">
      <w:rPr>
        <w:rFonts w:ascii="Times New Roman" w:hAnsi="Times New Roman"/>
        <w:i/>
      </w:rPr>
      <w:t xml:space="preserve">): </w:t>
    </w:r>
    <w:r w:rsidR="00331E3F">
      <w:rPr>
        <w:rFonts w:ascii="Times New Roman" w:hAnsi="Times New Roman"/>
        <w:i/>
        <w:lang w:val="en-US"/>
      </w:rPr>
      <w:t>116</w:t>
    </w:r>
    <w:r w:rsidR="004B43FF">
      <w:rPr>
        <w:rFonts w:ascii="Times New Roman" w:hAnsi="Times New Roman"/>
        <w:i/>
        <w:lang w:val="en-US"/>
      </w:rPr>
      <w:t xml:space="preserve"> </w:t>
    </w:r>
    <w:r w:rsidR="00583C85">
      <w:rPr>
        <w:rFonts w:ascii="Times New Roman" w:hAnsi="Times New Roman"/>
        <w:i/>
        <w:lang w:val="en-US"/>
      </w:rPr>
      <w:t>-</w:t>
    </w:r>
    <w:r w:rsidR="00331E3F">
      <w:rPr>
        <w:rFonts w:ascii="Times New Roman" w:hAnsi="Times New Roman"/>
        <w:i/>
        <w:lang w:val="en-US"/>
      </w:rPr>
      <w:t xml:space="preserve"> 123</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624C7C">
      <w:rPr>
        <w:rFonts w:ascii="Times New Roman" w:hAnsi="Times New Roman"/>
        <w:i/>
        <w:lang w:val="en-US"/>
      </w:rPr>
      <w:t>doi.org/10.17576/mjas-2019-23</w:t>
    </w:r>
    <w:r w:rsidR="000C5261">
      <w:rPr>
        <w:rFonts w:ascii="Times New Roman" w:hAnsi="Times New Roman"/>
        <w:i/>
        <w:lang w:val="en-US"/>
      </w:rPr>
      <w:t>0</w:t>
    </w:r>
    <w:r w:rsidR="00312C0E">
      <w:rPr>
        <w:rFonts w:ascii="Times New Roman" w:hAnsi="Times New Roman"/>
        <w:i/>
        <w:lang w:val="en-US"/>
      </w:rPr>
      <w:t>1</w:t>
    </w:r>
    <w:r w:rsidR="00331E3F">
      <w:rPr>
        <w:rFonts w:ascii="Times New Roman" w:hAnsi="Times New Roman"/>
        <w:i/>
        <w:lang w:val="en-US"/>
      </w:rPr>
      <w:t>-14</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7B2629" w:rsidRDefault="007B2629" w:rsidP="007B2629">
    <w:pPr>
      <w:pStyle w:val="Header"/>
      <w:ind w:left="1260" w:hanging="1260"/>
      <w:rPr>
        <w:rFonts w:ascii="Times New Roman" w:hAnsi="Times New Roman"/>
        <w:lang w:val="en-US"/>
      </w:rPr>
    </w:pPr>
    <w:r w:rsidRPr="007B2629">
      <w:rPr>
        <w:rFonts w:ascii="Times New Roman" w:hAnsi="Times New Roman"/>
        <w:lang w:val="en-US"/>
      </w:rPr>
      <w:t>Cahyari et al</w:t>
    </w:r>
    <w:r w:rsidR="008E6968" w:rsidRPr="007B2629">
      <w:rPr>
        <w:rFonts w:ascii="Times New Roman" w:hAnsi="Times New Roman"/>
        <w:lang w:val="en-US"/>
      </w:rPr>
      <w:t xml:space="preserve">:  </w:t>
    </w:r>
    <w:r w:rsidRPr="007B2629">
      <w:rPr>
        <w:rFonts w:ascii="Times New Roman" w:hAnsi="Times New Roman"/>
        <w:lang w:val="en-US"/>
      </w:rPr>
      <w:t xml:space="preserve"> </w:t>
    </w:r>
    <w:r>
      <w:rPr>
        <w:rFonts w:ascii="Times New Roman" w:hAnsi="Times New Roman"/>
        <w:lang w:val="en-US"/>
      </w:rPr>
      <w:tab/>
    </w:r>
    <w:r w:rsidRPr="007B2629">
      <w:rPr>
        <w:rFonts w:ascii="Times New Roman" w:hAnsi="Times New Roman"/>
      </w:rPr>
      <w:t>OPTIMIZATION OF HYDROGEN PRODUCTION FROM FRUIT WASTE THROUGH MESOPHILIC AND THERMOPHILIC DARK FERMENTATION: EFFECT OF SUBSTRATE-TO-INOCULUM RATIO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B2AC1"/>
    <w:multiLevelType w:val="hybridMultilevel"/>
    <w:tmpl w:val="B75E0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D035A"/>
    <w:rsid w:val="001D3855"/>
    <w:rsid w:val="001D6F2C"/>
    <w:rsid w:val="00221D39"/>
    <w:rsid w:val="002903AF"/>
    <w:rsid w:val="002B188F"/>
    <w:rsid w:val="002B3BD8"/>
    <w:rsid w:val="002F3F91"/>
    <w:rsid w:val="00304767"/>
    <w:rsid w:val="00304B34"/>
    <w:rsid w:val="00312C0E"/>
    <w:rsid w:val="00331E3F"/>
    <w:rsid w:val="00361BAF"/>
    <w:rsid w:val="00367D1F"/>
    <w:rsid w:val="00373A9B"/>
    <w:rsid w:val="00383F26"/>
    <w:rsid w:val="003D585B"/>
    <w:rsid w:val="003E7DA6"/>
    <w:rsid w:val="003F12FF"/>
    <w:rsid w:val="004760D4"/>
    <w:rsid w:val="00494C46"/>
    <w:rsid w:val="004B43FF"/>
    <w:rsid w:val="00502641"/>
    <w:rsid w:val="005060E7"/>
    <w:rsid w:val="005103D3"/>
    <w:rsid w:val="00534441"/>
    <w:rsid w:val="00545363"/>
    <w:rsid w:val="00583C85"/>
    <w:rsid w:val="00584156"/>
    <w:rsid w:val="005C6768"/>
    <w:rsid w:val="00624C7C"/>
    <w:rsid w:val="00634C25"/>
    <w:rsid w:val="006416AB"/>
    <w:rsid w:val="006768E9"/>
    <w:rsid w:val="00687982"/>
    <w:rsid w:val="00695D0E"/>
    <w:rsid w:val="006A3A0F"/>
    <w:rsid w:val="006B3EC8"/>
    <w:rsid w:val="006D695E"/>
    <w:rsid w:val="00725A6A"/>
    <w:rsid w:val="00730CB3"/>
    <w:rsid w:val="007943F3"/>
    <w:rsid w:val="007A738C"/>
    <w:rsid w:val="007B1349"/>
    <w:rsid w:val="007B2629"/>
    <w:rsid w:val="007E25BD"/>
    <w:rsid w:val="007F4ECC"/>
    <w:rsid w:val="00801E18"/>
    <w:rsid w:val="00802C35"/>
    <w:rsid w:val="008074F6"/>
    <w:rsid w:val="0082181A"/>
    <w:rsid w:val="008B470E"/>
    <w:rsid w:val="008C14D6"/>
    <w:rsid w:val="008E1211"/>
    <w:rsid w:val="008E5BBF"/>
    <w:rsid w:val="008E6968"/>
    <w:rsid w:val="00936A5D"/>
    <w:rsid w:val="00A14DB9"/>
    <w:rsid w:val="00A4762A"/>
    <w:rsid w:val="00A74A7E"/>
    <w:rsid w:val="00A87399"/>
    <w:rsid w:val="00AD1B8A"/>
    <w:rsid w:val="00AD76AF"/>
    <w:rsid w:val="00AE713F"/>
    <w:rsid w:val="00B1121C"/>
    <w:rsid w:val="00B14B13"/>
    <w:rsid w:val="00B25B65"/>
    <w:rsid w:val="00B2770A"/>
    <w:rsid w:val="00B314AD"/>
    <w:rsid w:val="00B75BF6"/>
    <w:rsid w:val="00BA1F7B"/>
    <w:rsid w:val="00BB58AF"/>
    <w:rsid w:val="00BE7C30"/>
    <w:rsid w:val="00C055BF"/>
    <w:rsid w:val="00C0756D"/>
    <w:rsid w:val="00C2226A"/>
    <w:rsid w:val="00C403A1"/>
    <w:rsid w:val="00C94D92"/>
    <w:rsid w:val="00C97340"/>
    <w:rsid w:val="00CA513F"/>
    <w:rsid w:val="00CF05FF"/>
    <w:rsid w:val="00D340BB"/>
    <w:rsid w:val="00D505D5"/>
    <w:rsid w:val="00D63C28"/>
    <w:rsid w:val="00D75B35"/>
    <w:rsid w:val="00D76E09"/>
    <w:rsid w:val="00D9736F"/>
    <w:rsid w:val="00D9792A"/>
    <w:rsid w:val="00DC3B8E"/>
    <w:rsid w:val="00DD377F"/>
    <w:rsid w:val="00E25547"/>
    <w:rsid w:val="00E2773B"/>
    <w:rsid w:val="00E3287E"/>
    <w:rsid w:val="00E42A18"/>
    <w:rsid w:val="00E66197"/>
    <w:rsid w:val="00EB5BA5"/>
    <w:rsid w:val="00EF4195"/>
    <w:rsid w:val="00F202C3"/>
    <w:rsid w:val="00F23D94"/>
    <w:rsid w:val="00F31093"/>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
    <w:name w:val="Plain Table 2"/>
    <w:basedOn w:val="TableNormal"/>
    <w:uiPriority w:val="42"/>
    <w:rsid w:val="005060E7"/>
    <w:rPr>
      <w:rFonts w:ascii="Calibri" w:hAnsi="Calibri"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5060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
    <w:name w:val="Plain Table 2"/>
    <w:basedOn w:val="TableNormal"/>
    <w:uiPriority w:val="42"/>
    <w:rsid w:val="005060E7"/>
    <w:rPr>
      <w:rFonts w:ascii="Calibri" w:hAnsi="Calibri" w:cs="Calibr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5060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hamdan%20Cahyari\Downloads\FAOSTAT_data_5-31-2017%20(1).csv"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091238175764941"/>
          <c:y val="5.6994818652849742E-2"/>
          <c:w val="0.64512788669872645"/>
          <c:h val="0.74449104483701201"/>
        </c:manualLayout>
      </c:layout>
      <c:barChart>
        <c:barDir val="bar"/>
        <c:grouping val="clustered"/>
        <c:varyColors val="0"/>
        <c:ser>
          <c:idx val="0"/>
          <c:order val="0"/>
          <c:tx>
            <c:v>Indonesia</c:v>
          </c:tx>
          <c:spPr>
            <a:pattFill prst="narVert">
              <a:fgClr>
                <a:schemeClr val="tx1">
                  <a:lumMod val="65000"/>
                  <a:lumOff val="35000"/>
                </a:schemeClr>
              </a:fgClr>
              <a:bgClr>
                <a:schemeClr val="bg1"/>
              </a:bgClr>
            </a:pattFill>
            <a:ln>
              <a:solidFill>
                <a:schemeClr val="tx1"/>
              </a:solidFill>
            </a:ln>
            <a:effectLst/>
          </c:spPr>
          <c:invertIfNegative val="0"/>
          <c:cat>
            <c:strRef>
              <c:f>'FAOSTAT_data_5-31-2017 (1)'!$F$1:$F$10</c:f>
              <c:strCache>
                <c:ptCount val="10"/>
                <c:pt idx="0">
                  <c:v>Melons</c:v>
                </c:pt>
                <c:pt idx="1">
                  <c:v>Tangerines</c:v>
                </c:pt>
                <c:pt idx="2">
                  <c:v>Plantains and others</c:v>
                </c:pt>
                <c:pt idx="3">
                  <c:v>Fruit, fresh nes</c:v>
                </c:pt>
                <c:pt idx="4">
                  <c:v>Mangoes</c:v>
                </c:pt>
                <c:pt idx="5">
                  <c:v>Citrus</c:v>
                </c:pt>
                <c:pt idx="6">
                  <c:v>Grapes</c:v>
                </c:pt>
                <c:pt idx="7">
                  <c:v>Apples</c:v>
                </c:pt>
                <c:pt idx="8">
                  <c:v>Watermelons</c:v>
                </c:pt>
                <c:pt idx="9">
                  <c:v>Bananas</c:v>
                </c:pt>
              </c:strCache>
            </c:strRef>
          </c:cat>
          <c:val>
            <c:numRef>
              <c:f>'FAOSTAT_data_5-31-2017 (1)'!$G$1:$G$10</c:f>
              <c:numCache>
                <c:formatCode>_(* #,##0_);_(* \(#,##0\);_(* "-"??_);_(@_)</c:formatCode>
                <c:ptCount val="10"/>
                <c:pt idx="0">
                  <c:v>150356</c:v>
                </c:pt>
                <c:pt idx="1">
                  <c:v>0</c:v>
                </c:pt>
                <c:pt idx="2">
                  <c:v>0</c:v>
                </c:pt>
                <c:pt idx="3">
                  <c:v>1908599</c:v>
                </c:pt>
                <c:pt idx="4">
                  <c:v>2431329</c:v>
                </c:pt>
                <c:pt idx="5">
                  <c:v>1926560</c:v>
                </c:pt>
                <c:pt idx="6">
                  <c:v>11146</c:v>
                </c:pt>
                <c:pt idx="7">
                  <c:v>242915</c:v>
                </c:pt>
                <c:pt idx="8">
                  <c:v>653995</c:v>
                </c:pt>
                <c:pt idx="9">
                  <c:v>6862568</c:v>
                </c:pt>
              </c:numCache>
            </c:numRef>
          </c:val>
          <c:extLst xmlns:c16r2="http://schemas.microsoft.com/office/drawing/2015/06/chart">
            <c:ext xmlns:c16="http://schemas.microsoft.com/office/drawing/2014/chart" uri="{C3380CC4-5D6E-409C-BE32-E72D297353CC}">
              <c16:uniqueId val="{00000000-BFCA-45B2-8747-FB5D8BE8BC93}"/>
            </c:ext>
          </c:extLst>
        </c:ser>
        <c:ser>
          <c:idx val="1"/>
          <c:order val="1"/>
          <c:tx>
            <c:v>SEA</c:v>
          </c:tx>
          <c:spPr>
            <a:pattFill prst="ltDnDiag">
              <a:fgClr>
                <a:schemeClr val="tx1">
                  <a:lumMod val="65000"/>
                  <a:lumOff val="35000"/>
                </a:schemeClr>
              </a:fgClr>
              <a:bgClr>
                <a:schemeClr val="bg1"/>
              </a:bgClr>
            </a:pattFill>
            <a:ln>
              <a:solidFill>
                <a:schemeClr val="tx1"/>
              </a:solidFill>
            </a:ln>
            <a:effectLst/>
          </c:spPr>
          <c:invertIfNegative val="0"/>
          <c:cat>
            <c:strRef>
              <c:f>'FAOSTAT_data_5-31-2017 (1)'!$F$1:$F$10</c:f>
              <c:strCache>
                <c:ptCount val="10"/>
                <c:pt idx="0">
                  <c:v>Melons</c:v>
                </c:pt>
                <c:pt idx="1">
                  <c:v>Tangerines</c:v>
                </c:pt>
                <c:pt idx="2">
                  <c:v>Plantains and others</c:v>
                </c:pt>
                <c:pt idx="3">
                  <c:v>Fruit, fresh nes</c:v>
                </c:pt>
                <c:pt idx="4">
                  <c:v>Mangoes</c:v>
                </c:pt>
                <c:pt idx="5">
                  <c:v>Citrus</c:v>
                </c:pt>
                <c:pt idx="6">
                  <c:v>Grapes</c:v>
                </c:pt>
                <c:pt idx="7">
                  <c:v>Apples</c:v>
                </c:pt>
                <c:pt idx="8">
                  <c:v>Watermelons</c:v>
                </c:pt>
                <c:pt idx="9">
                  <c:v>Bananas</c:v>
                </c:pt>
              </c:strCache>
            </c:strRef>
          </c:cat>
          <c:val>
            <c:numRef>
              <c:f>'FAOSTAT_data_5-31-2017 (1)'!$H$1:$H$10</c:f>
              <c:numCache>
                <c:formatCode>_(* #,##0_);_(* \(#,##0\);_(* "-"??_);_(@_)</c:formatCode>
                <c:ptCount val="10"/>
                <c:pt idx="0">
                  <c:v>0</c:v>
                </c:pt>
                <c:pt idx="1">
                  <c:v>0</c:v>
                </c:pt>
                <c:pt idx="2">
                  <c:v>0</c:v>
                </c:pt>
                <c:pt idx="3">
                  <c:v>14539639</c:v>
                </c:pt>
                <c:pt idx="4">
                  <c:v>21522807</c:v>
                </c:pt>
                <c:pt idx="5">
                  <c:v>10489712</c:v>
                </c:pt>
                <c:pt idx="6">
                  <c:v>5452912</c:v>
                </c:pt>
                <c:pt idx="7">
                  <c:v>4820590</c:v>
                </c:pt>
                <c:pt idx="8">
                  <c:v>4819994</c:v>
                </c:pt>
                <c:pt idx="9">
                  <c:v>30945938</c:v>
                </c:pt>
              </c:numCache>
            </c:numRef>
          </c:val>
          <c:extLst xmlns:c16r2="http://schemas.microsoft.com/office/drawing/2015/06/chart">
            <c:ext xmlns:c16="http://schemas.microsoft.com/office/drawing/2014/chart" uri="{C3380CC4-5D6E-409C-BE32-E72D297353CC}">
              <c16:uniqueId val="{00000001-BFCA-45B2-8747-FB5D8BE8BC93}"/>
            </c:ext>
          </c:extLst>
        </c:ser>
        <c:ser>
          <c:idx val="2"/>
          <c:order val="2"/>
          <c:tx>
            <c:v>World</c:v>
          </c:tx>
          <c:spPr>
            <a:pattFill prst="pct90">
              <a:fgClr>
                <a:schemeClr val="tx1">
                  <a:lumMod val="65000"/>
                  <a:lumOff val="35000"/>
                </a:schemeClr>
              </a:fgClr>
              <a:bgClr>
                <a:schemeClr val="bg1"/>
              </a:bgClr>
            </a:pattFill>
            <a:ln w="9525">
              <a:solidFill>
                <a:schemeClr val="tx1"/>
              </a:solidFill>
            </a:ln>
            <a:effectLst/>
            <a:scene3d>
              <a:camera prst="orthographicFront"/>
              <a:lightRig rig="threePt" dir="t"/>
            </a:scene3d>
            <a:sp3d>
              <a:bevelT prst="relaxedInset"/>
            </a:sp3d>
          </c:spPr>
          <c:invertIfNegative val="0"/>
          <c:cat>
            <c:strRef>
              <c:f>'FAOSTAT_data_5-31-2017 (1)'!$F$1:$F$10</c:f>
              <c:strCache>
                <c:ptCount val="10"/>
                <c:pt idx="0">
                  <c:v>Melons</c:v>
                </c:pt>
                <c:pt idx="1">
                  <c:v>Tangerines</c:v>
                </c:pt>
                <c:pt idx="2">
                  <c:v>Plantains and others</c:v>
                </c:pt>
                <c:pt idx="3">
                  <c:v>Fruit, fresh nes</c:v>
                </c:pt>
                <c:pt idx="4">
                  <c:v>Mangoes</c:v>
                </c:pt>
                <c:pt idx="5">
                  <c:v>Citrus</c:v>
                </c:pt>
                <c:pt idx="6">
                  <c:v>Grapes</c:v>
                </c:pt>
                <c:pt idx="7">
                  <c:v>Apples</c:v>
                </c:pt>
                <c:pt idx="8">
                  <c:v>Watermelons</c:v>
                </c:pt>
                <c:pt idx="9">
                  <c:v>Bananas</c:v>
                </c:pt>
              </c:strCache>
            </c:strRef>
          </c:cat>
          <c:val>
            <c:numRef>
              <c:f>'FAOSTAT_data_5-31-2017 (1)'!$I$1:$I$10</c:f>
              <c:numCache>
                <c:formatCode>_(* #,##0_);_(* \(#,##0\);_(* "-"??_);_(@_)</c:formatCode>
                <c:ptCount val="10"/>
                <c:pt idx="0">
                  <c:v>29626335</c:v>
                </c:pt>
                <c:pt idx="1">
                  <c:v>30418767</c:v>
                </c:pt>
                <c:pt idx="2">
                  <c:v>30667662</c:v>
                </c:pt>
                <c:pt idx="3">
                  <c:v>35075956</c:v>
                </c:pt>
                <c:pt idx="4">
                  <c:v>45225211</c:v>
                </c:pt>
                <c:pt idx="5">
                  <c:v>72253695</c:v>
                </c:pt>
                <c:pt idx="6">
                  <c:v>74499859</c:v>
                </c:pt>
                <c:pt idx="7">
                  <c:v>84630275</c:v>
                </c:pt>
                <c:pt idx="8">
                  <c:v>111009149</c:v>
                </c:pt>
                <c:pt idx="9">
                  <c:v>114130151</c:v>
                </c:pt>
              </c:numCache>
            </c:numRef>
          </c:val>
          <c:extLst xmlns:c16r2="http://schemas.microsoft.com/office/drawing/2015/06/chart">
            <c:ext xmlns:c16="http://schemas.microsoft.com/office/drawing/2014/chart" uri="{C3380CC4-5D6E-409C-BE32-E72D297353CC}">
              <c16:uniqueId val="{00000002-BFCA-45B2-8747-FB5D8BE8BC93}"/>
            </c:ext>
          </c:extLst>
        </c:ser>
        <c:dLbls>
          <c:showLegendKey val="0"/>
          <c:showVal val="0"/>
          <c:showCatName val="0"/>
          <c:showSerName val="0"/>
          <c:showPercent val="0"/>
          <c:showBubbleSize val="0"/>
        </c:dLbls>
        <c:gapWidth val="100"/>
        <c:axId val="92651904"/>
        <c:axId val="92653824"/>
      </c:barChart>
      <c:catAx>
        <c:axId val="9265190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ln>
                  <a:noFill/>
                </a:ln>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92653824"/>
        <c:crosses val="autoZero"/>
        <c:auto val="1"/>
        <c:lblAlgn val="ctr"/>
        <c:lblOffset val="100"/>
        <c:noMultiLvlLbl val="0"/>
      </c:catAx>
      <c:valAx>
        <c:axId val="92653824"/>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en-US"/>
                  <a:t>Million Metric Tonnes</a:t>
                </a:r>
              </a:p>
            </c:rich>
          </c:tx>
          <c:layout/>
          <c:overlay val="0"/>
          <c:spPr>
            <a:noFill/>
            <a:ln>
              <a:noFill/>
            </a:ln>
            <a:effectLst/>
          </c:spPr>
        </c:title>
        <c:numFmt formatCode="_(* #,##0_);_(* \(#,##0\);_(* &quot;-&quot;??_);_(@_)" sourceLinked="1"/>
        <c:majorTickMark val="in"/>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92651904"/>
        <c:crosses val="autoZero"/>
        <c:crossBetween val="between"/>
        <c:majorUnit val="10000000"/>
        <c:dispUnits>
          <c:builtInUnit val="millions"/>
        </c:dispUnits>
      </c:valAx>
      <c:spPr>
        <a:noFill/>
        <a:ln>
          <a:noFill/>
        </a:ln>
        <a:effectLst/>
      </c:spPr>
    </c:plotArea>
    <c:legend>
      <c:legendPos val="r"/>
      <c:layout>
        <c:manualLayout>
          <c:xMode val="edge"/>
          <c:yMode val="edge"/>
          <c:x val="0.71114411034191194"/>
          <c:y val="0.50954958998000899"/>
          <c:w val="0.15127199704063837"/>
          <c:h val="0.22960507527232671"/>
        </c:manualLayout>
      </c:layout>
      <c:overlay val="1"/>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sz="800">
          <a:solidFill>
            <a:schemeClr val="tx1">
              <a:lumMod val="95000"/>
              <a:lumOff val="5000"/>
            </a:schemeClr>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FE9E7-C855-4043-9C34-8E21E7F2C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4235</Words>
  <Characters>23579</Characters>
  <Application>Microsoft Office Word</Application>
  <DocSecurity>0</DocSecurity>
  <Lines>419</Lines>
  <Paragraphs>131</Paragraphs>
  <ScaleCrop>false</ScaleCrop>
  <HeadingPairs>
    <vt:vector size="2" baseType="variant">
      <vt:variant>
        <vt:lpstr>Title</vt:lpstr>
      </vt:variant>
      <vt:variant>
        <vt:i4>1</vt:i4>
      </vt:variant>
    </vt:vector>
  </HeadingPairs>
  <TitlesOfParts>
    <vt:vector size="1" baseType="lpstr">
      <vt:lpstr>MJAS Vol 23 No 1 (2019)</vt:lpstr>
    </vt:vector>
  </TitlesOfParts>
  <Company>UKM</Company>
  <LinksUpToDate>false</LinksUpToDate>
  <CharactersWithSpaces>27713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1 (2019)</dc:title>
  <dc:creator>Harun Hj Hamzah</dc:creator>
  <cp:lastModifiedBy>Harun Hamzah</cp:lastModifiedBy>
  <cp:revision>10</cp:revision>
  <cp:lastPrinted>2019-02-12T03:33:00Z</cp:lastPrinted>
  <dcterms:created xsi:type="dcterms:W3CDTF">2019-01-29T08:59:00Z</dcterms:created>
  <dcterms:modified xsi:type="dcterms:W3CDTF">2019-02-12T03:33:00Z</dcterms:modified>
</cp:coreProperties>
</file>