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14365E" w:rsidRPr="00D20346" w:rsidRDefault="0014365E" w:rsidP="0014365E">
      <w:pPr>
        <w:pBdr>
          <w:top w:val="nil"/>
          <w:left w:val="nil"/>
          <w:bottom w:val="nil"/>
          <w:right w:val="nil"/>
          <w:between w:val="nil"/>
        </w:pBdr>
        <w:spacing w:after="0" w:line="240" w:lineRule="auto"/>
        <w:jc w:val="center"/>
        <w:rPr>
          <w:rFonts w:ascii="Times New Roman" w:hAnsi="Times New Roman"/>
          <w:sz w:val="28"/>
          <w:szCs w:val="28"/>
        </w:rPr>
      </w:pPr>
      <w:r w:rsidRPr="00D20346">
        <w:rPr>
          <w:rFonts w:ascii="Times New Roman" w:hAnsi="Times New Roman"/>
          <w:sz w:val="28"/>
          <w:szCs w:val="28"/>
        </w:rPr>
        <w:t>OPTIMISATION OF THE COMPOSITION AND PROCESS PARAMETER OF CsH</w:t>
      </w:r>
      <w:r w:rsidRPr="00D20346">
        <w:rPr>
          <w:rFonts w:ascii="Times New Roman" w:hAnsi="Times New Roman"/>
          <w:sz w:val="28"/>
          <w:szCs w:val="28"/>
          <w:vertAlign w:val="subscript"/>
        </w:rPr>
        <w:t>2</w:t>
      </w:r>
      <w:r w:rsidRPr="00D20346">
        <w:rPr>
          <w:rFonts w:ascii="Times New Roman" w:hAnsi="Times New Roman"/>
          <w:sz w:val="28"/>
          <w:szCs w:val="28"/>
        </w:rPr>
        <w:t>PO</w:t>
      </w:r>
      <w:r w:rsidRPr="00D20346">
        <w:rPr>
          <w:rFonts w:ascii="Times New Roman" w:hAnsi="Times New Roman"/>
          <w:sz w:val="28"/>
          <w:szCs w:val="28"/>
          <w:vertAlign w:val="subscript"/>
        </w:rPr>
        <w:t>4</w:t>
      </w:r>
      <w:r w:rsidRPr="00D20346">
        <w:rPr>
          <w:rFonts w:ascii="Times New Roman" w:hAnsi="Times New Roman"/>
          <w:sz w:val="28"/>
          <w:szCs w:val="28"/>
        </w:rPr>
        <w:t>/NaH</w:t>
      </w:r>
      <w:r w:rsidRPr="00D20346">
        <w:rPr>
          <w:rFonts w:ascii="Times New Roman" w:hAnsi="Times New Roman"/>
          <w:sz w:val="28"/>
          <w:szCs w:val="28"/>
          <w:vertAlign w:val="subscript"/>
        </w:rPr>
        <w:t>2</w:t>
      </w:r>
      <w:r w:rsidRPr="00D20346">
        <w:rPr>
          <w:rFonts w:ascii="Times New Roman" w:hAnsi="Times New Roman"/>
          <w:sz w:val="28"/>
          <w:szCs w:val="28"/>
        </w:rPr>
        <w:t>PO</w:t>
      </w:r>
      <w:r w:rsidRPr="00D20346">
        <w:rPr>
          <w:rFonts w:ascii="Times New Roman" w:hAnsi="Times New Roman"/>
          <w:sz w:val="28"/>
          <w:szCs w:val="28"/>
          <w:vertAlign w:val="subscript"/>
        </w:rPr>
        <w:t>4</w:t>
      </w:r>
      <w:r w:rsidRPr="00D20346">
        <w:rPr>
          <w:rFonts w:ascii="Times New Roman" w:hAnsi="Times New Roman"/>
          <w:sz w:val="28"/>
          <w:szCs w:val="28"/>
        </w:rPr>
        <w:t>/SiO</w:t>
      </w:r>
      <w:r w:rsidRPr="00D20346">
        <w:rPr>
          <w:rFonts w:ascii="Times New Roman" w:hAnsi="Times New Roman"/>
          <w:sz w:val="28"/>
          <w:szCs w:val="28"/>
          <w:vertAlign w:val="subscript"/>
        </w:rPr>
        <w:t>2</w:t>
      </w:r>
      <w:r w:rsidRPr="00D20346">
        <w:rPr>
          <w:rFonts w:ascii="Times New Roman" w:hAnsi="Times New Roman"/>
          <w:sz w:val="28"/>
          <w:szCs w:val="28"/>
        </w:rPr>
        <w:t xml:space="preserve"> SOLID ACID COMPOSITE VIA THE TAGUCHI METHOD</w:t>
      </w:r>
    </w:p>
    <w:p w:rsidR="0014365E" w:rsidRPr="0014365E" w:rsidRDefault="0014365E" w:rsidP="0014365E">
      <w:pPr>
        <w:pBdr>
          <w:top w:val="nil"/>
          <w:left w:val="nil"/>
          <w:bottom w:val="nil"/>
          <w:right w:val="nil"/>
          <w:between w:val="nil"/>
        </w:pBdr>
        <w:spacing w:after="0" w:line="240" w:lineRule="auto"/>
        <w:jc w:val="center"/>
        <w:rPr>
          <w:rFonts w:ascii="Times New Roman" w:hAnsi="Times New Roman"/>
          <w:sz w:val="24"/>
          <w:szCs w:val="24"/>
        </w:rPr>
      </w:pPr>
    </w:p>
    <w:p w:rsidR="0014365E" w:rsidRPr="00D20346" w:rsidRDefault="0014365E" w:rsidP="0014365E">
      <w:pPr>
        <w:pBdr>
          <w:top w:val="nil"/>
          <w:left w:val="nil"/>
          <w:bottom w:val="nil"/>
          <w:right w:val="nil"/>
          <w:between w:val="nil"/>
        </w:pBdr>
        <w:spacing w:after="0" w:line="240" w:lineRule="auto"/>
        <w:jc w:val="center"/>
        <w:rPr>
          <w:rFonts w:ascii="Times New Roman" w:hAnsi="Times New Roman"/>
          <w:sz w:val="24"/>
          <w:szCs w:val="24"/>
        </w:rPr>
      </w:pPr>
      <w:r w:rsidRPr="00D20346">
        <w:rPr>
          <w:rFonts w:ascii="Times New Roman" w:hAnsi="Times New Roman"/>
          <w:sz w:val="24"/>
          <w:szCs w:val="24"/>
        </w:rPr>
        <w:t>(</w:t>
      </w:r>
      <w:r w:rsidRPr="00D20346">
        <w:rPr>
          <w:rFonts w:ascii="Times New Roman" w:hAnsi="Times New Roman"/>
          <w:sz w:val="24"/>
          <w:szCs w:val="24"/>
          <w:lang w:val="ms-MY"/>
        </w:rPr>
        <w:t>Pengoptimuman Komposisi dan Parameter Pr</w:t>
      </w:r>
      <w:r>
        <w:rPr>
          <w:rFonts w:ascii="Times New Roman" w:hAnsi="Times New Roman"/>
          <w:sz w:val="24"/>
          <w:szCs w:val="24"/>
          <w:lang w:val="ms-MY"/>
        </w:rPr>
        <w:t xml:space="preserve">oses Bagi Komposit Asid Pepejal </w:t>
      </w:r>
      <w:r w:rsidRPr="00D20346">
        <w:rPr>
          <w:rFonts w:ascii="Times New Roman" w:hAnsi="Times New Roman"/>
          <w:sz w:val="24"/>
          <w:szCs w:val="24"/>
          <w:lang w:val="ms-MY"/>
        </w:rPr>
        <w:t>CsH</w:t>
      </w:r>
      <w:r w:rsidRPr="00D20346">
        <w:rPr>
          <w:rFonts w:ascii="Times New Roman" w:hAnsi="Times New Roman"/>
          <w:sz w:val="24"/>
          <w:szCs w:val="24"/>
          <w:vertAlign w:val="subscript"/>
          <w:lang w:val="ms-MY"/>
        </w:rPr>
        <w:t>2</w:t>
      </w:r>
      <w:r w:rsidRPr="00D20346">
        <w:rPr>
          <w:rFonts w:ascii="Times New Roman" w:hAnsi="Times New Roman"/>
          <w:sz w:val="24"/>
          <w:szCs w:val="24"/>
          <w:lang w:val="ms-MY"/>
        </w:rPr>
        <w:t>PO</w:t>
      </w:r>
      <w:r w:rsidRPr="00D20346">
        <w:rPr>
          <w:rFonts w:ascii="Times New Roman" w:hAnsi="Times New Roman"/>
          <w:sz w:val="24"/>
          <w:szCs w:val="24"/>
          <w:vertAlign w:val="subscript"/>
          <w:lang w:val="ms-MY"/>
        </w:rPr>
        <w:t>4</w:t>
      </w:r>
      <w:r w:rsidRPr="00D20346">
        <w:rPr>
          <w:rFonts w:ascii="Times New Roman" w:hAnsi="Times New Roman"/>
          <w:sz w:val="24"/>
          <w:szCs w:val="24"/>
          <w:lang w:val="ms-MY"/>
        </w:rPr>
        <w:t>/NaH</w:t>
      </w:r>
      <w:r w:rsidRPr="00D20346">
        <w:rPr>
          <w:rFonts w:ascii="Times New Roman" w:hAnsi="Times New Roman"/>
          <w:sz w:val="24"/>
          <w:szCs w:val="24"/>
          <w:vertAlign w:val="subscript"/>
          <w:lang w:val="ms-MY"/>
        </w:rPr>
        <w:t>2</w:t>
      </w:r>
      <w:r w:rsidRPr="00D20346">
        <w:rPr>
          <w:rFonts w:ascii="Times New Roman" w:hAnsi="Times New Roman"/>
          <w:sz w:val="24"/>
          <w:szCs w:val="24"/>
          <w:lang w:val="ms-MY"/>
        </w:rPr>
        <w:t>PO</w:t>
      </w:r>
      <w:r w:rsidRPr="00D20346">
        <w:rPr>
          <w:rFonts w:ascii="Times New Roman" w:hAnsi="Times New Roman"/>
          <w:sz w:val="24"/>
          <w:szCs w:val="24"/>
          <w:vertAlign w:val="subscript"/>
          <w:lang w:val="ms-MY"/>
        </w:rPr>
        <w:t>4</w:t>
      </w:r>
      <w:r w:rsidRPr="00D20346">
        <w:rPr>
          <w:rFonts w:ascii="Times New Roman" w:hAnsi="Times New Roman"/>
          <w:sz w:val="24"/>
          <w:szCs w:val="24"/>
          <w:lang w:val="ms-MY"/>
        </w:rPr>
        <w:t>/SiO</w:t>
      </w:r>
      <w:r w:rsidRPr="00D20346">
        <w:rPr>
          <w:rFonts w:ascii="Times New Roman" w:hAnsi="Times New Roman"/>
          <w:sz w:val="24"/>
          <w:szCs w:val="24"/>
          <w:vertAlign w:val="subscript"/>
          <w:lang w:val="ms-MY"/>
        </w:rPr>
        <w:t xml:space="preserve">2 </w:t>
      </w:r>
      <w:r w:rsidRPr="00D20346">
        <w:rPr>
          <w:rFonts w:ascii="Times New Roman" w:hAnsi="Times New Roman"/>
          <w:sz w:val="24"/>
          <w:szCs w:val="24"/>
          <w:lang w:val="ms-MY"/>
        </w:rPr>
        <w:t>Melalui Kaedah Taguchi</w:t>
      </w:r>
      <w:r w:rsidRPr="00D20346">
        <w:rPr>
          <w:rFonts w:ascii="Times New Roman" w:hAnsi="Times New Roman"/>
          <w:sz w:val="24"/>
          <w:szCs w:val="24"/>
        </w:rPr>
        <w:t>)</w:t>
      </w:r>
    </w:p>
    <w:p w:rsidR="0014365E" w:rsidRPr="0014365E" w:rsidRDefault="0014365E" w:rsidP="0014365E">
      <w:pPr>
        <w:pBdr>
          <w:top w:val="nil"/>
          <w:left w:val="nil"/>
          <w:bottom w:val="nil"/>
          <w:right w:val="nil"/>
          <w:between w:val="nil"/>
        </w:pBdr>
        <w:spacing w:after="0" w:line="240" w:lineRule="auto"/>
        <w:jc w:val="center"/>
        <w:rPr>
          <w:rFonts w:ascii="Times New Roman" w:hAnsi="Times New Roman"/>
          <w:sz w:val="20"/>
          <w:szCs w:val="20"/>
        </w:rPr>
      </w:pPr>
    </w:p>
    <w:p w:rsidR="0014365E" w:rsidRPr="00D20346" w:rsidRDefault="0014365E" w:rsidP="0014365E">
      <w:pPr>
        <w:pBdr>
          <w:top w:val="nil"/>
          <w:left w:val="nil"/>
          <w:bottom w:val="nil"/>
          <w:right w:val="nil"/>
          <w:between w:val="nil"/>
        </w:pBdr>
        <w:spacing w:after="0" w:line="240" w:lineRule="auto"/>
        <w:jc w:val="center"/>
        <w:rPr>
          <w:rFonts w:ascii="Times New Roman" w:hAnsi="Times New Roman"/>
          <w:sz w:val="20"/>
          <w:szCs w:val="20"/>
        </w:rPr>
      </w:pPr>
      <w:r w:rsidRPr="00D20346">
        <w:rPr>
          <w:rFonts w:ascii="Times New Roman" w:hAnsi="Times New Roman"/>
          <w:sz w:val="20"/>
          <w:szCs w:val="20"/>
        </w:rPr>
        <w:t>Norsyahida Mohammad</w:t>
      </w:r>
      <w:r w:rsidRPr="00D20346">
        <w:rPr>
          <w:rFonts w:ascii="Times New Roman" w:hAnsi="Times New Roman"/>
          <w:sz w:val="20"/>
          <w:szCs w:val="20"/>
          <w:vertAlign w:val="superscript"/>
        </w:rPr>
        <w:t>1</w:t>
      </w:r>
      <w:r w:rsidRPr="00D20346">
        <w:rPr>
          <w:rFonts w:ascii="Times New Roman" w:hAnsi="Times New Roman"/>
          <w:sz w:val="20"/>
          <w:szCs w:val="20"/>
        </w:rPr>
        <w:t>, Abu Bakar Mohamad</w:t>
      </w:r>
      <w:r w:rsidRPr="00D20346">
        <w:rPr>
          <w:rFonts w:ascii="Times New Roman" w:hAnsi="Times New Roman"/>
          <w:sz w:val="20"/>
          <w:szCs w:val="20"/>
          <w:vertAlign w:val="superscript"/>
        </w:rPr>
        <w:t>1,2</w:t>
      </w:r>
      <w:r w:rsidRPr="00D20346">
        <w:rPr>
          <w:rFonts w:ascii="Times New Roman" w:hAnsi="Times New Roman"/>
          <w:sz w:val="20"/>
          <w:szCs w:val="20"/>
        </w:rPr>
        <w:t>, Abdul Amir Hassan Kadhum</w:t>
      </w:r>
      <w:r w:rsidRPr="00D20346">
        <w:rPr>
          <w:rFonts w:ascii="Times New Roman" w:hAnsi="Times New Roman"/>
          <w:sz w:val="20"/>
          <w:szCs w:val="20"/>
          <w:vertAlign w:val="superscript"/>
        </w:rPr>
        <w:t>1,2</w:t>
      </w:r>
      <w:r w:rsidRPr="00D20346">
        <w:rPr>
          <w:rFonts w:ascii="Times New Roman" w:hAnsi="Times New Roman"/>
          <w:sz w:val="20"/>
          <w:szCs w:val="20"/>
        </w:rPr>
        <w:t>, Kee Shyuan Loh</w:t>
      </w:r>
      <w:r w:rsidRPr="00D20346">
        <w:rPr>
          <w:rFonts w:ascii="Times New Roman" w:hAnsi="Times New Roman"/>
          <w:sz w:val="20"/>
          <w:szCs w:val="20"/>
          <w:vertAlign w:val="superscript"/>
        </w:rPr>
        <w:t>1</w:t>
      </w:r>
      <w:r w:rsidRPr="0014365E">
        <w:rPr>
          <w:rFonts w:ascii="Times New Roman" w:hAnsi="Times New Roman"/>
          <w:sz w:val="20"/>
          <w:szCs w:val="20"/>
        </w:rPr>
        <w:t>*</w:t>
      </w:r>
    </w:p>
    <w:p w:rsidR="0014365E" w:rsidRPr="0014365E" w:rsidRDefault="0014365E" w:rsidP="0014365E">
      <w:pPr>
        <w:pBdr>
          <w:top w:val="nil"/>
          <w:left w:val="nil"/>
          <w:bottom w:val="nil"/>
          <w:right w:val="nil"/>
          <w:between w:val="nil"/>
        </w:pBdr>
        <w:spacing w:after="0" w:line="240" w:lineRule="auto"/>
        <w:jc w:val="center"/>
        <w:rPr>
          <w:rFonts w:ascii="Times New Roman" w:hAnsi="Times New Roman"/>
          <w:sz w:val="18"/>
          <w:szCs w:val="18"/>
        </w:rPr>
      </w:pPr>
    </w:p>
    <w:p w:rsidR="0014365E" w:rsidRPr="00D20346" w:rsidRDefault="0014365E" w:rsidP="0014365E">
      <w:pPr>
        <w:pBdr>
          <w:top w:val="nil"/>
          <w:left w:val="nil"/>
          <w:bottom w:val="nil"/>
          <w:right w:val="nil"/>
          <w:between w:val="nil"/>
        </w:pBdr>
        <w:spacing w:after="0" w:line="240" w:lineRule="auto"/>
        <w:jc w:val="center"/>
        <w:rPr>
          <w:rFonts w:ascii="Times New Roman" w:hAnsi="Times New Roman"/>
          <w:i/>
          <w:sz w:val="18"/>
          <w:szCs w:val="18"/>
        </w:rPr>
      </w:pPr>
      <w:r w:rsidRPr="00D20346">
        <w:rPr>
          <w:rFonts w:ascii="Times New Roman" w:hAnsi="Times New Roman"/>
          <w:i/>
          <w:sz w:val="18"/>
          <w:szCs w:val="18"/>
          <w:vertAlign w:val="superscript"/>
        </w:rPr>
        <w:t>1</w:t>
      </w:r>
      <w:r>
        <w:rPr>
          <w:rFonts w:ascii="Times New Roman" w:hAnsi="Times New Roman"/>
          <w:i/>
          <w:sz w:val="18"/>
          <w:szCs w:val="18"/>
        </w:rPr>
        <w:t>Fuel Cell Institute</w:t>
      </w:r>
    </w:p>
    <w:p w:rsidR="0014365E" w:rsidRPr="00D20346" w:rsidRDefault="0014365E" w:rsidP="0014365E">
      <w:pPr>
        <w:pBdr>
          <w:top w:val="nil"/>
          <w:left w:val="nil"/>
          <w:bottom w:val="nil"/>
          <w:right w:val="nil"/>
          <w:between w:val="nil"/>
        </w:pBdr>
        <w:spacing w:after="0" w:line="240" w:lineRule="auto"/>
        <w:jc w:val="center"/>
        <w:rPr>
          <w:rFonts w:ascii="Times New Roman" w:hAnsi="Times New Roman"/>
          <w:i/>
          <w:sz w:val="18"/>
          <w:szCs w:val="18"/>
        </w:rPr>
      </w:pPr>
      <w:r w:rsidRPr="00D20346">
        <w:rPr>
          <w:rFonts w:ascii="Times New Roman" w:hAnsi="Times New Roman"/>
          <w:i/>
          <w:sz w:val="18"/>
          <w:szCs w:val="18"/>
          <w:vertAlign w:val="superscript"/>
        </w:rPr>
        <w:t>2</w:t>
      </w:r>
      <w:r w:rsidRPr="00D20346">
        <w:rPr>
          <w:rFonts w:ascii="Times New Roman" w:hAnsi="Times New Roman"/>
          <w:i/>
          <w:sz w:val="18"/>
          <w:szCs w:val="18"/>
        </w:rPr>
        <w:t>Department of Chemical and Process Engineering, Faculty of Eng</w:t>
      </w:r>
      <w:r>
        <w:rPr>
          <w:rFonts w:ascii="Times New Roman" w:hAnsi="Times New Roman"/>
          <w:i/>
          <w:sz w:val="18"/>
          <w:szCs w:val="18"/>
        </w:rPr>
        <w:t>ineering and Built Environment</w:t>
      </w:r>
    </w:p>
    <w:p w:rsidR="0014365E" w:rsidRPr="00D20346" w:rsidRDefault="0014365E" w:rsidP="0014365E">
      <w:pPr>
        <w:pBdr>
          <w:top w:val="nil"/>
          <w:left w:val="nil"/>
          <w:bottom w:val="nil"/>
          <w:right w:val="nil"/>
          <w:between w:val="nil"/>
        </w:pBdr>
        <w:spacing w:after="0" w:line="240" w:lineRule="auto"/>
        <w:jc w:val="center"/>
        <w:rPr>
          <w:rFonts w:ascii="Times New Roman" w:hAnsi="Times New Roman"/>
          <w:i/>
          <w:sz w:val="18"/>
          <w:szCs w:val="18"/>
        </w:rPr>
      </w:pPr>
      <w:r w:rsidRPr="00D20346">
        <w:rPr>
          <w:rFonts w:ascii="Times New Roman" w:hAnsi="Times New Roman"/>
          <w:i/>
          <w:sz w:val="18"/>
          <w:szCs w:val="18"/>
        </w:rPr>
        <w:t>Universiti K</w:t>
      </w:r>
      <w:r>
        <w:rPr>
          <w:rFonts w:ascii="Times New Roman" w:hAnsi="Times New Roman"/>
          <w:i/>
          <w:sz w:val="18"/>
          <w:szCs w:val="18"/>
        </w:rPr>
        <w:t xml:space="preserve">ebangsaan Malaysia, 43600 </w:t>
      </w:r>
      <w:r w:rsidRPr="00D20346">
        <w:rPr>
          <w:rFonts w:ascii="Times New Roman" w:hAnsi="Times New Roman"/>
          <w:i/>
          <w:sz w:val="18"/>
          <w:szCs w:val="18"/>
        </w:rPr>
        <w:t>UKM</w:t>
      </w:r>
      <w:r>
        <w:rPr>
          <w:rFonts w:ascii="Times New Roman" w:hAnsi="Times New Roman"/>
          <w:i/>
          <w:sz w:val="18"/>
          <w:szCs w:val="18"/>
        </w:rPr>
        <w:t xml:space="preserve"> Bangi</w:t>
      </w:r>
      <w:r w:rsidRPr="00D20346">
        <w:rPr>
          <w:rFonts w:ascii="Times New Roman" w:hAnsi="Times New Roman"/>
          <w:i/>
          <w:sz w:val="18"/>
          <w:szCs w:val="18"/>
        </w:rPr>
        <w:t>, Selangor, Malaysia</w:t>
      </w:r>
    </w:p>
    <w:p w:rsidR="0014365E" w:rsidRPr="0014365E" w:rsidRDefault="0014365E" w:rsidP="0014365E">
      <w:pPr>
        <w:pBdr>
          <w:top w:val="nil"/>
          <w:left w:val="nil"/>
          <w:bottom w:val="nil"/>
          <w:right w:val="nil"/>
          <w:between w:val="nil"/>
        </w:pBdr>
        <w:spacing w:after="0" w:line="240" w:lineRule="auto"/>
        <w:jc w:val="center"/>
        <w:rPr>
          <w:rFonts w:ascii="Times New Roman" w:hAnsi="Times New Roman"/>
          <w:i/>
          <w:sz w:val="18"/>
          <w:szCs w:val="18"/>
        </w:rPr>
      </w:pPr>
    </w:p>
    <w:p w:rsidR="0014365E" w:rsidRPr="00D20346" w:rsidRDefault="0014365E" w:rsidP="0014365E">
      <w:pPr>
        <w:pBdr>
          <w:top w:val="nil"/>
          <w:left w:val="nil"/>
          <w:bottom w:val="nil"/>
          <w:right w:val="nil"/>
          <w:between w:val="nil"/>
        </w:pBdr>
        <w:spacing w:after="0" w:line="240" w:lineRule="auto"/>
        <w:jc w:val="center"/>
        <w:rPr>
          <w:rFonts w:ascii="Times New Roman" w:hAnsi="Times New Roman"/>
          <w:i/>
          <w:sz w:val="18"/>
          <w:szCs w:val="18"/>
        </w:rPr>
      </w:pPr>
      <w:r>
        <w:rPr>
          <w:rFonts w:ascii="Times New Roman" w:hAnsi="Times New Roman"/>
          <w:i/>
          <w:sz w:val="18"/>
          <w:szCs w:val="18"/>
        </w:rPr>
        <w:t>*</w:t>
      </w:r>
      <w:r w:rsidRPr="00D20346">
        <w:rPr>
          <w:rFonts w:ascii="Times New Roman" w:hAnsi="Times New Roman"/>
          <w:i/>
          <w:sz w:val="18"/>
          <w:szCs w:val="18"/>
        </w:rPr>
        <w:t xml:space="preserve">Corresponding author: </w:t>
      </w:r>
      <w:r>
        <w:rPr>
          <w:rFonts w:ascii="Times New Roman" w:hAnsi="Times New Roman"/>
          <w:i/>
          <w:sz w:val="18"/>
          <w:szCs w:val="18"/>
        </w:rPr>
        <w:t xml:space="preserve"> </w:t>
      </w:r>
      <w:r w:rsidRPr="00D20346">
        <w:rPr>
          <w:rFonts w:ascii="Times New Roman" w:hAnsi="Times New Roman"/>
          <w:i/>
          <w:sz w:val="18"/>
          <w:szCs w:val="18"/>
        </w:rPr>
        <w:t>ksloh@ukm.edu.my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11B27">
        <w:rPr>
          <w:rFonts w:ascii="Times New Roman" w:hAnsi="Times New Roman"/>
          <w:noProof/>
          <w:sz w:val="18"/>
          <w:szCs w:val="18"/>
          <w:lang w:bidi="ar-SA"/>
        </w:rPr>
        <w:t>13 April 2017</w:t>
      </w:r>
      <w:r>
        <w:rPr>
          <w:rFonts w:ascii="Times New Roman" w:hAnsi="Times New Roman"/>
          <w:noProof/>
          <w:sz w:val="18"/>
          <w:szCs w:val="18"/>
          <w:lang w:bidi="ar-SA"/>
        </w:rPr>
        <w:t xml:space="preserve">; Accepted: </w:t>
      </w:r>
      <w:r w:rsidR="00A11B27">
        <w:rPr>
          <w:rFonts w:ascii="Times New Roman" w:hAnsi="Times New Roman"/>
          <w:noProof/>
          <w:sz w:val="18"/>
          <w:szCs w:val="18"/>
          <w:lang w:bidi="ar-SA"/>
        </w:rPr>
        <w:t>17 April 2018</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4365E" w:rsidRPr="00D20346" w:rsidRDefault="0014365E" w:rsidP="0014365E">
      <w:pPr>
        <w:spacing w:after="0" w:line="240" w:lineRule="auto"/>
        <w:jc w:val="both"/>
        <w:rPr>
          <w:rFonts w:ascii="Times New Roman" w:hAnsi="Times New Roman"/>
          <w:sz w:val="18"/>
          <w:szCs w:val="18"/>
        </w:rPr>
      </w:pPr>
      <w:r w:rsidRPr="00D20346">
        <w:rPr>
          <w:rFonts w:ascii="Times New Roman" w:hAnsi="Times New Roman"/>
          <w:sz w:val="18"/>
          <w:szCs w:val="18"/>
        </w:rPr>
        <w:t>Solid acid composites of CsH</w:t>
      </w:r>
      <w:r w:rsidRPr="00D20346">
        <w:rPr>
          <w:rFonts w:ascii="Times New Roman" w:hAnsi="Times New Roman"/>
          <w:sz w:val="18"/>
          <w:szCs w:val="18"/>
          <w:vertAlign w:val="subscript"/>
        </w:rPr>
        <w:t>2</w:t>
      </w:r>
      <w:r w:rsidRPr="00D20346">
        <w:rPr>
          <w:rFonts w:ascii="Times New Roman" w:hAnsi="Times New Roman"/>
          <w:sz w:val="18"/>
          <w:szCs w:val="18"/>
        </w:rPr>
        <w:t>PO</w:t>
      </w:r>
      <w:r w:rsidRPr="00D20346">
        <w:rPr>
          <w:rFonts w:ascii="Times New Roman" w:hAnsi="Times New Roman"/>
          <w:sz w:val="18"/>
          <w:szCs w:val="18"/>
          <w:vertAlign w:val="subscript"/>
        </w:rPr>
        <w:t>4</w:t>
      </w:r>
      <w:r w:rsidRPr="00D20346">
        <w:rPr>
          <w:rFonts w:ascii="Times New Roman" w:hAnsi="Times New Roman"/>
          <w:sz w:val="18"/>
          <w:szCs w:val="18"/>
        </w:rPr>
        <w:t>/NaH</w:t>
      </w:r>
      <w:r w:rsidRPr="00D20346">
        <w:rPr>
          <w:rFonts w:ascii="Times New Roman" w:hAnsi="Times New Roman"/>
          <w:sz w:val="18"/>
          <w:szCs w:val="18"/>
          <w:vertAlign w:val="subscript"/>
        </w:rPr>
        <w:t>2</w:t>
      </w:r>
      <w:r w:rsidRPr="00D20346">
        <w:rPr>
          <w:rFonts w:ascii="Times New Roman" w:hAnsi="Times New Roman"/>
          <w:sz w:val="18"/>
          <w:szCs w:val="18"/>
        </w:rPr>
        <w:t>PO</w:t>
      </w:r>
      <w:r w:rsidRPr="00D20346">
        <w:rPr>
          <w:rFonts w:ascii="Times New Roman" w:hAnsi="Times New Roman"/>
          <w:sz w:val="18"/>
          <w:szCs w:val="18"/>
          <w:vertAlign w:val="subscript"/>
        </w:rPr>
        <w:t>4</w:t>
      </w:r>
      <w:r w:rsidRPr="00D20346">
        <w:rPr>
          <w:rFonts w:ascii="Times New Roman" w:hAnsi="Times New Roman"/>
          <w:sz w:val="18"/>
          <w:szCs w:val="18"/>
        </w:rPr>
        <w:t>/SiO</w:t>
      </w:r>
      <w:r w:rsidRPr="00D20346">
        <w:rPr>
          <w:rFonts w:ascii="Times New Roman" w:hAnsi="Times New Roman"/>
          <w:sz w:val="18"/>
          <w:szCs w:val="18"/>
          <w:vertAlign w:val="subscript"/>
        </w:rPr>
        <w:t>2</w:t>
      </w:r>
      <w:r w:rsidRPr="00D20346">
        <w:rPr>
          <w:rFonts w:ascii="Times New Roman" w:hAnsi="Times New Roman"/>
          <w:sz w:val="18"/>
          <w:szCs w:val="18"/>
        </w:rPr>
        <w:t xml:space="preserve"> (CDP/SDP/SiO</w:t>
      </w:r>
      <w:r w:rsidRPr="00D20346">
        <w:rPr>
          <w:rFonts w:ascii="Times New Roman" w:hAnsi="Times New Roman"/>
          <w:sz w:val="18"/>
          <w:szCs w:val="18"/>
          <w:vertAlign w:val="subscript"/>
        </w:rPr>
        <w:t>2</w:t>
      </w:r>
      <w:r w:rsidRPr="00D20346">
        <w:rPr>
          <w:rFonts w:ascii="Times New Roman" w:hAnsi="Times New Roman"/>
          <w:sz w:val="18"/>
          <w:szCs w:val="18"/>
        </w:rPr>
        <w:t>) were synthesised with varied SDP to CDP and SiO</w:t>
      </w:r>
      <w:r w:rsidRPr="00D20346">
        <w:rPr>
          <w:rFonts w:ascii="Times New Roman" w:hAnsi="Times New Roman"/>
          <w:sz w:val="18"/>
          <w:szCs w:val="18"/>
          <w:vertAlign w:val="subscript"/>
        </w:rPr>
        <w:t>2</w:t>
      </w:r>
      <w:r w:rsidRPr="00D20346">
        <w:rPr>
          <w:rFonts w:ascii="Times New Roman" w:hAnsi="Times New Roman"/>
          <w:sz w:val="18"/>
          <w:szCs w:val="18"/>
        </w:rPr>
        <w:t xml:space="preserve"> to CDP mole fractions. The composites were arranged for optimisation </w:t>
      </w:r>
      <w:r w:rsidRPr="00D20346">
        <w:rPr>
          <w:rFonts w:ascii="Times New Roman" w:hAnsi="Times New Roman"/>
          <w:i/>
          <w:sz w:val="18"/>
          <w:szCs w:val="18"/>
        </w:rPr>
        <w:t>via</w:t>
      </w:r>
      <w:r w:rsidRPr="00D20346">
        <w:rPr>
          <w:rFonts w:ascii="Times New Roman" w:hAnsi="Times New Roman"/>
          <w:sz w:val="18"/>
          <w:szCs w:val="18"/>
        </w:rPr>
        <w:t xml:space="preserve"> the Taguchi method with L9 orthogonal array, which manipulates four factors: the amount of SDP, amount of SiO</w:t>
      </w:r>
      <w:r w:rsidRPr="00D20346">
        <w:rPr>
          <w:rFonts w:ascii="Times New Roman" w:hAnsi="Times New Roman"/>
          <w:sz w:val="18"/>
          <w:szCs w:val="18"/>
          <w:vertAlign w:val="subscript"/>
        </w:rPr>
        <w:t>2</w:t>
      </w:r>
      <w:r w:rsidRPr="00D20346">
        <w:rPr>
          <w:rFonts w:ascii="Times New Roman" w:hAnsi="Times New Roman"/>
          <w:sz w:val="18"/>
          <w:szCs w:val="18"/>
        </w:rPr>
        <w:t>, amount of pressure used for pellet production and operating temperature. Responses were recorded as the averaged conductivity value for each experimental set. The composite powders were uniaxially pressed to form pellets of 1 mm thickness for conductivity measurements. Conductivity value was averaged from three readings and used in the signal-to-noise (S/N) ratio formula. The S/N ratio was set such that larger is better and calculated to maximise the response required for the analysis. Operating temperature has the largest effect on the conductivity value of solid acid composites, whereas the amount of SiO</w:t>
      </w:r>
      <w:r w:rsidRPr="00D20346">
        <w:rPr>
          <w:rFonts w:ascii="Times New Roman" w:hAnsi="Times New Roman"/>
          <w:sz w:val="18"/>
          <w:szCs w:val="18"/>
          <w:vertAlign w:val="subscript"/>
        </w:rPr>
        <w:t>2</w:t>
      </w:r>
      <w:r w:rsidRPr="00D20346">
        <w:rPr>
          <w:rFonts w:ascii="Times New Roman" w:hAnsi="Times New Roman"/>
          <w:sz w:val="18"/>
          <w:szCs w:val="18"/>
        </w:rPr>
        <w:t xml:space="preserve"> has the smallest effect. The amount of SDP in the composite has a larger effect than the pressure applied during pellet production prior to the conductivity measurements. The optimised composite consists of 0.2 mole fraction of SDP to CDP and 0.3 mole fraction of SiO</w:t>
      </w:r>
      <w:r w:rsidRPr="00D20346">
        <w:rPr>
          <w:rFonts w:ascii="Times New Roman" w:hAnsi="Times New Roman"/>
          <w:sz w:val="18"/>
          <w:szCs w:val="18"/>
          <w:vertAlign w:val="subscript"/>
        </w:rPr>
        <w:t>2</w:t>
      </w:r>
      <w:r w:rsidRPr="00D20346">
        <w:rPr>
          <w:rFonts w:ascii="Times New Roman" w:hAnsi="Times New Roman"/>
          <w:sz w:val="18"/>
          <w:szCs w:val="18"/>
        </w:rPr>
        <w:t xml:space="preserve"> to CDP pressed at 3 tonnes cm</w:t>
      </w:r>
      <w:r w:rsidRPr="00D20346">
        <w:rPr>
          <w:rFonts w:ascii="Times New Roman" w:hAnsi="Times New Roman"/>
          <w:sz w:val="18"/>
          <w:szCs w:val="18"/>
          <w:vertAlign w:val="superscript"/>
        </w:rPr>
        <w:t xml:space="preserve">-2 </w:t>
      </w:r>
      <w:r w:rsidRPr="00D20346">
        <w:rPr>
          <w:rFonts w:ascii="Times New Roman" w:hAnsi="Times New Roman"/>
          <w:sz w:val="18"/>
          <w:szCs w:val="18"/>
        </w:rPr>
        <w:t>to produce pellets and tested at the temperature of 250 °C. The optimisation was validated by using analysis of variance from the Design-Expert</w:t>
      </w:r>
      <w:r w:rsidRPr="00D20346">
        <w:rPr>
          <w:rFonts w:ascii="Times New Roman" w:hAnsi="Times New Roman"/>
          <w:sz w:val="18"/>
          <w:szCs w:val="18"/>
          <w:vertAlign w:val="superscript"/>
        </w:rPr>
        <w:t>®</w:t>
      </w:r>
      <w:r w:rsidRPr="00D20346">
        <w:rPr>
          <w:rFonts w:ascii="Times New Roman" w:hAnsi="Times New Roman"/>
          <w:sz w:val="18"/>
          <w:szCs w:val="18"/>
        </w:rPr>
        <w:t xml:space="preserve"> software.</w:t>
      </w:r>
    </w:p>
    <w:p w:rsidR="0014365E" w:rsidRPr="00D20346" w:rsidRDefault="0014365E" w:rsidP="0014365E">
      <w:pPr>
        <w:spacing w:after="0" w:line="240" w:lineRule="auto"/>
        <w:jc w:val="both"/>
        <w:rPr>
          <w:rFonts w:ascii="Times New Roman" w:hAnsi="Times New Roman"/>
          <w:sz w:val="24"/>
          <w:szCs w:val="24"/>
        </w:rPr>
      </w:pPr>
    </w:p>
    <w:p w:rsidR="0014365E" w:rsidRPr="00D20346" w:rsidRDefault="0014365E" w:rsidP="0014365E">
      <w:pPr>
        <w:spacing w:after="0" w:line="240" w:lineRule="auto"/>
        <w:jc w:val="both"/>
        <w:rPr>
          <w:rFonts w:ascii="Times New Roman" w:hAnsi="Times New Roman"/>
          <w:sz w:val="18"/>
          <w:szCs w:val="18"/>
        </w:rPr>
      </w:pPr>
      <w:r w:rsidRPr="00D20346">
        <w:rPr>
          <w:rFonts w:ascii="Times New Roman" w:hAnsi="Times New Roman"/>
          <w:b/>
          <w:sz w:val="18"/>
          <w:szCs w:val="18"/>
        </w:rPr>
        <w:t xml:space="preserve">Keywords: </w:t>
      </w:r>
      <w:r>
        <w:rPr>
          <w:rFonts w:ascii="Times New Roman" w:hAnsi="Times New Roman"/>
          <w:b/>
          <w:sz w:val="18"/>
          <w:szCs w:val="18"/>
        </w:rPr>
        <w:t xml:space="preserve"> </w:t>
      </w:r>
      <w:r w:rsidRPr="00D20346">
        <w:rPr>
          <w:rFonts w:ascii="Times New Roman" w:hAnsi="Times New Roman"/>
          <w:sz w:val="18"/>
          <w:szCs w:val="18"/>
        </w:rPr>
        <w:t>solid acid composite, caesium dihydrogen phosphate, Taguchi</w:t>
      </w:r>
    </w:p>
    <w:p w:rsidR="0014365E" w:rsidRPr="00D20346" w:rsidRDefault="0014365E" w:rsidP="0014365E">
      <w:pPr>
        <w:spacing w:after="0" w:line="240" w:lineRule="auto"/>
        <w:jc w:val="center"/>
        <w:rPr>
          <w:rFonts w:ascii="Times New Roman" w:hAnsi="Times New Roman"/>
          <w:sz w:val="18"/>
          <w:szCs w:val="18"/>
        </w:rPr>
      </w:pPr>
    </w:p>
    <w:p w:rsidR="0014365E" w:rsidRPr="00D20346" w:rsidRDefault="0014365E" w:rsidP="0014365E">
      <w:pPr>
        <w:spacing w:after="0" w:line="240" w:lineRule="auto"/>
        <w:jc w:val="center"/>
        <w:rPr>
          <w:rFonts w:ascii="Times New Roman" w:hAnsi="Times New Roman"/>
          <w:b/>
          <w:sz w:val="18"/>
          <w:szCs w:val="18"/>
          <w:lang w:val="ms-MY"/>
        </w:rPr>
      </w:pPr>
      <w:r w:rsidRPr="00D20346">
        <w:rPr>
          <w:rFonts w:ascii="Times New Roman" w:hAnsi="Times New Roman"/>
          <w:b/>
          <w:sz w:val="18"/>
          <w:szCs w:val="18"/>
          <w:lang w:val="ms-MY"/>
        </w:rPr>
        <w:t>Abstrak</w:t>
      </w:r>
    </w:p>
    <w:p w:rsidR="0014365E" w:rsidRPr="00D20346" w:rsidRDefault="0014365E" w:rsidP="0014365E">
      <w:pPr>
        <w:spacing w:after="0" w:line="240" w:lineRule="auto"/>
        <w:jc w:val="both"/>
        <w:rPr>
          <w:rFonts w:ascii="Times New Roman" w:hAnsi="Times New Roman"/>
          <w:sz w:val="18"/>
          <w:szCs w:val="18"/>
          <w:lang w:val="ms-MY"/>
        </w:rPr>
      </w:pPr>
      <w:bookmarkStart w:id="1" w:name="_gjdgxs" w:colFirst="0" w:colLast="0"/>
      <w:bookmarkEnd w:id="1"/>
      <w:r w:rsidRPr="00D20346">
        <w:rPr>
          <w:rFonts w:ascii="Times New Roman" w:hAnsi="Times New Roman"/>
          <w:sz w:val="18"/>
          <w:szCs w:val="18"/>
          <w:lang w:val="ms-MY"/>
        </w:rPr>
        <w:t>Komposit asid pepejal CsH</w:t>
      </w:r>
      <w:r w:rsidRPr="00D20346">
        <w:rPr>
          <w:rFonts w:ascii="Times New Roman" w:hAnsi="Times New Roman"/>
          <w:sz w:val="18"/>
          <w:szCs w:val="18"/>
          <w:vertAlign w:val="subscript"/>
          <w:lang w:val="ms-MY"/>
        </w:rPr>
        <w:t>2</w:t>
      </w:r>
      <w:r w:rsidRPr="00D20346">
        <w:rPr>
          <w:rFonts w:ascii="Times New Roman" w:hAnsi="Times New Roman"/>
          <w:sz w:val="18"/>
          <w:szCs w:val="18"/>
          <w:lang w:val="ms-MY"/>
        </w:rPr>
        <w:t>PO</w:t>
      </w:r>
      <w:r w:rsidRPr="00D20346">
        <w:rPr>
          <w:rFonts w:ascii="Times New Roman" w:hAnsi="Times New Roman"/>
          <w:sz w:val="18"/>
          <w:szCs w:val="18"/>
          <w:vertAlign w:val="subscript"/>
          <w:lang w:val="ms-MY"/>
        </w:rPr>
        <w:t>4</w:t>
      </w:r>
      <w:r w:rsidRPr="00D20346">
        <w:rPr>
          <w:rFonts w:ascii="Times New Roman" w:hAnsi="Times New Roman"/>
          <w:sz w:val="18"/>
          <w:szCs w:val="18"/>
          <w:lang w:val="ms-MY"/>
        </w:rPr>
        <w:t>/NaH</w:t>
      </w:r>
      <w:r w:rsidRPr="00D20346">
        <w:rPr>
          <w:rFonts w:ascii="Times New Roman" w:hAnsi="Times New Roman"/>
          <w:sz w:val="18"/>
          <w:szCs w:val="18"/>
          <w:vertAlign w:val="subscript"/>
          <w:lang w:val="ms-MY"/>
        </w:rPr>
        <w:t>2</w:t>
      </w:r>
      <w:r w:rsidRPr="00D20346">
        <w:rPr>
          <w:rFonts w:ascii="Times New Roman" w:hAnsi="Times New Roman"/>
          <w:sz w:val="18"/>
          <w:szCs w:val="18"/>
          <w:lang w:val="ms-MY"/>
        </w:rPr>
        <w:t>PO</w:t>
      </w:r>
      <w:r w:rsidRPr="00D20346">
        <w:rPr>
          <w:rFonts w:ascii="Times New Roman" w:hAnsi="Times New Roman"/>
          <w:sz w:val="18"/>
          <w:szCs w:val="18"/>
          <w:vertAlign w:val="subscript"/>
          <w:lang w:val="ms-MY"/>
        </w:rPr>
        <w:t>4</w:t>
      </w:r>
      <w:r w:rsidRPr="00D20346">
        <w:rPr>
          <w:rFonts w:ascii="Times New Roman" w:hAnsi="Times New Roman"/>
          <w:sz w:val="18"/>
          <w:szCs w:val="18"/>
          <w:lang w:val="ms-MY"/>
        </w:rPr>
        <w:t>/SiO</w:t>
      </w:r>
      <w:r w:rsidRPr="00D20346">
        <w:rPr>
          <w:rFonts w:ascii="Times New Roman" w:hAnsi="Times New Roman"/>
          <w:sz w:val="18"/>
          <w:szCs w:val="18"/>
          <w:vertAlign w:val="subscript"/>
          <w:lang w:val="ms-MY"/>
        </w:rPr>
        <w:t>2</w:t>
      </w:r>
      <w:r w:rsidRPr="00D20346">
        <w:rPr>
          <w:rFonts w:ascii="Times New Roman" w:hAnsi="Times New Roman"/>
          <w:sz w:val="18"/>
          <w:szCs w:val="18"/>
          <w:lang w:val="ms-MY"/>
        </w:rPr>
        <w:t xml:space="preserve"> (CDP/SDP/SiO</w:t>
      </w:r>
      <w:r w:rsidRPr="00D20346">
        <w:rPr>
          <w:rFonts w:ascii="Times New Roman" w:hAnsi="Times New Roman"/>
          <w:sz w:val="18"/>
          <w:szCs w:val="18"/>
          <w:vertAlign w:val="subscript"/>
          <w:lang w:val="ms-MY"/>
        </w:rPr>
        <w:t>2</w:t>
      </w:r>
      <w:r w:rsidRPr="00D20346">
        <w:rPr>
          <w:rFonts w:ascii="Times New Roman" w:hAnsi="Times New Roman"/>
          <w:sz w:val="18"/>
          <w:szCs w:val="18"/>
          <w:lang w:val="ms-MY"/>
        </w:rPr>
        <w:t>) telah disintesis dengan pecahan mol SDP kepada CDP dan SiO</w:t>
      </w:r>
      <w:r w:rsidRPr="00D20346">
        <w:rPr>
          <w:rFonts w:ascii="Times New Roman" w:hAnsi="Times New Roman"/>
          <w:sz w:val="18"/>
          <w:szCs w:val="18"/>
          <w:vertAlign w:val="subscript"/>
          <w:lang w:val="ms-MY"/>
        </w:rPr>
        <w:t>2</w:t>
      </w:r>
      <w:r w:rsidRPr="00D20346">
        <w:rPr>
          <w:rFonts w:ascii="Times New Roman" w:hAnsi="Times New Roman"/>
          <w:sz w:val="18"/>
          <w:szCs w:val="18"/>
          <w:lang w:val="ms-MY"/>
        </w:rPr>
        <w:t xml:space="preserve"> kepada CDP yang berbeza-beza. Komposit-komposit ini telah menjalani proses pengoptimuman melalui kaedah Taguchi, dengan susunan ortogonal L9 yang memanipulasi empat faktor iaitu kuantiti SDP, kuantiti SiO</w:t>
      </w:r>
      <w:r w:rsidRPr="00D20346">
        <w:rPr>
          <w:rFonts w:ascii="Times New Roman" w:hAnsi="Times New Roman"/>
          <w:sz w:val="18"/>
          <w:szCs w:val="18"/>
          <w:vertAlign w:val="subscript"/>
          <w:lang w:val="ms-MY"/>
        </w:rPr>
        <w:t>2</w:t>
      </w:r>
      <w:r w:rsidRPr="00D20346">
        <w:rPr>
          <w:rFonts w:ascii="Times New Roman" w:hAnsi="Times New Roman"/>
          <w:sz w:val="18"/>
          <w:szCs w:val="18"/>
          <w:lang w:val="ms-MY"/>
        </w:rPr>
        <w:t>, kuantiti tekanan yang digunakan untuk penghasilan pelet dan suhu operasi. Output dicatatkan sebagai nilai kekonduksian purata bagi setiap set eksperimen. Serbuk komposit telah dimampatkan untuk membentuk pelet dengan ketebalan 1 mm untuk analisa kekonduksian. Nilai kekonduksian yang diperoleh dijadikan purata daripada tiga bacaan dan digunakan dalam formula nisbah</w:t>
      </w:r>
      <w:r>
        <w:rPr>
          <w:rFonts w:ascii="Times New Roman" w:hAnsi="Times New Roman"/>
          <w:sz w:val="18"/>
          <w:szCs w:val="18"/>
          <w:lang w:val="ms-MY"/>
        </w:rPr>
        <w:t xml:space="preserve"> isyarat kepada hingar</w:t>
      </w:r>
      <w:r w:rsidRPr="00D20346">
        <w:rPr>
          <w:rFonts w:ascii="Times New Roman" w:hAnsi="Times New Roman"/>
          <w:sz w:val="18"/>
          <w:szCs w:val="18"/>
          <w:lang w:val="ms-MY"/>
        </w:rPr>
        <w:t xml:space="preserve"> (S/N). Nisbah S/N telah ditetapkan sebagai ‘lebih besar adalah lebih baik’ dan digunakan untuk memaksimakan tindak balas yang diperlukan untuk analisa. Suhu operasi mempunyai impak terbesar ke atas nilai kekonduksian komposit asid pepejal, manakala kuantiti SiO</w:t>
      </w:r>
      <w:r w:rsidRPr="00D20346">
        <w:rPr>
          <w:rFonts w:ascii="Times New Roman" w:hAnsi="Times New Roman"/>
          <w:sz w:val="18"/>
          <w:szCs w:val="18"/>
          <w:vertAlign w:val="subscript"/>
          <w:lang w:val="ms-MY"/>
        </w:rPr>
        <w:t>2</w:t>
      </w:r>
      <w:r w:rsidRPr="00D20346">
        <w:rPr>
          <w:rFonts w:ascii="Times New Roman" w:hAnsi="Times New Roman"/>
          <w:sz w:val="18"/>
          <w:szCs w:val="18"/>
          <w:lang w:val="ms-MY"/>
        </w:rPr>
        <w:t xml:space="preserve"> mempunyai impak yang paling kecil ke atas nilai kekonduksian komposit asid pepejal. Kuantiti SDP dalam komposit mempunyai kesan yang lebih besar berbanding tekanan yang digunakan semasa penghasilan pelet sebelum analisa kekonduksian. Komposit yang telah dioptimumkan terdiri daripada 0.2 pecahan mol SDP kepada CDP dan 0.3 pecahan mol SiO</w:t>
      </w:r>
      <w:r w:rsidRPr="00D20346">
        <w:rPr>
          <w:rFonts w:ascii="Times New Roman" w:hAnsi="Times New Roman"/>
          <w:sz w:val="18"/>
          <w:szCs w:val="18"/>
          <w:vertAlign w:val="subscript"/>
          <w:lang w:val="ms-MY"/>
        </w:rPr>
        <w:t>2</w:t>
      </w:r>
      <w:r w:rsidRPr="00D20346">
        <w:rPr>
          <w:rFonts w:ascii="Times New Roman" w:hAnsi="Times New Roman"/>
          <w:sz w:val="18"/>
          <w:szCs w:val="18"/>
          <w:lang w:val="ms-MY"/>
        </w:rPr>
        <w:t xml:space="preserve"> kepada CDP, memerlukan tekanan sebanyak 3 tan cm</w:t>
      </w:r>
      <w:r w:rsidRPr="00D20346">
        <w:rPr>
          <w:rFonts w:ascii="Times New Roman" w:hAnsi="Times New Roman"/>
          <w:sz w:val="18"/>
          <w:szCs w:val="18"/>
          <w:vertAlign w:val="superscript"/>
          <w:lang w:val="ms-MY"/>
        </w:rPr>
        <w:t>-2</w:t>
      </w:r>
      <w:r w:rsidRPr="00D20346">
        <w:rPr>
          <w:rFonts w:ascii="Times New Roman" w:hAnsi="Times New Roman"/>
          <w:sz w:val="18"/>
          <w:szCs w:val="18"/>
          <w:lang w:val="ms-MY"/>
        </w:rPr>
        <w:t xml:space="preserve"> untuk menghasilkan pelet dan diuji pada suhu 250 °C. Proses pengoptimuman ini disahkan oleh analisa varians dari perisian Design-Expert</w:t>
      </w:r>
      <w:r w:rsidRPr="00D20346">
        <w:rPr>
          <w:rFonts w:ascii="Times New Roman" w:hAnsi="Times New Roman"/>
          <w:sz w:val="18"/>
          <w:szCs w:val="18"/>
          <w:vertAlign w:val="superscript"/>
          <w:lang w:val="ms-MY"/>
        </w:rPr>
        <w:t>®</w:t>
      </w:r>
      <w:r w:rsidRPr="00D20346">
        <w:rPr>
          <w:rFonts w:ascii="Times New Roman" w:hAnsi="Times New Roman"/>
          <w:sz w:val="18"/>
          <w:szCs w:val="18"/>
          <w:lang w:val="ms-MY"/>
        </w:rPr>
        <w:t>.</w:t>
      </w:r>
    </w:p>
    <w:p w:rsidR="0014365E" w:rsidRPr="00D20346" w:rsidRDefault="0014365E" w:rsidP="0014365E">
      <w:pPr>
        <w:spacing w:after="0" w:line="240" w:lineRule="auto"/>
        <w:jc w:val="both"/>
        <w:rPr>
          <w:rFonts w:ascii="Times New Roman" w:hAnsi="Times New Roman"/>
          <w:sz w:val="18"/>
          <w:szCs w:val="18"/>
          <w:lang w:val="ms-MY"/>
        </w:rPr>
      </w:pPr>
    </w:p>
    <w:p w:rsidR="0014365E" w:rsidRPr="00D20346" w:rsidRDefault="0014365E" w:rsidP="0014365E">
      <w:pPr>
        <w:spacing w:after="0" w:line="240" w:lineRule="auto"/>
        <w:jc w:val="both"/>
        <w:rPr>
          <w:rFonts w:ascii="Times New Roman" w:hAnsi="Times New Roman"/>
          <w:b/>
          <w:sz w:val="18"/>
          <w:szCs w:val="18"/>
          <w:lang w:val="ms-MY"/>
        </w:rPr>
      </w:pPr>
      <w:r w:rsidRPr="00D20346">
        <w:rPr>
          <w:rFonts w:ascii="Times New Roman" w:hAnsi="Times New Roman"/>
          <w:b/>
          <w:sz w:val="18"/>
          <w:szCs w:val="18"/>
          <w:lang w:val="ms-MY"/>
        </w:rPr>
        <w:lastRenderedPageBreak/>
        <w:t xml:space="preserve">Kata kunci: </w:t>
      </w:r>
      <w:r>
        <w:rPr>
          <w:rFonts w:ascii="Times New Roman" w:hAnsi="Times New Roman"/>
          <w:b/>
          <w:sz w:val="18"/>
          <w:szCs w:val="18"/>
          <w:lang w:val="ms-MY"/>
        </w:rPr>
        <w:t xml:space="preserve"> </w:t>
      </w:r>
      <w:r w:rsidRPr="00D20346">
        <w:rPr>
          <w:rFonts w:ascii="Times New Roman" w:hAnsi="Times New Roman"/>
          <w:sz w:val="18"/>
          <w:szCs w:val="18"/>
          <w:lang w:val="ms-MY"/>
        </w:rPr>
        <w:t>komposit asid pepejal, sesium dihidrogen fosfat, Taguchi</w:t>
      </w:r>
    </w:p>
    <w:p w:rsidR="00AC0033" w:rsidRDefault="00AC0033" w:rsidP="0014365E">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14365E" w:rsidRPr="0014365E" w:rsidRDefault="0014365E" w:rsidP="0014365E">
      <w:pPr>
        <w:spacing w:after="0" w:line="240" w:lineRule="auto"/>
        <w:jc w:val="both"/>
        <w:rPr>
          <w:rFonts w:ascii="Times New Roman" w:hAnsi="Times New Roman"/>
          <w:sz w:val="20"/>
          <w:szCs w:val="20"/>
        </w:rPr>
      </w:pPr>
      <w:r w:rsidRPr="0014365E">
        <w:rPr>
          <w:rFonts w:ascii="Times New Roman" w:hAnsi="Times New Roman"/>
          <w:sz w:val="20"/>
          <w:szCs w:val="20"/>
        </w:rPr>
        <w:t>The potential of solid acids as alternatives to membrane materials in the proton exchange membrane fuel cell (PEMFC) has been demonstrated [</w:t>
      </w:r>
      <w:hyperlink w:anchor="_30j0zll">
        <w:r w:rsidRPr="0014365E">
          <w:rPr>
            <w:rFonts w:ascii="Times New Roman" w:hAnsi="Times New Roman"/>
            <w:sz w:val="20"/>
            <w:szCs w:val="20"/>
          </w:rPr>
          <w:t>1–3</w:t>
        </w:r>
      </w:hyperlink>
      <w:r w:rsidRPr="0014365E">
        <w:rPr>
          <w:rFonts w:ascii="Times New Roman" w:hAnsi="Times New Roman"/>
          <w:sz w:val="20"/>
          <w:szCs w:val="20"/>
        </w:rPr>
        <w:t>]. Caesium dihydrogen phosphate, CsH</w:t>
      </w:r>
      <w:r w:rsidRPr="0014365E">
        <w:rPr>
          <w:rFonts w:ascii="Times New Roman" w:hAnsi="Times New Roman"/>
          <w:sz w:val="20"/>
          <w:szCs w:val="20"/>
          <w:vertAlign w:val="subscript"/>
        </w:rPr>
        <w:t>2</w:t>
      </w:r>
      <w:r w:rsidRPr="0014365E">
        <w:rPr>
          <w:rFonts w:ascii="Times New Roman" w:hAnsi="Times New Roman"/>
          <w:sz w:val="20"/>
          <w:szCs w:val="20"/>
        </w:rPr>
        <w:t>PO</w:t>
      </w:r>
      <w:r w:rsidRPr="0014365E">
        <w:rPr>
          <w:rFonts w:ascii="Times New Roman" w:hAnsi="Times New Roman"/>
          <w:sz w:val="20"/>
          <w:szCs w:val="20"/>
          <w:vertAlign w:val="subscript"/>
        </w:rPr>
        <w:t>4</w:t>
      </w:r>
      <w:r w:rsidRPr="0014365E">
        <w:rPr>
          <w:rFonts w:ascii="Times New Roman" w:hAnsi="Times New Roman"/>
          <w:sz w:val="20"/>
          <w:szCs w:val="20"/>
        </w:rPr>
        <w:t xml:space="preserve"> (CDP), is one of the most widely studied solid acids because of its high proton conductivity value of 2.2 x 10</w:t>
      </w:r>
      <w:r w:rsidRPr="0014365E">
        <w:rPr>
          <w:rFonts w:ascii="Times New Roman" w:hAnsi="Times New Roman"/>
          <w:sz w:val="20"/>
          <w:szCs w:val="20"/>
          <w:vertAlign w:val="superscript"/>
        </w:rPr>
        <w:t>-2</w:t>
      </w:r>
      <w:r w:rsidRPr="0014365E">
        <w:rPr>
          <w:rFonts w:ascii="Times New Roman" w:hAnsi="Times New Roman"/>
          <w:sz w:val="20"/>
          <w:szCs w:val="20"/>
        </w:rPr>
        <w:t xml:space="preserve"> S cm</w:t>
      </w:r>
      <w:r w:rsidRPr="0014365E">
        <w:rPr>
          <w:rFonts w:ascii="Times New Roman" w:hAnsi="Times New Roman"/>
          <w:sz w:val="20"/>
          <w:szCs w:val="20"/>
          <w:vertAlign w:val="superscript"/>
        </w:rPr>
        <w:t>-1</w:t>
      </w:r>
      <w:r w:rsidRPr="0014365E">
        <w:rPr>
          <w:rFonts w:ascii="Times New Roman" w:hAnsi="Times New Roman"/>
          <w:sz w:val="20"/>
          <w:szCs w:val="20"/>
        </w:rPr>
        <w:t xml:space="preserve"> at 240</w:t>
      </w:r>
      <w:r w:rsidRPr="0014365E">
        <w:rPr>
          <w:rFonts w:ascii="Times New Roman" w:hAnsi="Times New Roman"/>
          <w:sz w:val="20"/>
          <w:szCs w:val="20"/>
          <w:vertAlign w:val="superscript"/>
        </w:rPr>
        <w:t xml:space="preserve"> </w:t>
      </w:r>
      <w:r w:rsidRPr="0014365E">
        <w:rPr>
          <w:rFonts w:ascii="Times New Roman" w:hAnsi="Times New Roman"/>
          <w:sz w:val="20"/>
          <w:szCs w:val="20"/>
        </w:rPr>
        <w:t>°C [</w:t>
      </w:r>
      <w:hyperlink w:anchor="_3znysh7">
        <w:r w:rsidRPr="0014365E">
          <w:rPr>
            <w:rFonts w:ascii="Times New Roman" w:hAnsi="Times New Roman"/>
            <w:sz w:val="20"/>
            <w:szCs w:val="20"/>
          </w:rPr>
          <w:t>3</w:t>
        </w:r>
      </w:hyperlink>
      <w:r w:rsidRPr="0014365E">
        <w:rPr>
          <w:rFonts w:ascii="Times New Roman" w:hAnsi="Times New Roman"/>
          <w:sz w:val="20"/>
          <w:szCs w:val="20"/>
        </w:rPr>
        <w:t xml:space="preserve">, </w:t>
      </w:r>
      <w:hyperlink w:anchor="_2et92p0">
        <w:r w:rsidRPr="0014365E">
          <w:rPr>
            <w:rFonts w:ascii="Times New Roman" w:hAnsi="Times New Roman"/>
            <w:sz w:val="20"/>
            <w:szCs w:val="20"/>
          </w:rPr>
          <w:t>4</w:t>
        </w:r>
      </w:hyperlink>
      <w:r w:rsidRPr="0014365E">
        <w:rPr>
          <w:rFonts w:ascii="Times New Roman" w:hAnsi="Times New Roman"/>
          <w:sz w:val="20"/>
          <w:szCs w:val="20"/>
        </w:rPr>
        <w:t>], its lack of decomposition or dehydration at intermediate temperatures and its non-production of catalyst poison in hydrogen-rich surroundings [</w:t>
      </w:r>
      <w:hyperlink w:anchor="_tyjcwt">
        <w:r w:rsidRPr="0014365E">
          <w:rPr>
            <w:rFonts w:ascii="Times New Roman" w:hAnsi="Times New Roman"/>
            <w:sz w:val="20"/>
            <w:szCs w:val="20"/>
          </w:rPr>
          <w:t>5</w:t>
        </w:r>
      </w:hyperlink>
      <w:r w:rsidRPr="0014365E">
        <w:rPr>
          <w:rFonts w:ascii="Times New Roman" w:hAnsi="Times New Roman"/>
          <w:sz w:val="20"/>
          <w:szCs w:val="20"/>
        </w:rPr>
        <w:t xml:space="preserve">, </w:t>
      </w:r>
      <w:hyperlink w:anchor="_3dy6vkm">
        <w:r w:rsidRPr="0014365E">
          <w:rPr>
            <w:rFonts w:ascii="Times New Roman" w:hAnsi="Times New Roman"/>
            <w:sz w:val="20"/>
            <w:szCs w:val="20"/>
          </w:rPr>
          <w:t>6</w:t>
        </w:r>
      </w:hyperlink>
      <w:r w:rsidRPr="0014365E">
        <w:rPr>
          <w:rFonts w:ascii="Times New Roman" w:hAnsi="Times New Roman"/>
          <w:sz w:val="20"/>
          <w:szCs w:val="20"/>
        </w:rPr>
        <w:t>]. The addition of hygroscopic oxides, such as SiO</w:t>
      </w:r>
      <w:r w:rsidRPr="0014365E">
        <w:rPr>
          <w:rFonts w:ascii="Times New Roman" w:hAnsi="Times New Roman"/>
          <w:sz w:val="20"/>
          <w:szCs w:val="20"/>
          <w:vertAlign w:val="subscript"/>
        </w:rPr>
        <w:t>2</w:t>
      </w:r>
      <w:r w:rsidRPr="0014365E">
        <w:rPr>
          <w:rFonts w:ascii="Times New Roman" w:hAnsi="Times New Roman"/>
          <w:sz w:val="20"/>
          <w:szCs w:val="20"/>
        </w:rPr>
        <w:t>, ZrO</w:t>
      </w:r>
      <w:r w:rsidRPr="0014365E">
        <w:rPr>
          <w:rFonts w:ascii="Times New Roman" w:hAnsi="Times New Roman"/>
          <w:sz w:val="20"/>
          <w:szCs w:val="20"/>
          <w:vertAlign w:val="subscript"/>
        </w:rPr>
        <w:t>2</w:t>
      </w:r>
      <w:r w:rsidRPr="0014365E">
        <w:rPr>
          <w:rFonts w:ascii="Times New Roman" w:hAnsi="Times New Roman"/>
          <w:sz w:val="20"/>
          <w:szCs w:val="20"/>
        </w:rPr>
        <w:t>, TiO</w:t>
      </w:r>
      <w:r w:rsidRPr="0014365E">
        <w:rPr>
          <w:rFonts w:ascii="Times New Roman" w:hAnsi="Times New Roman"/>
          <w:sz w:val="20"/>
          <w:szCs w:val="20"/>
          <w:vertAlign w:val="subscript"/>
        </w:rPr>
        <w:t>2</w:t>
      </w:r>
      <w:r w:rsidRPr="0014365E">
        <w:rPr>
          <w:rFonts w:ascii="Times New Roman" w:hAnsi="Times New Roman"/>
          <w:sz w:val="20"/>
          <w:szCs w:val="20"/>
        </w:rPr>
        <w:t xml:space="preserve"> and Al</w:t>
      </w:r>
      <w:r w:rsidRPr="0014365E">
        <w:rPr>
          <w:rFonts w:ascii="Times New Roman" w:hAnsi="Times New Roman"/>
          <w:sz w:val="20"/>
          <w:szCs w:val="20"/>
          <w:vertAlign w:val="subscript"/>
        </w:rPr>
        <w:t>2</w:t>
      </w:r>
      <w:r w:rsidRPr="0014365E">
        <w:rPr>
          <w:rFonts w:ascii="Times New Roman" w:hAnsi="Times New Roman"/>
          <w:sz w:val="20"/>
          <w:szCs w:val="20"/>
        </w:rPr>
        <w:t>O</w:t>
      </w:r>
      <w:r w:rsidRPr="0014365E">
        <w:rPr>
          <w:rFonts w:ascii="Times New Roman" w:hAnsi="Times New Roman"/>
          <w:sz w:val="20"/>
          <w:szCs w:val="20"/>
          <w:vertAlign w:val="subscript"/>
        </w:rPr>
        <w:t>3</w:t>
      </w:r>
      <w:r w:rsidRPr="0014365E">
        <w:rPr>
          <w:rFonts w:ascii="Times New Roman" w:hAnsi="Times New Roman"/>
          <w:sz w:val="20"/>
          <w:szCs w:val="20"/>
        </w:rPr>
        <w:t>,</w:t>
      </w:r>
      <w:r w:rsidRPr="0014365E">
        <w:rPr>
          <w:rFonts w:ascii="Times New Roman" w:hAnsi="Times New Roman"/>
          <w:sz w:val="20"/>
          <w:szCs w:val="20"/>
          <w:vertAlign w:val="subscript"/>
        </w:rPr>
        <w:t xml:space="preserve"> </w:t>
      </w:r>
      <w:r w:rsidRPr="0014365E">
        <w:rPr>
          <w:rFonts w:ascii="Times New Roman" w:hAnsi="Times New Roman"/>
          <w:sz w:val="20"/>
          <w:szCs w:val="20"/>
        </w:rPr>
        <w:t>generates strong surface interaction and enhances the stabilisation of the composite material, hence reducing the brittleness of solid acids [</w:t>
      </w:r>
      <w:hyperlink w:anchor="_1t3h5sf">
        <w:r w:rsidRPr="0014365E">
          <w:rPr>
            <w:rFonts w:ascii="Times New Roman" w:hAnsi="Times New Roman"/>
            <w:sz w:val="20"/>
            <w:szCs w:val="20"/>
          </w:rPr>
          <w:t>7</w:t>
        </w:r>
      </w:hyperlink>
      <w:r w:rsidRPr="0014365E">
        <w:rPr>
          <w:rFonts w:ascii="Times New Roman" w:hAnsi="Times New Roman"/>
          <w:sz w:val="20"/>
          <w:szCs w:val="20"/>
        </w:rPr>
        <w:t xml:space="preserve">, </w:t>
      </w:r>
      <w:hyperlink w:anchor="_4d34og8">
        <w:r w:rsidRPr="0014365E">
          <w:rPr>
            <w:rFonts w:ascii="Times New Roman" w:hAnsi="Times New Roman"/>
            <w:sz w:val="20"/>
            <w:szCs w:val="20"/>
          </w:rPr>
          <w:t>8</w:t>
        </w:r>
      </w:hyperlink>
      <w:r w:rsidRPr="0014365E">
        <w:rPr>
          <w:rFonts w:ascii="Times New Roman" w:hAnsi="Times New Roman"/>
          <w:sz w:val="20"/>
          <w:szCs w:val="20"/>
        </w:rPr>
        <w:t>]. Sodium dihydrogen phosphate, NaH</w:t>
      </w:r>
      <w:r w:rsidRPr="0014365E">
        <w:rPr>
          <w:rFonts w:ascii="Times New Roman" w:hAnsi="Times New Roman"/>
          <w:sz w:val="20"/>
          <w:szCs w:val="20"/>
          <w:vertAlign w:val="subscript"/>
        </w:rPr>
        <w:t>2</w:t>
      </w:r>
      <w:r w:rsidRPr="0014365E">
        <w:rPr>
          <w:rFonts w:ascii="Times New Roman" w:hAnsi="Times New Roman"/>
          <w:sz w:val="20"/>
          <w:szCs w:val="20"/>
        </w:rPr>
        <w:t>PO</w:t>
      </w:r>
      <w:r w:rsidRPr="0014365E">
        <w:rPr>
          <w:rFonts w:ascii="Times New Roman" w:hAnsi="Times New Roman"/>
          <w:sz w:val="20"/>
          <w:szCs w:val="20"/>
          <w:vertAlign w:val="subscript"/>
        </w:rPr>
        <w:t>4</w:t>
      </w:r>
      <w:r w:rsidRPr="0014365E">
        <w:rPr>
          <w:rFonts w:ascii="Times New Roman" w:hAnsi="Times New Roman"/>
          <w:sz w:val="20"/>
          <w:szCs w:val="20"/>
        </w:rPr>
        <w:t xml:space="preserve"> (SDP), undergoes dehydration at lower temperatures compared with other solid acids and does not exhibit superprotonic conductivity [</w:t>
      </w:r>
      <w:hyperlink w:anchor="_2s8eyo1">
        <w:r w:rsidRPr="0014365E">
          <w:rPr>
            <w:rFonts w:ascii="Times New Roman" w:hAnsi="Times New Roman"/>
            <w:sz w:val="20"/>
            <w:szCs w:val="20"/>
          </w:rPr>
          <w:t>9</w:t>
        </w:r>
      </w:hyperlink>
      <w:r w:rsidRPr="0014365E">
        <w:rPr>
          <w:rFonts w:ascii="Times New Roman" w:hAnsi="Times New Roman"/>
          <w:sz w:val="20"/>
          <w:szCs w:val="20"/>
        </w:rPr>
        <w:t>]. Martsinkevich and Ponomareva [</w:t>
      </w:r>
      <w:hyperlink w:anchor="_17dp8vu">
        <w:r w:rsidRPr="0014365E">
          <w:rPr>
            <w:rFonts w:ascii="Times New Roman" w:hAnsi="Times New Roman"/>
            <w:sz w:val="20"/>
            <w:szCs w:val="20"/>
          </w:rPr>
          <w:t>10</w:t>
        </w:r>
      </w:hyperlink>
      <w:r w:rsidRPr="0014365E">
        <w:rPr>
          <w:rFonts w:ascii="Times New Roman" w:hAnsi="Times New Roman"/>
          <w:sz w:val="20"/>
          <w:szCs w:val="20"/>
        </w:rPr>
        <w:t>] found that the conductivity of Cs</w:t>
      </w:r>
      <w:r w:rsidRPr="0014365E">
        <w:rPr>
          <w:rFonts w:ascii="Times New Roman" w:hAnsi="Times New Roman"/>
          <w:sz w:val="20"/>
          <w:szCs w:val="20"/>
          <w:vertAlign w:val="subscript"/>
        </w:rPr>
        <w:t>1-x</w:t>
      </w:r>
      <w:r w:rsidRPr="0014365E">
        <w:rPr>
          <w:rFonts w:ascii="Times New Roman" w:hAnsi="Times New Roman"/>
          <w:sz w:val="20"/>
          <w:szCs w:val="20"/>
        </w:rPr>
        <w:t>Na</w:t>
      </w:r>
      <w:r w:rsidRPr="0014365E">
        <w:rPr>
          <w:rFonts w:ascii="Times New Roman" w:hAnsi="Times New Roman"/>
          <w:sz w:val="20"/>
          <w:szCs w:val="20"/>
          <w:vertAlign w:val="subscript"/>
        </w:rPr>
        <w:t>x</w:t>
      </w:r>
      <w:r w:rsidRPr="0014365E">
        <w:rPr>
          <w:rFonts w:ascii="Times New Roman" w:hAnsi="Times New Roman"/>
          <w:sz w:val="20"/>
          <w:szCs w:val="20"/>
        </w:rPr>
        <w:t>H</w:t>
      </w:r>
      <w:r w:rsidRPr="0014365E">
        <w:rPr>
          <w:rFonts w:ascii="Times New Roman" w:hAnsi="Times New Roman"/>
          <w:sz w:val="20"/>
          <w:szCs w:val="20"/>
          <w:vertAlign w:val="subscript"/>
        </w:rPr>
        <w:t>2</w:t>
      </w:r>
      <w:r w:rsidRPr="0014365E">
        <w:rPr>
          <w:rFonts w:ascii="Times New Roman" w:hAnsi="Times New Roman"/>
          <w:sz w:val="20"/>
          <w:szCs w:val="20"/>
        </w:rPr>
        <w:t>PO</w:t>
      </w:r>
      <w:r w:rsidRPr="0014365E">
        <w:rPr>
          <w:rFonts w:ascii="Times New Roman" w:hAnsi="Times New Roman"/>
          <w:sz w:val="20"/>
          <w:szCs w:val="20"/>
          <w:vertAlign w:val="subscript"/>
        </w:rPr>
        <w:t>4</w:t>
      </w:r>
      <w:r w:rsidRPr="0014365E">
        <w:rPr>
          <w:rFonts w:ascii="Times New Roman" w:hAnsi="Times New Roman"/>
          <w:sz w:val="20"/>
          <w:szCs w:val="20"/>
        </w:rPr>
        <w:t xml:space="preserve"> composite for x values between 0 and 0.2 increases at about two orders of magnitude in the low temperature region in comparison to CDP. </w:t>
      </w:r>
    </w:p>
    <w:p w:rsidR="0014365E" w:rsidRPr="0014365E" w:rsidRDefault="0014365E" w:rsidP="0014365E">
      <w:pPr>
        <w:spacing w:after="0" w:line="240" w:lineRule="auto"/>
        <w:jc w:val="both"/>
        <w:rPr>
          <w:rFonts w:ascii="Times New Roman" w:hAnsi="Times New Roman"/>
          <w:sz w:val="20"/>
          <w:szCs w:val="20"/>
        </w:rPr>
      </w:pPr>
    </w:p>
    <w:p w:rsidR="0014365E" w:rsidRPr="0014365E" w:rsidRDefault="0014365E" w:rsidP="0014365E">
      <w:pPr>
        <w:spacing w:after="0" w:line="240" w:lineRule="auto"/>
        <w:jc w:val="both"/>
        <w:rPr>
          <w:rFonts w:ascii="Times New Roman" w:hAnsi="Times New Roman"/>
          <w:sz w:val="20"/>
          <w:szCs w:val="20"/>
        </w:rPr>
      </w:pPr>
      <w:r w:rsidRPr="0014365E">
        <w:rPr>
          <w:rFonts w:ascii="Times New Roman" w:hAnsi="Times New Roman"/>
          <w:sz w:val="20"/>
          <w:szCs w:val="20"/>
        </w:rPr>
        <w:t>This study identifies the effect of composition and process parameter on the conductivity value of the mixed-salt solid acid CDP/SDP/SiO</w:t>
      </w:r>
      <w:r w:rsidRPr="0014365E">
        <w:rPr>
          <w:rFonts w:ascii="Times New Roman" w:hAnsi="Times New Roman"/>
          <w:sz w:val="20"/>
          <w:szCs w:val="20"/>
          <w:vertAlign w:val="subscript"/>
        </w:rPr>
        <w:t>2</w:t>
      </w:r>
      <w:r w:rsidRPr="0014365E">
        <w:rPr>
          <w:rFonts w:ascii="Times New Roman" w:hAnsi="Times New Roman"/>
          <w:sz w:val="20"/>
          <w:szCs w:val="20"/>
        </w:rPr>
        <w:t xml:space="preserve"> via the Taguchi method. This technique reduces the number of experiments required and minimises the variation in a process. Unlike other design of experiments (DOEs), such as factorial design, which requires testing of each possible combination, the Taguchi method tests pairs of combinations. This method produces the optimum combination of solid acid composition and process parameter for further testing and characterisation.</w:t>
      </w:r>
    </w:p>
    <w:p w:rsidR="0014365E" w:rsidRPr="0014365E" w:rsidRDefault="0014365E" w:rsidP="0014365E">
      <w:pPr>
        <w:spacing w:after="0" w:line="240" w:lineRule="auto"/>
        <w:jc w:val="center"/>
        <w:rPr>
          <w:rFonts w:ascii="Times New Roman" w:hAnsi="Times New Roman"/>
          <w:sz w:val="20"/>
          <w:szCs w:val="20"/>
        </w:rPr>
      </w:pPr>
    </w:p>
    <w:p w:rsidR="0014365E" w:rsidRPr="0014365E" w:rsidRDefault="0014365E" w:rsidP="0014365E">
      <w:pPr>
        <w:spacing w:after="0" w:line="240" w:lineRule="auto"/>
        <w:jc w:val="center"/>
        <w:rPr>
          <w:rFonts w:ascii="Times New Roman" w:hAnsi="Times New Roman"/>
          <w:b/>
          <w:sz w:val="20"/>
          <w:szCs w:val="20"/>
        </w:rPr>
      </w:pPr>
      <w:r w:rsidRPr="0014365E">
        <w:rPr>
          <w:rFonts w:ascii="Times New Roman" w:hAnsi="Times New Roman"/>
          <w:b/>
          <w:sz w:val="20"/>
          <w:szCs w:val="20"/>
        </w:rPr>
        <w:t>Materials and Methods</w:t>
      </w:r>
    </w:p>
    <w:p w:rsidR="0014365E" w:rsidRPr="0014365E" w:rsidRDefault="0014365E" w:rsidP="0014365E">
      <w:pPr>
        <w:spacing w:after="0" w:line="240" w:lineRule="auto"/>
        <w:jc w:val="both"/>
        <w:rPr>
          <w:rFonts w:ascii="Times New Roman" w:hAnsi="Times New Roman"/>
          <w:sz w:val="20"/>
          <w:szCs w:val="20"/>
        </w:rPr>
      </w:pPr>
      <w:r w:rsidRPr="0014365E">
        <w:rPr>
          <w:rFonts w:ascii="Times New Roman" w:hAnsi="Times New Roman"/>
          <w:sz w:val="20"/>
          <w:szCs w:val="20"/>
        </w:rPr>
        <w:t>Solid acid CDP was synthesised by mixing stoichiometric amounts of caesium carbonate, Cs</w:t>
      </w:r>
      <w:r w:rsidRPr="0014365E">
        <w:rPr>
          <w:rFonts w:ascii="Times New Roman" w:hAnsi="Times New Roman"/>
          <w:sz w:val="20"/>
          <w:szCs w:val="20"/>
          <w:vertAlign w:val="subscript"/>
        </w:rPr>
        <w:t>2</w:t>
      </w:r>
      <w:r w:rsidRPr="0014365E">
        <w:rPr>
          <w:rFonts w:ascii="Times New Roman" w:hAnsi="Times New Roman"/>
          <w:sz w:val="20"/>
          <w:szCs w:val="20"/>
        </w:rPr>
        <w:t>CO</w:t>
      </w:r>
      <w:r w:rsidRPr="0014365E">
        <w:rPr>
          <w:rFonts w:ascii="Times New Roman" w:hAnsi="Times New Roman"/>
          <w:sz w:val="20"/>
          <w:szCs w:val="20"/>
          <w:vertAlign w:val="subscript"/>
        </w:rPr>
        <w:t>3</w:t>
      </w:r>
      <w:r w:rsidRPr="0014365E">
        <w:rPr>
          <w:rFonts w:ascii="Times New Roman" w:hAnsi="Times New Roman"/>
          <w:sz w:val="20"/>
          <w:szCs w:val="20"/>
        </w:rPr>
        <w:t xml:space="preserve"> (ReagentPlus</w:t>
      </w:r>
      <w:r w:rsidRPr="0014365E">
        <w:rPr>
          <w:rFonts w:ascii="Times New Roman" w:hAnsi="Times New Roman"/>
          <w:sz w:val="20"/>
          <w:szCs w:val="20"/>
          <w:vertAlign w:val="superscript"/>
        </w:rPr>
        <w:t>®</w:t>
      </w:r>
      <w:r w:rsidRPr="0014365E">
        <w:rPr>
          <w:rFonts w:ascii="Times New Roman" w:eastAsia="Gungsuh" w:hAnsi="Times New Roman"/>
          <w:sz w:val="20"/>
          <w:szCs w:val="20"/>
        </w:rPr>
        <w:t>, ≥99% Sigma Aldrich) and phosphoric acid H</w:t>
      </w:r>
      <w:r w:rsidRPr="0014365E">
        <w:rPr>
          <w:rFonts w:ascii="Times New Roman" w:hAnsi="Times New Roman"/>
          <w:sz w:val="20"/>
          <w:szCs w:val="20"/>
          <w:vertAlign w:val="subscript"/>
        </w:rPr>
        <w:t>3</w:t>
      </w:r>
      <w:r w:rsidRPr="0014365E">
        <w:rPr>
          <w:rFonts w:ascii="Times New Roman" w:hAnsi="Times New Roman"/>
          <w:sz w:val="20"/>
          <w:szCs w:val="20"/>
        </w:rPr>
        <w:t>PO</w:t>
      </w:r>
      <w:r w:rsidRPr="0014365E">
        <w:rPr>
          <w:rFonts w:ascii="Times New Roman" w:hAnsi="Times New Roman"/>
          <w:sz w:val="20"/>
          <w:szCs w:val="20"/>
          <w:vertAlign w:val="subscript"/>
        </w:rPr>
        <w:t>4</w:t>
      </w:r>
      <w:r w:rsidRPr="0014365E">
        <w:rPr>
          <w:rFonts w:ascii="Times New Roman" w:eastAsia="Gungsuh" w:hAnsi="Times New Roman"/>
          <w:sz w:val="20"/>
          <w:szCs w:val="20"/>
        </w:rPr>
        <w:t xml:space="preserve"> (≥85wt.% in H</w:t>
      </w:r>
      <w:r w:rsidRPr="0014365E">
        <w:rPr>
          <w:rFonts w:ascii="Times New Roman" w:hAnsi="Times New Roman"/>
          <w:sz w:val="20"/>
          <w:szCs w:val="20"/>
          <w:vertAlign w:val="subscript"/>
        </w:rPr>
        <w:t>2</w:t>
      </w:r>
      <w:r w:rsidRPr="0014365E">
        <w:rPr>
          <w:rFonts w:ascii="Times New Roman" w:hAnsi="Times New Roman"/>
          <w:sz w:val="20"/>
          <w:szCs w:val="20"/>
        </w:rPr>
        <w:t>O, Sigma-Aldrich) according to the following reaction:</w:t>
      </w:r>
    </w:p>
    <w:p w:rsidR="0014365E" w:rsidRPr="0014365E" w:rsidRDefault="0014365E" w:rsidP="0014365E">
      <w:pPr>
        <w:spacing w:after="0" w:line="240" w:lineRule="auto"/>
        <w:jc w:val="both"/>
        <w:rPr>
          <w:rFonts w:ascii="Times New Roman" w:hAnsi="Times New Roman"/>
          <w:sz w:val="20"/>
          <w:szCs w:val="20"/>
        </w:rPr>
      </w:pPr>
    </w:p>
    <w:p w:rsidR="0014365E" w:rsidRPr="0014365E" w:rsidRDefault="0014365E" w:rsidP="0014365E">
      <w:pPr>
        <w:spacing w:after="0" w:line="240" w:lineRule="auto"/>
        <w:ind w:firstLine="720"/>
        <w:jc w:val="both"/>
        <w:rPr>
          <w:rFonts w:ascii="Times New Roman" w:hAnsi="Times New Roman"/>
          <w:sz w:val="20"/>
          <w:szCs w:val="20"/>
        </w:rPr>
      </w:pPr>
      <w:r w:rsidRPr="0014365E">
        <w:rPr>
          <w:rFonts w:ascii="Times New Roman" w:hAnsi="Times New Roman"/>
          <w:sz w:val="20"/>
          <w:szCs w:val="20"/>
        </w:rPr>
        <w:t>Cs</w:t>
      </w:r>
      <w:r w:rsidRPr="0014365E">
        <w:rPr>
          <w:rFonts w:ascii="Times New Roman" w:hAnsi="Times New Roman"/>
          <w:sz w:val="20"/>
          <w:szCs w:val="20"/>
          <w:vertAlign w:val="subscript"/>
        </w:rPr>
        <w:t>2</w:t>
      </w:r>
      <w:r w:rsidRPr="0014365E">
        <w:rPr>
          <w:rFonts w:ascii="Times New Roman" w:hAnsi="Times New Roman"/>
          <w:sz w:val="20"/>
          <w:szCs w:val="20"/>
        </w:rPr>
        <w:t>CO</w:t>
      </w:r>
      <w:r w:rsidRPr="0014365E">
        <w:rPr>
          <w:rFonts w:ascii="Times New Roman" w:hAnsi="Times New Roman"/>
          <w:sz w:val="20"/>
          <w:szCs w:val="20"/>
          <w:vertAlign w:val="subscript"/>
        </w:rPr>
        <w:t>3</w:t>
      </w:r>
      <w:r w:rsidRPr="0014365E">
        <w:rPr>
          <w:rFonts w:ascii="Times New Roman" w:hAnsi="Times New Roman"/>
          <w:sz w:val="20"/>
          <w:szCs w:val="20"/>
        </w:rPr>
        <w:t xml:space="preserve"> + 2H</w:t>
      </w:r>
      <w:r w:rsidRPr="0014365E">
        <w:rPr>
          <w:rFonts w:ascii="Times New Roman" w:hAnsi="Times New Roman"/>
          <w:sz w:val="20"/>
          <w:szCs w:val="20"/>
          <w:vertAlign w:val="subscript"/>
        </w:rPr>
        <w:t>3</w:t>
      </w:r>
      <w:r w:rsidRPr="0014365E">
        <w:rPr>
          <w:rFonts w:ascii="Times New Roman" w:hAnsi="Times New Roman"/>
          <w:sz w:val="20"/>
          <w:szCs w:val="20"/>
        </w:rPr>
        <w:t>PO</w:t>
      </w:r>
      <w:r w:rsidRPr="0014365E">
        <w:rPr>
          <w:rFonts w:ascii="Times New Roman" w:hAnsi="Times New Roman"/>
          <w:sz w:val="20"/>
          <w:szCs w:val="20"/>
          <w:vertAlign w:val="subscript"/>
        </w:rPr>
        <w:t>4</w:t>
      </w:r>
      <w:r w:rsidRPr="0014365E">
        <w:rPr>
          <w:rFonts w:ascii="Times New Roman" w:eastAsia="Cardo" w:hAnsi="Times New Roman"/>
          <w:sz w:val="20"/>
          <w:szCs w:val="20"/>
        </w:rPr>
        <w:t xml:space="preserve"> → 2CsH</w:t>
      </w:r>
      <w:r w:rsidRPr="0014365E">
        <w:rPr>
          <w:rFonts w:ascii="Times New Roman" w:hAnsi="Times New Roman"/>
          <w:sz w:val="20"/>
          <w:szCs w:val="20"/>
          <w:vertAlign w:val="subscript"/>
        </w:rPr>
        <w:t>2</w:t>
      </w:r>
      <w:r w:rsidRPr="0014365E">
        <w:rPr>
          <w:rFonts w:ascii="Times New Roman" w:hAnsi="Times New Roman"/>
          <w:sz w:val="20"/>
          <w:szCs w:val="20"/>
        </w:rPr>
        <w:t>PO</w:t>
      </w:r>
      <w:r w:rsidRPr="0014365E">
        <w:rPr>
          <w:rFonts w:ascii="Times New Roman" w:hAnsi="Times New Roman"/>
          <w:sz w:val="20"/>
          <w:szCs w:val="20"/>
          <w:vertAlign w:val="subscript"/>
        </w:rPr>
        <w:t>4</w:t>
      </w:r>
      <w:r w:rsidRPr="0014365E">
        <w:rPr>
          <w:rFonts w:ascii="Times New Roman" w:hAnsi="Times New Roman"/>
          <w:sz w:val="20"/>
          <w:szCs w:val="20"/>
        </w:rPr>
        <w:t xml:space="preserve"> + CO</w:t>
      </w:r>
      <w:r w:rsidRPr="0014365E">
        <w:rPr>
          <w:rFonts w:ascii="Times New Roman" w:hAnsi="Times New Roman"/>
          <w:sz w:val="20"/>
          <w:szCs w:val="20"/>
          <w:vertAlign w:val="subscript"/>
        </w:rPr>
        <w:t>2</w:t>
      </w:r>
      <w:r w:rsidRPr="0014365E">
        <w:rPr>
          <w:rFonts w:ascii="Times New Roman" w:hAnsi="Times New Roman"/>
          <w:sz w:val="20"/>
          <w:szCs w:val="20"/>
        </w:rPr>
        <w:t xml:space="preserve"> + H</w:t>
      </w:r>
      <w:r w:rsidRPr="0014365E">
        <w:rPr>
          <w:rFonts w:ascii="Times New Roman" w:hAnsi="Times New Roman"/>
          <w:sz w:val="20"/>
          <w:szCs w:val="20"/>
          <w:vertAlign w:val="subscript"/>
        </w:rPr>
        <w:t>2</w:t>
      </w:r>
      <w:r w:rsidRPr="0014365E">
        <w:rPr>
          <w:rFonts w:ascii="Times New Roman" w:hAnsi="Times New Roman"/>
          <w:sz w:val="20"/>
          <w:szCs w:val="20"/>
        </w:rPr>
        <w:t xml:space="preserve">O </w:t>
      </w:r>
      <w:r w:rsidRPr="0014365E">
        <w:rPr>
          <w:rFonts w:ascii="Times New Roman" w:hAnsi="Times New Roman"/>
          <w:sz w:val="20"/>
          <w:szCs w:val="20"/>
        </w:rPr>
        <w:tab/>
        <w:t xml:space="preserve">      </w:t>
      </w:r>
      <w:r w:rsidRPr="0014365E">
        <w:rPr>
          <w:rFonts w:ascii="Times New Roman" w:hAnsi="Times New Roman"/>
          <w:sz w:val="20"/>
          <w:szCs w:val="20"/>
        </w:rPr>
        <w:tab/>
      </w:r>
      <w:r w:rsidRPr="0014365E">
        <w:rPr>
          <w:rFonts w:ascii="Times New Roman" w:hAnsi="Times New Roman"/>
          <w:sz w:val="20"/>
          <w:szCs w:val="20"/>
        </w:rPr>
        <w:tab/>
      </w:r>
      <w:r w:rsidRPr="0014365E">
        <w:rPr>
          <w:rFonts w:ascii="Times New Roman" w:hAnsi="Times New Roman"/>
          <w:sz w:val="20"/>
          <w:szCs w:val="20"/>
        </w:rPr>
        <w:tab/>
      </w:r>
      <w:r w:rsidRPr="0014365E">
        <w:rPr>
          <w:rFonts w:ascii="Times New Roman" w:hAnsi="Times New Roman"/>
          <w:sz w:val="20"/>
          <w:szCs w:val="20"/>
        </w:rPr>
        <w:tab/>
        <w:t xml:space="preserve">                 </w:t>
      </w:r>
      <w:r>
        <w:rPr>
          <w:rFonts w:ascii="Times New Roman" w:hAnsi="Times New Roman"/>
          <w:sz w:val="20"/>
          <w:szCs w:val="20"/>
        </w:rPr>
        <w:t xml:space="preserve">      </w:t>
      </w:r>
      <w:r w:rsidRPr="0014365E">
        <w:rPr>
          <w:rFonts w:ascii="Times New Roman" w:hAnsi="Times New Roman"/>
          <w:sz w:val="20"/>
          <w:szCs w:val="20"/>
        </w:rPr>
        <w:t>(1)</w:t>
      </w:r>
    </w:p>
    <w:p w:rsidR="0014365E" w:rsidRPr="0014365E" w:rsidRDefault="0014365E" w:rsidP="0014365E">
      <w:pPr>
        <w:spacing w:after="0" w:line="240" w:lineRule="auto"/>
        <w:jc w:val="both"/>
        <w:rPr>
          <w:rFonts w:ascii="Times New Roman" w:hAnsi="Times New Roman"/>
          <w:sz w:val="20"/>
          <w:szCs w:val="20"/>
        </w:rPr>
      </w:pPr>
      <w:r w:rsidRPr="0014365E">
        <w:rPr>
          <w:rFonts w:ascii="Times New Roman" w:hAnsi="Times New Roman"/>
          <w:sz w:val="20"/>
          <w:szCs w:val="20"/>
        </w:rPr>
        <w:tab/>
      </w:r>
    </w:p>
    <w:p w:rsidR="0014365E" w:rsidRPr="0014365E" w:rsidRDefault="0014365E" w:rsidP="0014365E">
      <w:pPr>
        <w:spacing w:after="0" w:line="240" w:lineRule="auto"/>
        <w:jc w:val="both"/>
        <w:rPr>
          <w:rFonts w:ascii="Times New Roman" w:hAnsi="Times New Roman"/>
          <w:sz w:val="20"/>
          <w:szCs w:val="20"/>
        </w:rPr>
      </w:pPr>
      <w:r w:rsidRPr="0014365E">
        <w:rPr>
          <w:rFonts w:ascii="Times New Roman" w:hAnsi="Times New Roman"/>
          <w:sz w:val="20"/>
          <w:szCs w:val="20"/>
        </w:rPr>
        <w:t>In CDP synthesis, a measured amount of Cs</w:t>
      </w:r>
      <w:r w:rsidRPr="0014365E">
        <w:rPr>
          <w:rFonts w:ascii="Times New Roman" w:hAnsi="Times New Roman"/>
          <w:sz w:val="20"/>
          <w:szCs w:val="20"/>
          <w:vertAlign w:val="subscript"/>
        </w:rPr>
        <w:t>2</w:t>
      </w:r>
      <w:r w:rsidRPr="0014365E">
        <w:rPr>
          <w:rFonts w:ascii="Times New Roman" w:hAnsi="Times New Roman"/>
          <w:sz w:val="20"/>
          <w:szCs w:val="20"/>
        </w:rPr>
        <w:t>CO</w:t>
      </w:r>
      <w:r w:rsidRPr="0014365E">
        <w:rPr>
          <w:rFonts w:ascii="Times New Roman" w:hAnsi="Times New Roman"/>
          <w:sz w:val="20"/>
          <w:szCs w:val="20"/>
          <w:vertAlign w:val="subscript"/>
        </w:rPr>
        <w:t>3</w:t>
      </w:r>
      <w:r w:rsidRPr="0014365E">
        <w:rPr>
          <w:rFonts w:ascii="Times New Roman" w:hAnsi="Times New Roman"/>
          <w:sz w:val="20"/>
          <w:szCs w:val="20"/>
        </w:rPr>
        <w:t xml:space="preserve"> was dissolved in distilled water. A surfactant powder, cetyltrimethylammoniumbromide, CTAB (BioXtra</w:t>
      </w:r>
      <w:r w:rsidRPr="0014365E">
        <w:rPr>
          <w:rFonts w:ascii="Times New Roman" w:hAnsi="Times New Roman"/>
          <w:sz w:val="20"/>
          <w:szCs w:val="20"/>
          <w:vertAlign w:val="superscript"/>
        </w:rPr>
        <w:t>®</w:t>
      </w:r>
      <w:r w:rsidRPr="0014365E">
        <w:rPr>
          <w:rFonts w:ascii="Times New Roman" w:eastAsia="Gungsuh" w:hAnsi="Times New Roman"/>
          <w:sz w:val="20"/>
          <w:szCs w:val="20"/>
        </w:rPr>
        <w:t>, ≥99% Sigma-Aldrich, MO, USA), was dissolved in ethanol separately and added to the Cs</w:t>
      </w:r>
      <w:r w:rsidRPr="0014365E">
        <w:rPr>
          <w:rFonts w:ascii="Times New Roman" w:hAnsi="Times New Roman"/>
          <w:sz w:val="20"/>
          <w:szCs w:val="20"/>
          <w:vertAlign w:val="subscript"/>
        </w:rPr>
        <w:t>2</w:t>
      </w:r>
      <w:r w:rsidRPr="0014365E">
        <w:rPr>
          <w:rFonts w:ascii="Times New Roman" w:hAnsi="Times New Roman"/>
          <w:sz w:val="20"/>
          <w:szCs w:val="20"/>
        </w:rPr>
        <w:t>CO</w:t>
      </w:r>
      <w:r w:rsidRPr="0014365E">
        <w:rPr>
          <w:rFonts w:ascii="Times New Roman" w:hAnsi="Times New Roman"/>
          <w:sz w:val="20"/>
          <w:szCs w:val="20"/>
          <w:vertAlign w:val="subscript"/>
        </w:rPr>
        <w:t>3</w:t>
      </w:r>
      <w:r w:rsidRPr="0014365E">
        <w:rPr>
          <w:rFonts w:ascii="Times New Roman" w:hAnsi="Times New Roman"/>
          <w:sz w:val="20"/>
          <w:szCs w:val="20"/>
        </w:rPr>
        <w:t xml:space="preserve"> solution to reduce water surface tension and assist in particle dispersion. The mixture was then stirred for 10 minutes until a clear solution was produced. Phosphoric acid was added dropwise into the mixture with continuous stirring for another 10 minutes. Acetone was added excessively to the mixture while stirring for another 30 minutes. The solution was vacuum filtered to produce CDP as a white precipitate. The synthesised CDP was dried at 130 °C for 24 hours and ground to produce white powder CDP. </w:t>
      </w:r>
    </w:p>
    <w:p w:rsidR="0014365E" w:rsidRPr="0014365E" w:rsidRDefault="0014365E" w:rsidP="0014365E">
      <w:pPr>
        <w:spacing w:after="0" w:line="240" w:lineRule="auto"/>
        <w:ind w:firstLine="567"/>
        <w:jc w:val="both"/>
        <w:rPr>
          <w:rFonts w:ascii="Times New Roman" w:hAnsi="Times New Roman"/>
          <w:sz w:val="20"/>
          <w:szCs w:val="20"/>
        </w:rPr>
      </w:pPr>
    </w:p>
    <w:p w:rsidR="0014365E" w:rsidRPr="0014365E" w:rsidRDefault="0014365E" w:rsidP="0014365E">
      <w:pPr>
        <w:spacing w:after="0" w:line="240" w:lineRule="auto"/>
        <w:jc w:val="both"/>
        <w:rPr>
          <w:rFonts w:ascii="Times New Roman" w:hAnsi="Times New Roman"/>
          <w:sz w:val="20"/>
          <w:szCs w:val="20"/>
        </w:rPr>
      </w:pPr>
      <w:r w:rsidRPr="0014365E">
        <w:rPr>
          <w:rFonts w:ascii="Times New Roman" w:hAnsi="Times New Roman"/>
          <w:sz w:val="20"/>
          <w:szCs w:val="20"/>
        </w:rPr>
        <w:t>Mixed-salt solid acid composites CsNa</w:t>
      </w:r>
      <w:r w:rsidRPr="0014365E">
        <w:rPr>
          <w:rFonts w:ascii="Times New Roman" w:hAnsi="Times New Roman"/>
          <w:sz w:val="20"/>
          <w:szCs w:val="20"/>
          <w:vertAlign w:val="subscript"/>
        </w:rPr>
        <w:t>x</w:t>
      </w:r>
      <w:r w:rsidRPr="0014365E">
        <w:rPr>
          <w:rFonts w:ascii="Times New Roman" w:hAnsi="Times New Roman"/>
          <w:sz w:val="20"/>
          <w:szCs w:val="20"/>
        </w:rPr>
        <w:t>H</w:t>
      </w:r>
      <w:r w:rsidRPr="0014365E">
        <w:rPr>
          <w:rFonts w:ascii="Times New Roman" w:hAnsi="Times New Roman"/>
          <w:sz w:val="20"/>
          <w:szCs w:val="20"/>
          <w:vertAlign w:val="subscript"/>
        </w:rPr>
        <w:t>2</w:t>
      </w:r>
      <w:r w:rsidRPr="0014365E">
        <w:rPr>
          <w:rFonts w:ascii="Times New Roman" w:hAnsi="Times New Roman"/>
          <w:sz w:val="20"/>
          <w:szCs w:val="20"/>
        </w:rPr>
        <w:t>PO</w:t>
      </w:r>
      <w:r w:rsidRPr="0014365E">
        <w:rPr>
          <w:rFonts w:ascii="Times New Roman" w:hAnsi="Times New Roman"/>
          <w:sz w:val="20"/>
          <w:szCs w:val="20"/>
          <w:vertAlign w:val="subscript"/>
        </w:rPr>
        <w:t>4</w:t>
      </w:r>
      <w:r w:rsidRPr="0014365E">
        <w:rPr>
          <w:rFonts w:ascii="Times New Roman" w:hAnsi="Times New Roman"/>
          <w:sz w:val="20"/>
          <w:szCs w:val="20"/>
        </w:rPr>
        <w:t>/ySiO</w:t>
      </w:r>
      <w:r w:rsidRPr="0014365E">
        <w:rPr>
          <w:rFonts w:ascii="Times New Roman" w:hAnsi="Times New Roman"/>
          <w:sz w:val="20"/>
          <w:szCs w:val="20"/>
          <w:vertAlign w:val="subscript"/>
        </w:rPr>
        <w:t>2</w:t>
      </w:r>
      <w:r w:rsidRPr="0014365E">
        <w:rPr>
          <w:rFonts w:ascii="Times New Roman" w:hAnsi="Times New Roman"/>
          <w:sz w:val="20"/>
          <w:szCs w:val="20"/>
        </w:rPr>
        <w:t xml:space="preserve"> (where x and y equals 0.1, 0.2 and 0.3) were synthesised by mechanical grinding of individual salts CDP, SDP (ReagentPlus</w:t>
      </w:r>
      <w:r w:rsidRPr="0014365E">
        <w:rPr>
          <w:rFonts w:ascii="Times New Roman" w:hAnsi="Times New Roman"/>
          <w:sz w:val="20"/>
          <w:szCs w:val="20"/>
          <w:vertAlign w:val="superscript"/>
        </w:rPr>
        <w:t>®</w:t>
      </w:r>
      <w:r w:rsidRPr="0014365E">
        <w:rPr>
          <w:rFonts w:ascii="Times New Roman" w:eastAsia="Gungsuh" w:hAnsi="Times New Roman"/>
          <w:sz w:val="20"/>
          <w:szCs w:val="20"/>
        </w:rPr>
        <w:t>, ≥99% Sigma-Aldrich, MO, USA) and SiO</w:t>
      </w:r>
      <w:r w:rsidRPr="0014365E">
        <w:rPr>
          <w:rFonts w:ascii="Times New Roman" w:hAnsi="Times New Roman"/>
          <w:sz w:val="20"/>
          <w:szCs w:val="20"/>
          <w:vertAlign w:val="subscript"/>
        </w:rPr>
        <w:t>2</w:t>
      </w:r>
      <w:r w:rsidRPr="0014365E">
        <w:rPr>
          <w:rFonts w:ascii="Times New Roman" w:hAnsi="Times New Roman"/>
          <w:sz w:val="20"/>
          <w:szCs w:val="20"/>
        </w:rPr>
        <w:t xml:space="preserve"> (purum p.a. powder, Sigma-Aldrich, MO, USA, 63 µm particle size). The composite powders were then pressed at 3, 4 and 5 tonnes cm</w:t>
      </w:r>
      <w:r w:rsidRPr="0014365E">
        <w:rPr>
          <w:rFonts w:ascii="Times New Roman" w:hAnsi="Times New Roman"/>
          <w:sz w:val="20"/>
          <w:szCs w:val="20"/>
          <w:vertAlign w:val="superscript"/>
        </w:rPr>
        <w:t xml:space="preserve">-2 </w:t>
      </w:r>
      <w:r w:rsidRPr="0014365E">
        <w:rPr>
          <w:rFonts w:ascii="Times New Roman" w:hAnsi="Times New Roman"/>
          <w:sz w:val="20"/>
          <w:szCs w:val="20"/>
        </w:rPr>
        <w:t>to form pellets of 1 mm thickness and 13 mm diameter followed by sintering at 230 °C for 1 hour. The pellets were painted with silver conductive paint to serve as the current collector and then connected to an impedance analyser (Metrohm Autolab B.V., The Netherlands).</w:t>
      </w:r>
    </w:p>
    <w:p w:rsidR="0014365E" w:rsidRPr="0014365E" w:rsidRDefault="0014365E" w:rsidP="0014365E">
      <w:pPr>
        <w:spacing w:after="0" w:line="240" w:lineRule="auto"/>
        <w:ind w:firstLine="567"/>
        <w:jc w:val="both"/>
        <w:rPr>
          <w:rFonts w:ascii="Times New Roman" w:hAnsi="Times New Roman"/>
          <w:sz w:val="20"/>
          <w:szCs w:val="20"/>
        </w:rPr>
      </w:pPr>
    </w:p>
    <w:p w:rsidR="0014365E" w:rsidRPr="0014365E" w:rsidRDefault="0014365E" w:rsidP="0014365E">
      <w:pPr>
        <w:spacing w:after="0" w:line="240" w:lineRule="auto"/>
        <w:jc w:val="both"/>
        <w:rPr>
          <w:rFonts w:ascii="Times New Roman" w:hAnsi="Times New Roman"/>
          <w:sz w:val="20"/>
          <w:szCs w:val="20"/>
        </w:rPr>
      </w:pPr>
      <w:r w:rsidRPr="0014365E">
        <w:rPr>
          <w:rFonts w:ascii="Times New Roman" w:hAnsi="Times New Roman"/>
          <w:sz w:val="20"/>
          <w:szCs w:val="20"/>
        </w:rPr>
        <w:t>Impedance readings were taken at several operating temperatures (210, 230 and 250 °C) with a frequency of 1.0 × 10</w:t>
      </w:r>
      <w:r w:rsidRPr="0014365E">
        <w:rPr>
          <w:rFonts w:ascii="Times New Roman" w:hAnsi="Times New Roman"/>
          <w:sz w:val="20"/>
          <w:szCs w:val="20"/>
          <w:vertAlign w:val="superscript"/>
        </w:rPr>
        <w:t>-2</w:t>
      </w:r>
      <w:r w:rsidRPr="0014365E">
        <w:rPr>
          <w:rFonts w:ascii="Times New Roman" w:hAnsi="Times New Roman"/>
          <w:sz w:val="20"/>
          <w:szCs w:val="20"/>
        </w:rPr>
        <w:t xml:space="preserve"> to 1.0 × 10</w:t>
      </w:r>
      <w:r w:rsidRPr="0014365E">
        <w:rPr>
          <w:rFonts w:ascii="Times New Roman" w:hAnsi="Times New Roman"/>
          <w:sz w:val="20"/>
          <w:szCs w:val="20"/>
          <w:vertAlign w:val="superscript"/>
        </w:rPr>
        <w:t xml:space="preserve">6 </w:t>
      </w:r>
      <w:r w:rsidRPr="0014365E">
        <w:rPr>
          <w:rFonts w:ascii="Times New Roman" w:hAnsi="Times New Roman"/>
          <w:sz w:val="20"/>
          <w:szCs w:val="20"/>
        </w:rPr>
        <w:t>Hz and a current of 0.01 A. The measured data were analysed using the Nova software packaged with the FRA2 module. The resistance value (</w:t>
      </w:r>
      <w:r w:rsidRPr="0014365E">
        <w:rPr>
          <w:rFonts w:ascii="Times New Roman" w:hAnsi="Times New Roman"/>
          <w:i/>
          <w:sz w:val="20"/>
          <w:szCs w:val="20"/>
        </w:rPr>
        <w:t>R</w:t>
      </w:r>
      <w:r w:rsidRPr="0014365E">
        <w:rPr>
          <w:rFonts w:ascii="Times New Roman" w:hAnsi="Times New Roman"/>
          <w:sz w:val="20"/>
          <w:szCs w:val="20"/>
        </w:rPr>
        <w:t xml:space="preserve">) was determined from the impedance data plotted on real and imaginary axes Z’ and Z”, respectively, known as the Nyquist plot. The curve is fitted using the equivalent circuit as in Figure 1. The proton conductivity value σ for each composite is calculated using </w:t>
      </w:r>
      <w:r w:rsidRPr="0014365E">
        <w:rPr>
          <w:rFonts w:ascii="Times New Roman" w:hAnsi="Times New Roman"/>
          <w:i/>
          <w:sz w:val="20"/>
          <w:szCs w:val="20"/>
        </w:rPr>
        <w:t>R</w:t>
      </w:r>
      <w:r w:rsidRPr="0014365E">
        <w:rPr>
          <w:rFonts w:ascii="Times New Roman" w:hAnsi="Times New Roman"/>
          <w:sz w:val="20"/>
          <w:szCs w:val="20"/>
        </w:rPr>
        <w:t xml:space="preserve"> and is given by equation 2:</w:t>
      </w:r>
    </w:p>
    <w:p w:rsidR="0014365E" w:rsidRPr="0014365E" w:rsidRDefault="0014365E" w:rsidP="0014365E">
      <w:pPr>
        <w:spacing w:after="0" w:line="240" w:lineRule="auto"/>
        <w:jc w:val="both"/>
        <w:rPr>
          <w:rFonts w:ascii="Times New Roman" w:hAnsi="Times New Roman"/>
          <w:sz w:val="20"/>
          <w:szCs w:val="20"/>
        </w:rPr>
      </w:pPr>
    </w:p>
    <w:p w:rsidR="0014365E" w:rsidRPr="0014365E" w:rsidRDefault="0014365E" w:rsidP="0014365E">
      <w:pPr>
        <w:spacing w:after="0" w:line="240" w:lineRule="auto"/>
        <w:ind w:firstLine="720"/>
        <w:jc w:val="both"/>
        <w:rPr>
          <w:rFonts w:ascii="Times New Roman" w:hAnsi="Times New Roman"/>
          <w:sz w:val="20"/>
          <w:szCs w:val="20"/>
        </w:rPr>
      </w:pPr>
      <w:r w:rsidRPr="0014365E">
        <w:rPr>
          <w:rFonts w:ascii="Times New Roman" w:hAnsi="Times New Roman"/>
          <w:sz w:val="20"/>
          <w:szCs w:val="20"/>
        </w:rPr>
        <w:t>Conductivity, σ (Scm</w:t>
      </w:r>
      <w:r w:rsidRPr="0014365E">
        <w:rPr>
          <w:rFonts w:ascii="Times New Roman" w:hAnsi="Times New Roman"/>
          <w:sz w:val="20"/>
          <w:szCs w:val="20"/>
          <w:vertAlign w:val="superscript"/>
        </w:rPr>
        <w:t>-1</w:t>
      </w:r>
      <w:r w:rsidRPr="0014365E">
        <w:rPr>
          <w:rFonts w:ascii="Times New Roman" w:hAnsi="Times New Roman"/>
          <w:sz w:val="20"/>
          <w:szCs w:val="20"/>
        </w:rPr>
        <w:t xml:space="preserve">) = </w:t>
      </w:r>
      <m:oMath>
        <m:f>
          <m:fPr>
            <m:ctrlPr>
              <w:rPr>
                <w:rFonts w:ascii="Cambria Math" w:eastAsia="Cambria" w:hAnsi="Cambria Math"/>
                <w:sz w:val="20"/>
                <w:szCs w:val="20"/>
              </w:rPr>
            </m:ctrlPr>
          </m:fPr>
          <m:num>
            <m:f>
              <m:fPr>
                <m:ctrlPr>
                  <w:rPr>
                    <w:rFonts w:ascii="Cambria Math" w:eastAsia="Cambria" w:hAnsi="Cambria Math"/>
                    <w:sz w:val="20"/>
                    <w:szCs w:val="20"/>
                  </w:rPr>
                </m:ctrlPr>
              </m:fPr>
              <m:num>
                <m:r>
                  <w:rPr>
                    <w:rFonts w:ascii="Cambria Math" w:eastAsia="Cambria" w:hAnsi="Cambria Math"/>
                    <w:sz w:val="20"/>
                    <w:szCs w:val="20"/>
                  </w:rPr>
                  <m:t>1</m:t>
                </m:r>
              </m:num>
              <m:den>
                <m:r>
                  <w:rPr>
                    <w:rFonts w:ascii="Cambria Math" w:eastAsia="Cambria" w:hAnsi="Cambria Math"/>
                    <w:sz w:val="20"/>
                    <w:szCs w:val="20"/>
                  </w:rPr>
                  <m:t>R(</m:t>
                </m:r>
              </m:den>
            </m:f>
            <m:r>
              <w:rPr>
                <w:rFonts w:ascii="Cambria Math" w:eastAsia="Cambria" w:hAnsi="Cambria Math"/>
                <w:sz w:val="20"/>
                <w:szCs w:val="20"/>
              </w:rPr>
              <m:t>Ω)</m:t>
            </m:r>
          </m:num>
          <m:den>
            <m:f>
              <m:fPr>
                <m:ctrlPr>
                  <w:rPr>
                    <w:rFonts w:ascii="Cambria Math" w:eastAsia="Cambria" w:hAnsi="Cambria Math"/>
                    <w:sz w:val="20"/>
                    <w:szCs w:val="20"/>
                  </w:rPr>
                </m:ctrlPr>
              </m:fPr>
              <m:num>
                <m:r>
                  <w:rPr>
                    <w:rFonts w:ascii="Cambria Math" w:eastAsia="Cambria" w:hAnsi="Cambria Math"/>
                    <w:sz w:val="20"/>
                    <w:szCs w:val="20"/>
                  </w:rPr>
                  <m:t>A(</m:t>
                </m:r>
                <m:sSup>
                  <m:sSupPr>
                    <m:ctrlPr>
                      <w:rPr>
                        <w:rFonts w:ascii="Cambria Math" w:eastAsia="Cambria" w:hAnsi="Cambria Math"/>
                        <w:sz w:val="20"/>
                        <w:szCs w:val="20"/>
                      </w:rPr>
                    </m:ctrlPr>
                  </m:sSupPr>
                  <m:e>
                    <m:r>
                      <w:rPr>
                        <w:rFonts w:ascii="Cambria Math" w:eastAsia="Cambria" w:hAnsi="Cambria Math"/>
                        <w:sz w:val="20"/>
                        <w:szCs w:val="20"/>
                      </w:rPr>
                      <m:t>cm</m:t>
                    </m:r>
                  </m:e>
                  <m:sup>
                    <m:r>
                      <w:rPr>
                        <w:rFonts w:ascii="Cambria Math" w:eastAsia="Cambria" w:hAnsi="Cambria Math"/>
                        <w:sz w:val="20"/>
                        <w:szCs w:val="20"/>
                      </w:rPr>
                      <m:t>2</m:t>
                    </m:r>
                  </m:sup>
                </m:sSup>
                <m:r>
                  <w:rPr>
                    <w:rFonts w:ascii="Cambria Math" w:eastAsia="Cambria" w:hAnsi="Cambria Math"/>
                    <w:sz w:val="20"/>
                    <w:szCs w:val="20"/>
                  </w:rPr>
                  <m:t>)</m:t>
                </m:r>
              </m:num>
              <m:den>
                <m:r>
                  <w:rPr>
                    <w:rFonts w:ascii="Cambria Math" w:eastAsia="Cambria" w:hAnsi="Cambria Math"/>
                    <w:sz w:val="20"/>
                    <w:szCs w:val="20"/>
                  </w:rPr>
                  <m:t>l(cm)</m:t>
                </m:r>
              </m:den>
            </m:f>
          </m:den>
        </m:f>
      </m:oMath>
      <w:r w:rsidRPr="0014365E">
        <w:rPr>
          <w:rFonts w:ascii="Times New Roman" w:hAnsi="Times New Roman"/>
          <w:sz w:val="20"/>
          <w:szCs w:val="20"/>
        </w:rPr>
        <w:tab/>
      </w:r>
      <w:r w:rsidRPr="0014365E">
        <w:rPr>
          <w:rFonts w:ascii="Times New Roman" w:hAnsi="Times New Roman"/>
          <w:sz w:val="20"/>
          <w:szCs w:val="20"/>
        </w:rPr>
        <w:tab/>
      </w:r>
      <w:r w:rsidRPr="0014365E">
        <w:rPr>
          <w:rFonts w:ascii="Times New Roman" w:hAnsi="Times New Roman"/>
          <w:sz w:val="20"/>
          <w:szCs w:val="20"/>
        </w:rPr>
        <w:tab/>
      </w:r>
      <w:r w:rsidRPr="0014365E">
        <w:rPr>
          <w:rFonts w:ascii="Times New Roman" w:hAnsi="Times New Roman"/>
          <w:sz w:val="20"/>
          <w:szCs w:val="20"/>
        </w:rPr>
        <w:tab/>
      </w:r>
      <w:r w:rsidRPr="0014365E">
        <w:rPr>
          <w:rFonts w:ascii="Times New Roman" w:hAnsi="Times New Roman"/>
          <w:sz w:val="20"/>
          <w:szCs w:val="20"/>
        </w:rPr>
        <w:tab/>
      </w:r>
      <w:r w:rsidRPr="0014365E">
        <w:rPr>
          <w:rFonts w:ascii="Times New Roman" w:hAnsi="Times New Roman"/>
          <w:sz w:val="20"/>
          <w:szCs w:val="20"/>
        </w:rPr>
        <w:tab/>
        <w:t xml:space="preserve">   </w:t>
      </w:r>
      <w:r w:rsidRPr="0014365E">
        <w:rPr>
          <w:rFonts w:ascii="Times New Roman" w:hAnsi="Times New Roman"/>
          <w:sz w:val="20"/>
          <w:szCs w:val="20"/>
        </w:rPr>
        <w:tab/>
      </w:r>
      <w:r w:rsidRPr="0014365E">
        <w:rPr>
          <w:rFonts w:ascii="Times New Roman" w:hAnsi="Times New Roman"/>
          <w:sz w:val="20"/>
          <w:szCs w:val="20"/>
        </w:rPr>
        <w:tab/>
        <w:t xml:space="preserve">  </w:t>
      </w:r>
      <w:r>
        <w:rPr>
          <w:rFonts w:ascii="Times New Roman" w:hAnsi="Times New Roman"/>
          <w:sz w:val="20"/>
          <w:szCs w:val="20"/>
        </w:rPr>
        <w:t xml:space="preserve">      </w:t>
      </w:r>
      <w:r w:rsidRPr="0014365E">
        <w:rPr>
          <w:rFonts w:ascii="Times New Roman" w:hAnsi="Times New Roman"/>
          <w:sz w:val="20"/>
          <w:szCs w:val="20"/>
        </w:rPr>
        <w:t xml:space="preserve"> (2)</w:t>
      </w:r>
    </w:p>
    <w:p w:rsidR="0014365E" w:rsidRPr="0014365E" w:rsidRDefault="0014365E" w:rsidP="0014365E">
      <w:pPr>
        <w:spacing w:after="0" w:line="240" w:lineRule="auto"/>
        <w:jc w:val="both"/>
        <w:rPr>
          <w:rFonts w:ascii="Times New Roman" w:hAnsi="Times New Roman"/>
          <w:sz w:val="20"/>
          <w:szCs w:val="20"/>
        </w:rPr>
      </w:pPr>
    </w:p>
    <w:p w:rsidR="0014365E" w:rsidRDefault="0014365E" w:rsidP="0014365E">
      <w:pPr>
        <w:spacing w:after="0" w:line="240" w:lineRule="auto"/>
        <w:jc w:val="both"/>
        <w:rPr>
          <w:rFonts w:ascii="Times New Roman" w:hAnsi="Times New Roman"/>
          <w:sz w:val="20"/>
          <w:szCs w:val="20"/>
        </w:rPr>
      </w:pPr>
      <w:r w:rsidRPr="0014365E">
        <w:rPr>
          <w:rFonts w:ascii="Times New Roman" w:hAnsi="Times New Roman"/>
          <w:sz w:val="20"/>
          <w:szCs w:val="20"/>
        </w:rPr>
        <w:t xml:space="preserve">where </w:t>
      </w:r>
      <w:r w:rsidRPr="0014365E">
        <w:rPr>
          <w:rFonts w:ascii="Times New Roman" w:hAnsi="Times New Roman"/>
          <w:i/>
          <w:sz w:val="20"/>
          <w:szCs w:val="20"/>
        </w:rPr>
        <w:t>A</w:t>
      </w:r>
      <w:r w:rsidRPr="0014365E">
        <w:rPr>
          <w:rFonts w:ascii="Times New Roman" w:hAnsi="Times New Roman"/>
          <w:sz w:val="20"/>
          <w:szCs w:val="20"/>
        </w:rPr>
        <w:t xml:space="preserve"> is the sectional area, and </w:t>
      </w:r>
      <w:r w:rsidRPr="0014365E">
        <w:rPr>
          <w:rFonts w:ascii="Times New Roman" w:hAnsi="Times New Roman"/>
          <w:i/>
          <w:sz w:val="20"/>
          <w:szCs w:val="20"/>
        </w:rPr>
        <w:t>l</w:t>
      </w:r>
      <w:r w:rsidRPr="0014365E">
        <w:rPr>
          <w:rFonts w:ascii="Times New Roman" w:hAnsi="Times New Roman"/>
          <w:sz w:val="20"/>
          <w:szCs w:val="20"/>
        </w:rPr>
        <w:t xml:space="preserve"> is the thickness of the pellet.</w:t>
      </w:r>
    </w:p>
    <w:p w:rsidR="0014365E" w:rsidRPr="0014365E" w:rsidRDefault="0014365E" w:rsidP="0014365E">
      <w:pPr>
        <w:spacing w:after="120" w:line="240" w:lineRule="auto"/>
        <w:jc w:val="both"/>
        <w:rPr>
          <w:rFonts w:ascii="Times New Roman" w:hAnsi="Times New Roman"/>
          <w:sz w:val="20"/>
          <w:szCs w:val="20"/>
        </w:rPr>
      </w:pPr>
    </w:p>
    <w:p w:rsidR="0014365E" w:rsidRPr="0014365E" w:rsidRDefault="0014365E" w:rsidP="0014365E">
      <w:pPr>
        <w:spacing w:after="120" w:line="240" w:lineRule="auto"/>
        <w:jc w:val="center"/>
        <w:rPr>
          <w:rFonts w:ascii="Times New Roman" w:hAnsi="Times New Roman"/>
          <w:sz w:val="20"/>
          <w:szCs w:val="20"/>
        </w:rPr>
      </w:pPr>
      <w:r w:rsidRPr="0014365E">
        <w:rPr>
          <w:rFonts w:ascii="Times New Roman" w:hAnsi="Times New Roman"/>
          <w:noProof/>
          <w:sz w:val="20"/>
          <w:szCs w:val="20"/>
          <w:lang w:bidi="ar-SA"/>
        </w:rPr>
        <w:drawing>
          <wp:inline distT="0" distB="0" distL="0" distR="0" wp14:anchorId="4E751978" wp14:editId="7D5EDFCA">
            <wp:extent cx="3009900" cy="1365250"/>
            <wp:effectExtent l="19050" t="19050" r="19050" b="25400"/>
            <wp:docPr id="2" name="image3.jpg" descr="C:\Users\NORSYA26\Dropbox\MY RESEARCH FILES\PhD 2016\Manuskrip baru to Composites Part A (rejected,submit to JALCOM)\Submission 29 Apr\Figure 1.jpg"/>
            <wp:cNvGraphicFramePr/>
            <a:graphic xmlns:a="http://schemas.openxmlformats.org/drawingml/2006/main">
              <a:graphicData uri="http://schemas.openxmlformats.org/drawingml/2006/picture">
                <pic:pic xmlns:pic="http://schemas.openxmlformats.org/drawingml/2006/picture">
                  <pic:nvPicPr>
                    <pic:cNvPr id="0" name="image3.jpg" descr="C:\Users\NORSYA26\Dropbox\MY RESEARCH FILES\PhD 2016\Manuskrip baru to Composites Part A (rejected,submit to JALCOM)\Submission 29 Apr\Figure 1.jpg"/>
                    <pic:cNvPicPr preferRelativeResize="0"/>
                  </pic:nvPicPr>
                  <pic:blipFill>
                    <a:blip r:embed="rId11"/>
                    <a:srcRect/>
                    <a:stretch>
                      <a:fillRect/>
                    </a:stretch>
                  </pic:blipFill>
                  <pic:spPr>
                    <a:xfrm>
                      <a:off x="0" y="0"/>
                      <a:ext cx="3009900" cy="1365250"/>
                    </a:xfrm>
                    <a:prstGeom prst="rect">
                      <a:avLst/>
                    </a:prstGeom>
                    <a:ln>
                      <a:solidFill>
                        <a:schemeClr val="tx1"/>
                      </a:solidFill>
                    </a:ln>
                  </pic:spPr>
                </pic:pic>
              </a:graphicData>
            </a:graphic>
          </wp:inline>
        </w:drawing>
      </w:r>
    </w:p>
    <w:p w:rsidR="0014365E" w:rsidRPr="0014365E" w:rsidRDefault="0014365E" w:rsidP="0014365E">
      <w:pPr>
        <w:spacing w:after="0" w:line="240" w:lineRule="auto"/>
        <w:jc w:val="center"/>
        <w:rPr>
          <w:rFonts w:ascii="Times New Roman" w:hAnsi="Times New Roman"/>
          <w:sz w:val="20"/>
          <w:szCs w:val="20"/>
        </w:rPr>
      </w:pPr>
      <w:r w:rsidRPr="0014365E">
        <w:rPr>
          <w:rFonts w:ascii="Times New Roman" w:hAnsi="Times New Roman"/>
          <w:sz w:val="20"/>
          <w:szCs w:val="20"/>
        </w:rPr>
        <w:t xml:space="preserve">Figure 1. </w:t>
      </w:r>
      <w:r>
        <w:rPr>
          <w:rFonts w:ascii="Times New Roman" w:hAnsi="Times New Roman"/>
          <w:sz w:val="20"/>
          <w:szCs w:val="20"/>
        </w:rPr>
        <w:t xml:space="preserve"> </w:t>
      </w:r>
      <w:r w:rsidRPr="0014365E">
        <w:rPr>
          <w:rFonts w:ascii="Times New Roman" w:hAnsi="Times New Roman"/>
          <w:sz w:val="20"/>
          <w:szCs w:val="20"/>
        </w:rPr>
        <w:t>Equivalent circuit used to analyse the impedance data</w:t>
      </w:r>
    </w:p>
    <w:p w:rsidR="0014365E" w:rsidRPr="0014365E" w:rsidRDefault="0014365E" w:rsidP="0014365E">
      <w:pPr>
        <w:spacing w:after="120" w:line="240" w:lineRule="auto"/>
        <w:jc w:val="both"/>
        <w:rPr>
          <w:rFonts w:ascii="Times New Roman" w:hAnsi="Times New Roman"/>
          <w:sz w:val="20"/>
          <w:szCs w:val="20"/>
        </w:rPr>
      </w:pPr>
    </w:p>
    <w:p w:rsidR="0014365E" w:rsidRPr="0014365E" w:rsidRDefault="0014365E" w:rsidP="0014365E">
      <w:pPr>
        <w:spacing w:after="0" w:line="240" w:lineRule="auto"/>
        <w:jc w:val="both"/>
        <w:rPr>
          <w:rFonts w:ascii="Times New Roman" w:hAnsi="Times New Roman"/>
          <w:sz w:val="20"/>
          <w:szCs w:val="20"/>
        </w:rPr>
      </w:pPr>
      <w:r w:rsidRPr="0014365E">
        <w:rPr>
          <w:rFonts w:ascii="Times New Roman" w:hAnsi="Times New Roman"/>
          <w:sz w:val="20"/>
          <w:szCs w:val="20"/>
        </w:rPr>
        <w:t>The Taguchi method was applied to identify the effect of composition and process parameter on the conductivity of mixed-salt composite CDP/SDP/SiO</w:t>
      </w:r>
      <w:r w:rsidRPr="0014365E">
        <w:rPr>
          <w:rFonts w:ascii="Times New Roman" w:hAnsi="Times New Roman"/>
          <w:sz w:val="20"/>
          <w:szCs w:val="20"/>
          <w:vertAlign w:val="subscript"/>
        </w:rPr>
        <w:t>2</w:t>
      </w:r>
      <w:r w:rsidRPr="0014365E">
        <w:rPr>
          <w:rFonts w:ascii="Times New Roman" w:hAnsi="Times New Roman"/>
          <w:sz w:val="20"/>
          <w:szCs w:val="20"/>
        </w:rPr>
        <w:t>. The selected DOE was Taguchi L9 orthogonal array, which manipulates four factors and three levels. DOE calculations were performed manually in an Excel spreadsheet and validated by a DOE software (Design-Expert</w:t>
      </w:r>
      <w:r w:rsidRPr="0014365E">
        <w:rPr>
          <w:rFonts w:ascii="Times New Roman" w:hAnsi="Times New Roman"/>
          <w:sz w:val="20"/>
          <w:szCs w:val="20"/>
          <w:vertAlign w:val="superscript"/>
        </w:rPr>
        <w:t>®</w:t>
      </w:r>
      <w:r w:rsidRPr="0014365E">
        <w:rPr>
          <w:rFonts w:ascii="Times New Roman" w:hAnsi="Times New Roman"/>
          <w:sz w:val="20"/>
          <w:szCs w:val="20"/>
        </w:rPr>
        <w:t xml:space="preserve"> Version 6.0.10, Stat-Ease, Inc.).</w:t>
      </w:r>
    </w:p>
    <w:p w:rsidR="0014365E" w:rsidRPr="0014365E" w:rsidRDefault="0014365E" w:rsidP="0014365E">
      <w:pPr>
        <w:spacing w:after="0" w:line="240" w:lineRule="auto"/>
        <w:ind w:firstLine="567"/>
        <w:jc w:val="both"/>
        <w:rPr>
          <w:rFonts w:ascii="Times New Roman" w:hAnsi="Times New Roman"/>
          <w:sz w:val="20"/>
          <w:szCs w:val="20"/>
        </w:rPr>
      </w:pPr>
    </w:p>
    <w:p w:rsidR="0014365E" w:rsidRPr="0014365E" w:rsidRDefault="0014365E" w:rsidP="0014365E">
      <w:pPr>
        <w:spacing w:after="0" w:line="240" w:lineRule="auto"/>
        <w:jc w:val="both"/>
        <w:rPr>
          <w:rFonts w:ascii="Times New Roman" w:hAnsi="Times New Roman"/>
          <w:sz w:val="20"/>
          <w:szCs w:val="20"/>
        </w:rPr>
      </w:pPr>
      <w:r w:rsidRPr="0014365E">
        <w:rPr>
          <w:rFonts w:ascii="Times New Roman" w:hAnsi="Times New Roman"/>
          <w:sz w:val="20"/>
          <w:szCs w:val="20"/>
        </w:rPr>
        <w:t>The selected four factors are the amount of SDP, the amount of SiO</w:t>
      </w:r>
      <w:r w:rsidRPr="0014365E">
        <w:rPr>
          <w:rFonts w:ascii="Times New Roman" w:hAnsi="Times New Roman"/>
          <w:sz w:val="20"/>
          <w:szCs w:val="20"/>
          <w:vertAlign w:val="subscript"/>
        </w:rPr>
        <w:t>2</w:t>
      </w:r>
      <w:r w:rsidRPr="0014365E">
        <w:rPr>
          <w:rFonts w:ascii="Times New Roman" w:hAnsi="Times New Roman"/>
          <w:sz w:val="20"/>
          <w:szCs w:val="20"/>
        </w:rPr>
        <w:t>, the pressure used for pellet production and the operating temperature. Table 1 presents the three levels selected for each of the factors. The amount of SDP in terms of mole fraction to CDP was limited between 0.1 and 0.3. Such limitation was applied because of the findings by Martsinkevich and Ponomareva that solid solutions exist between that range, whereas larger mole fractions resulted in individual SDP properties as measured by X-ray diffraction [</w:t>
      </w:r>
      <w:hyperlink w:anchor="_17dp8vu">
        <w:r w:rsidRPr="0014365E">
          <w:rPr>
            <w:rFonts w:ascii="Times New Roman" w:hAnsi="Times New Roman"/>
            <w:sz w:val="20"/>
            <w:szCs w:val="20"/>
          </w:rPr>
          <w:t>10</w:t>
        </w:r>
      </w:hyperlink>
      <w:r w:rsidRPr="0014365E">
        <w:rPr>
          <w:rFonts w:ascii="Times New Roman" w:hAnsi="Times New Roman"/>
          <w:sz w:val="20"/>
          <w:szCs w:val="20"/>
        </w:rPr>
        <w:t>]. SiO</w:t>
      </w:r>
      <w:r w:rsidRPr="0014365E">
        <w:rPr>
          <w:rFonts w:ascii="Times New Roman" w:hAnsi="Times New Roman"/>
          <w:sz w:val="20"/>
          <w:szCs w:val="20"/>
          <w:vertAlign w:val="subscript"/>
        </w:rPr>
        <w:t>2</w:t>
      </w:r>
      <w:r w:rsidRPr="0014365E">
        <w:rPr>
          <w:rFonts w:ascii="Times New Roman" w:hAnsi="Times New Roman"/>
          <w:sz w:val="20"/>
          <w:szCs w:val="20"/>
        </w:rPr>
        <w:t xml:space="preserve"> mole fraction lower than 0.3 caused higher conductivity for solid acid composites at temperatures higher than 180 °C [</w:t>
      </w:r>
      <w:hyperlink w:anchor="_3rdcrjn">
        <w:r w:rsidRPr="0014365E">
          <w:rPr>
            <w:rFonts w:ascii="Times New Roman" w:hAnsi="Times New Roman"/>
            <w:sz w:val="20"/>
            <w:szCs w:val="20"/>
          </w:rPr>
          <w:t>11</w:t>
        </w:r>
      </w:hyperlink>
      <w:r w:rsidRPr="0014365E">
        <w:rPr>
          <w:rFonts w:ascii="Times New Roman" w:hAnsi="Times New Roman"/>
          <w:sz w:val="20"/>
          <w:szCs w:val="20"/>
        </w:rPr>
        <w:t>]. Therefore, the SiO</w:t>
      </w:r>
      <w:r w:rsidRPr="0014365E">
        <w:rPr>
          <w:rFonts w:ascii="Times New Roman" w:hAnsi="Times New Roman"/>
          <w:sz w:val="20"/>
          <w:szCs w:val="20"/>
          <w:vertAlign w:val="subscript"/>
        </w:rPr>
        <w:t>2</w:t>
      </w:r>
      <w:r w:rsidRPr="0014365E">
        <w:rPr>
          <w:rFonts w:ascii="Times New Roman" w:hAnsi="Times New Roman"/>
          <w:sz w:val="20"/>
          <w:szCs w:val="20"/>
        </w:rPr>
        <w:t xml:space="preserve"> range of 0.1 to 0.3 mole fractions was chosen for this study. The pressure applied during pellet production was fixed between 3 to 5 tonnes cm</w:t>
      </w:r>
      <w:r w:rsidRPr="0014365E">
        <w:rPr>
          <w:rFonts w:ascii="Times New Roman" w:hAnsi="Times New Roman"/>
          <w:sz w:val="20"/>
          <w:szCs w:val="20"/>
          <w:vertAlign w:val="superscript"/>
        </w:rPr>
        <w:t xml:space="preserve">-2 </w:t>
      </w:r>
      <w:r w:rsidRPr="0014365E">
        <w:rPr>
          <w:rFonts w:ascii="Times New Roman" w:hAnsi="Times New Roman"/>
          <w:sz w:val="20"/>
          <w:szCs w:val="20"/>
        </w:rPr>
        <w:t>due to the reproducibility of the pellets in this pressure range. Solid acid CDP is known for its high conductivity at temperatures above 230 °C. Hence, three levels between 210 and 250 °C were selected to observe the conductivity values of the composite around the optimum temperature.</w:t>
      </w:r>
    </w:p>
    <w:p w:rsidR="0014365E" w:rsidRPr="0014365E" w:rsidRDefault="0014365E" w:rsidP="0014365E">
      <w:pPr>
        <w:spacing w:after="120" w:line="240" w:lineRule="auto"/>
        <w:jc w:val="both"/>
        <w:rPr>
          <w:rFonts w:ascii="Times New Roman" w:hAnsi="Times New Roman"/>
          <w:sz w:val="20"/>
          <w:szCs w:val="20"/>
        </w:rPr>
      </w:pPr>
    </w:p>
    <w:p w:rsidR="0014365E" w:rsidRPr="0014365E" w:rsidRDefault="0014365E" w:rsidP="0014365E">
      <w:pPr>
        <w:spacing w:after="120" w:line="240" w:lineRule="auto"/>
        <w:jc w:val="center"/>
        <w:rPr>
          <w:rFonts w:ascii="Times New Roman" w:hAnsi="Times New Roman"/>
          <w:sz w:val="20"/>
          <w:szCs w:val="20"/>
        </w:rPr>
      </w:pPr>
      <w:r w:rsidRPr="0014365E">
        <w:rPr>
          <w:rFonts w:ascii="Times New Roman" w:hAnsi="Times New Roman"/>
          <w:sz w:val="20"/>
          <w:szCs w:val="20"/>
        </w:rPr>
        <w:t xml:space="preserve">Table 1. </w:t>
      </w:r>
      <w:r>
        <w:rPr>
          <w:rFonts w:ascii="Times New Roman" w:hAnsi="Times New Roman"/>
          <w:sz w:val="20"/>
          <w:szCs w:val="20"/>
        </w:rPr>
        <w:t xml:space="preserve"> </w:t>
      </w:r>
      <w:r w:rsidRPr="0014365E">
        <w:rPr>
          <w:rFonts w:ascii="Times New Roman" w:hAnsi="Times New Roman"/>
          <w:sz w:val="20"/>
          <w:szCs w:val="20"/>
        </w:rPr>
        <w:t>Factors, control parameters and levels of each parameter</w:t>
      </w:r>
    </w:p>
    <w:tbl>
      <w:tblPr>
        <w:tblStyle w:val="PlainTable2"/>
        <w:tblW w:w="0" w:type="auto"/>
        <w:jc w:val="center"/>
        <w:tblLook w:val="04A0" w:firstRow="1" w:lastRow="0" w:firstColumn="1" w:lastColumn="0" w:noHBand="0" w:noVBand="1"/>
      </w:tblPr>
      <w:tblGrid>
        <w:gridCol w:w="783"/>
        <w:gridCol w:w="4624"/>
        <w:gridCol w:w="516"/>
        <w:gridCol w:w="516"/>
        <w:gridCol w:w="516"/>
      </w:tblGrid>
      <w:tr w:rsidR="0014365E" w:rsidRPr="0014365E" w:rsidTr="0007445E">
        <w:trPr>
          <w:cnfStyle w:val="100000000000" w:firstRow="1" w:lastRow="0" w:firstColumn="0" w:lastColumn="0" w:oddVBand="0" w:evenVBand="0" w:oddHBand="0"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rsidR="0014365E" w:rsidRPr="0014365E" w:rsidRDefault="0014365E" w:rsidP="0014365E">
            <w:pPr>
              <w:spacing w:before="60" w:after="0" w:line="240" w:lineRule="auto"/>
              <w:rPr>
                <w:rFonts w:ascii="Times New Roman" w:hAnsi="Times New Roman" w:cs="Times New Roman"/>
                <w:sz w:val="20"/>
                <w:szCs w:val="20"/>
              </w:rPr>
            </w:pPr>
            <w:r w:rsidRPr="0014365E">
              <w:rPr>
                <w:rFonts w:ascii="Times New Roman" w:hAnsi="Times New Roman" w:cs="Times New Roman"/>
                <w:sz w:val="20"/>
                <w:szCs w:val="20"/>
              </w:rPr>
              <w:t>Factor</w:t>
            </w:r>
          </w:p>
        </w:tc>
        <w:tc>
          <w:tcPr>
            <w:tcW w:w="0" w:type="auto"/>
            <w:tcBorders>
              <w:top w:val="single" w:sz="4" w:space="0" w:color="auto"/>
              <w:bottom w:val="nil"/>
            </w:tcBorders>
          </w:tcPr>
          <w:p w:rsidR="0014365E" w:rsidRPr="0014365E" w:rsidRDefault="0014365E" w:rsidP="0014365E">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Control Parameter</w:t>
            </w:r>
          </w:p>
        </w:tc>
        <w:tc>
          <w:tcPr>
            <w:tcW w:w="0" w:type="auto"/>
            <w:gridSpan w:val="3"/>
            <w:tcBorders>
              <w:top w:val="single" w:sz="4" w:space="0" w:color="auto"/>
              <w:bottom w:val="single" w:sz="4" w:space="0" w:color="auto"/>
            </w:tcBorders>
          </w:tcPr>
          <w:p w:rsidR="0014365E" w:rsidRPr="0014365E" w:rsidRDefault="0014365E" w:rsidP="0014365E">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Level</w:t>
            </w:r>
          </w:p>
        </w:tc>
      </w:tr>
      <w:tr w:rsidR="0014365E" w:rsidRPr="0014365E" w:rsidTr="0007445E">
        <w:trPr>
          <w:cnfStyle w:val="000000100000" w:firstRow="0" w:lastRow="0" w:firstColumn="0" w:lastColumn="0" w:oddVBand="0" w:evenVBand="0" w:oddHBand="1" w:evenHBand="0"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rsidR="0014365E" w:rsidRPr="0014365E" w:rsidRDefault="0014365E" w:rsidP="0014365E">
            <w:pPr>
              <w:spacing w:after="0" w:line="240" w:lineRule="auto"/>
              <w:rPr>
                <w:rFonts w:ascii="Times New Roman" w:hAnsi="Times New Roman" w:cs="Times New Roman"/>
                <w:sz w:val="20"/>
                <w:szCs w:val="20"/>
              </w:rPr>
            </w:pPr>
          </w:p>
        </w:tc>
        <w:tc>
          <w:tcPr>
            <w:tcW w:w="0" w:type="auto"/>
            <w:tcBorders>
              <w:top w:val="nil"/>
              <w:bottom w:val="single" w:sz="4" w:space="0" w:color="auto"/>
            </w:tcBorders>
          </w:tcPr>
          <w:p w:rsidR="0014365E" w:rsidRPr="0014365E" w:rsidRDefault="0014365E" w:rsidP="0014365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0" w:type="auto"/>
            <w:tcBorders>
              <w:top w:val="single" w:sz="4" w:space="0" w:color="auto"/>
              <w:bottom w:val="single" w:sz="4" w:space="0" w:color="auto"/>
            </w:tcBorders>
          </w:tcPr>
          <w:p w:rsidR="0014365E" w:rsidRPr="0014365E" w:rsidRDefault="0014365E" w:rsidP="0014365E">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4365E">
              <w:rPr>
                <w:rFonts w:ascii="Times New Roman" w:hAnsi="Times New Roman" w:cs="Times New Roman"/>
                <w:b/>
                <w:sz w:val="20"/>
                <w:szCs w:val="20"/>
              </w:rPr>
              <w:t>1</w:t>
            </w:r>
          </w:p>
        </w:tc>
        <w:tc>
          <w:tcPr>
            <w:tcW w:w="0" w:type="auto"/>
            <w:tcBorders>
              <w:top w:val="single" w:sz="4" w:space="0" w:color="auto"/>
              <w:bottom w:val="single" w:sz="4" w:space="0" w:color="auto"/>
            </w:tcBorders>
          </w:tcPr>
          <w:p w:rsidR="0014365E" w:rsidRPr="0014365E" w:rsidRDefault="0014365E" w:rsidP="0014365E">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4365E">
              <w:rPr>
                <w:rFonts w:ascii="Times New Roman" w:hAnsi="Times New Roman" w:cs="Times New Roman"/>
                <w:b/>
                <w:sz w:val="20"/>
                <w:szCs w:val="20"/>
              </w:rPr>
              <w:t>2</w:t>
            </w:r>
          </w:p>
        </w:tc>
        <w:tc>
          <w:tcPr>
            <w:tcW w:w="0" w:type="auto"/>
            <w:tcBorders>
              <w:top w:val="single" w:sz="4" w:space="0" w:color="auto"/>
              <w:bottom w:val="single" w:sz="4" w:space="0" w:color="auto"/>
            </w:tcBorders>
          </w:tcPr>
          <w:p w:rsidR="0014365E" w:rsidRPr="0014365E" w:rsidRDefault="0014365E" w:rsidP="0014365E">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4365E">
              <w:rPr>
                <w:rFonts w:ascii="Times New Roman" w:hAnsi="Times New Roman" w:cs="Times New Roman"/>
                <w:b/>
                <w:sz w:val="20"/>
                <w:szCs w:val="20"/>
              </w:rPr>
              <w:t>3</w:t>
            </w:r>
          </w:p>
        </w:tc>
      </w:tr>
      <w:tr w:rsidR="0014365E" w:rsidRPr="0014365E" w:rsidTr="0014365E">
        <w:trPr>
          <w:trHeight w:val="6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rsidR="0014365E" w:rsidRPr="0014365E" w:rsidRDefault="0014365E" w:rsidP="0007445E">
            <w:pPr>
              <w:spacing w:before="60" w:after="0" w:line="240" w:lineRule="auto"/>
              <w:rPr>
                <w:rFonts w:ascii="Times New Roman" w:hAnsi="Times New Roman" w:cs="Times New Roman"/>
                <w:sz w:val="20"/>
                <w:szCs w:val="20"/>
              </w:rPr>
            </w:pPr>
            <w:r w:rsidRPr="0014365E">
              <w:rPr>
                <w:rFonts w:ascii="Times New Roman" w:hAnsi="Times New Roman" w:cs="Times New Roman"/>
                <w:b w:val="0"/>
                <w:sz w:val="20"/>
                <w:szCs w:val="20"/>
              </w:rPr>
              <w:t>A</w:t>
            </w:r>
          </w:p>
        </w:tc>
        <w:tc>
          <w:tcPr>
            <w:tcW w:w="0" w:type="auto"/>
            <w:tcBorders>
              <w:top w:val="single" w:sz="4" w:space="0" w:color="auto"/>
              <w:bottom w:val="nil"/>
            </w:tcBorders>
          </w:tcPr>
          <w:p w:rsidR="0014365E" w:rsidRPr="0014365E" w:rsidRDefault="0014365E" w:rsidP="0007445E">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Amount of SDP (mole fraction to CDP)</w:t>
            </w:r>
          </w:p>
        </w:tc>
        <w:tc>
          <w:tcPr>
            <w:tcW w:w="0" w:type="auto"/>
            <w:tcBorders>
              <w:top w:val="single" w:sz="4" w:space="0" w:color="auto"/>
              <w:bottom w:val="nil"/>
            </w:tcBorders>
          </w:tcPr>
          <w:p w:rsidR="0014365E" w:rsidRPr="0014365E" w:rsidRDefault="0014365E" w:rsidP="0007445E">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0.1</w:t>
            </w:r>
          </w:p>
        </w:tc>
        <w:tc>
          <w:tcPr>
            <w:tcW w:w="0" w:type="auto"/>
            <w:tcBorders>
              <w:top w:val="single" w:sz="4" w:space="0" w:color="auto"/>
              <w:bottom w:val="nil"/>
            </w:tcBorders>
          </w:tcPr>
          <w:p w:rsidR="0014365E" w:rsidRPr="0014365E" w:rsidRDefault="0014365E" w:rsidP="0007445E">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0.2</w:t>
            </w:r>
          </w:p>
        </w:tc>
        <w:tc>
          <w:tcPr>
            <w:tcW w:w="0" w:type="auto"/>
            <w:tcBorders>
              <w:top w:val="single" w:sz="4" w:space="0" w:color="auto"/>
              <w:bottom w:val="nil"/>
            </w:tcBorders>
          </w:tcPr>
          <w:p w:rsidR="0014365E" w:rsidRPr="0014365E" w:rsidRDefault="0014365E" w:rsidP="0007445E">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0.3</w:t>
            </w:r>
          </w:p>
        </w:tc>
      </w:tr>
      <w:tr w:rsidR="0014365E" w:rsidRPr="0014365E" w:rsidTr="00C16912">
        <w:trPr>
          <w:cnfStyle w:val="000000100000" w:firstRow="0" w:lastRow="0" w:firstColumn="0" w:lastColumn="0" w:oddVBand="0" w:evenVBand="0" w:oddHBand="1" w:evenHBand="0" w:firstRowFirstColumn="0" w:firstRowLastColumn="0" w:lastRowFirstColumn="0" w:lastRowLastColumn="0"/>
          <w:trHeight w:val="6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14365E" w:rsidRPr="0014365E" w:rsidRDefault="0014365E" w:rsidP="0007445E">
            <w:pPr>
              <w:spacing w:before="60" w:after="0" w:line="240" w:lineRule="auto"/>
              <w:rPr>
                <w:rFonts w:ascii="Times New Roman" w:hAnsi="Times New Roman" w:cs="Times New Roman"/>
                <w:sz w:val="20"/>
                <w:szCs w:val="20"/>
              </w:rPr>
            </w:pPr>
            <w:r w:rsidRPr="0014365E">
              <w:rPr>
                <w:rFonts w:ascii="Times New Roman" w:hAnsi="Times New Roman" w:cs="Times New Roman"/>
                <w:b w:val="0"/>
                <w:sz w:val="20"/>
                <w:szCs w:val="20"/>
              </w:rPr>
              <w:t>B</w:t>
            </w:r>
          </w:p>
        </w:tc>
        <w:tc>
          <w:tcPr>
            <w:tcW w:w="0" w:type="auto"/>
            <w:tcBorders>
              <w:top w:val="nil"/>
              <w:bottom w:val="nil"/>
            </w:tcBorders>
          </w:tcPr>
          <w:p w:rsidR="0014365E" w:rsidRPr="0014365E" w:rsidRDefault="0014365E" w:rsidP="0007445E">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Amount of SiO</w:t>
            </w:r>
            <w:r w:rsidRPr="0014365E">
              <w:rPr>
                <w:rFonts w:ascii="Times New Roman" w:hAnsi="Times New Roman" w:cs="Times New Roman"/>
                <w:sz w:val="20"/>
                <w:szCs w:val="20"/>
                <w:vertAlign w:val="subscript"/>
              </w:rPr>
              <w:t>2</w:t>
            </w:r>
            <w:r w:rsidRPr="0014365E">
              <w:rPr>
                <w:rFonts w:ascii="Times New Roman" w:hAnsi="Times New Roman" w:cs="Times New Roman"/>
                <w:sz w:val="20"/>
                <w:szCs w:val="20"/>
              </w:rPr>
              <w:t xml:space="preserve"> (mole fraction to CDP)</w:t>
            </w:r>
          </w:p>
        </w:tc>
        <w:tc>
          <w:tcPr>
            <w:tcW w:w="0" w:type="auto"/>
            <w:tcBorders>
              <w:top w:val="nil"/>
              <w:bottom w:val="nil"/>
            </w:tcBorders>
          </w:tcPr>
          <w:p w:rsidR="0014365E" w:rsidRPr="0014365E" w:rsidRDefault="0014365E" w:rsidP="0007445E">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0.1</w:t>
            </w:r>
          </w:p>
        </w:tc>
        <w:tc>
          <w:tcPr>
            <w:tcW w:w="0" w:type="auto"/>
            <w:tcBorders>
              <w:top w:val="nil"/>
              <w:bottom w:val="nil"/>
            </w:tcBorders>
          </w:tcPr>
          <w:p w:rsidR="0014365E" w:rsidRPr="0014365E" w:rsidRDefault="0014365E" w:rsidP="0007445E">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0.2</w:t>
            </w:r>
          </w:p>
        </w:tc>
        <w:tc>
          <w:tcPr>
            <w:tcW w:w="0" w:type="auto"/>
            <w:tcBorders>
              <w:top w:val="nil"/>
              <w:bottom w:val="nil"/>
            </w:tcBorders>
          </w:tcPr>
          <w:p w:rsidR="0014365E" w:rsidRPr="0014365E" w:rsidRDefault="0014365E" w:rsidP="0007445E">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0.3</w:t>
            </w:r>
          </w:p>
        </w:tc>
      </w:tr>
      <w:tr w:rsidR="0014365E" w:rsidRPr="0014365E" w:rsidTr="0007445E">
        <w:trPr>
          <w:trHeight w:val="7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14365E" w:rsidRPr="0014365E" w:rsidRDefault="0014365E" w:rsidP="0007445E">
            <w:pPr>
              <w:spacing w:before="60" w:after="0" w:line="240" w:lineRule="auto"/>
              <w:rPr>
                <w:rFonts w:ascii="Times New Roman" w:hAnsi="Times New Roman" w:cs="Times New Roman"/>
                <w:sz w:val="20"/>
                <w:szCs w:val="20"/>
              </w:rPr>
            </w:pPr>
            <w:r w:rsidRPr="0014365E">
              <w:rPr>
                <w:rFonts w:ascii="Times New Roman" w:hAnsi="Times New Roman" w:cs="Times New Roman"/>
                <w:b w:val="0"/>
                <w:sz w:val="20"/>
                <w:szCs w:val="20"/>
              </w:rPr>
              <w:t>C</w:t>
            </w:r>
          </w:p>
        </w:tc>
        <w:tc>
          <w:tcPr>
            <w:tcW w:w="0" w:type="auto"/>
            <w:tcBorders>
              <w:top w:val="nil"/>
              <w:bottom w:val="nil"/>
            </w:tcBorders>
          </w:tcPr>
          <w:p w:rsidR="0014365E" w:rsidRPr="0014365E" w:rsidRDefault="0014365E" w:rsidP="0007445E">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Pressure applied during pellet production (tonnes cm</w:t>
            </w:r>
            <w:r w:rsidRPr="0014365E">
              <w:rPr>
                <w:rFonts w:ascii="Times New Roman" w:hAnsi="Times New Roman" w:cs="Times New Roman"/>
                <w:sz w:val="20"/>
                <w:szCs w:val="20"/>
                <w:vertAlign w:val="superscript"/>
              </w:rPr>
              <w:t>-2</w:t>
            </w:r>
            <w:r w:rsidRPr="0014365E">
              <w:rPr>
                <w:rFonts w:ascii="Times New Roman" w:hAnsi="Times New Roman" w:cs="Times New Roman"/>
                <w:sz w:val="20"/>
                <w:szCs w:val="20"/>
              </w:rPr>
              <w:t>)</w:t>
            </w:r>
          </w:p>
        </w:tc>
        <w:tc>
          <w:tcPr>
            <w:tcW w:w="0" w:type="auto"/>
            <w:tcBorders>
              <w:top w:val="nil"/>
              <w:bottom w:val="nil"/>
            </w:tcBorders>
          </w:tcPr>
          <w:p w:rsidR="0014365E" w:rsidRPr="0014365E" w:rsidRDefault="0014365E" w:rsidP="0007445E">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3</w:t>
            </w:r>
          </w:p>
        </w:tc>
        <w:tc>
          <w:tcPr>
            <w:tcW w:w="0" w:type="auto"/>
            <w:tcBorders>
              <w:top w:val="nil"/>
              <w:bottom w:val="nil"/>
            </w:tcBorders>
          </w:tcPr>
          <w:p w:rsidR="0014365E" w:rsidRPr="0014365E" w:rsidRDefault="0014365E" w:rsidP="0007445E">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4</w:t>
            </w:r>
          </w:p>
        </w:tc>
        <w:tc>
          <w:tcPr>
            <w:tcW w:w="0" w:type="auto"/>
            <w:tcBorders>
              <w:top w:val="nil"/>
              <w:bottom w:val="nil"/>
            </w:tcBorders>
          </w:tcPr>
          <w:p w:rsidR="0014365E" w:rsidRPr="0014365E" w:rsidRDefault="0014365E" w:rsidP="0007445E">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5</w:t>
            </w:r>
          </w:p>
        </w:tc>
      </w:tr>
      <w:tr w:rsidR="0014365E" w:rsidRPr="0014365E" w:rsidTr="0007445E">
        <w:trPr>
          <w:cnfStyle w:val="000000100000" w:firstRow="0" w:lastRow="0" w:firstColumn="0" w:lastColumn="0" w:oddVBand="0" w:evenVBand="0" w:oddHBand="1" w:evenHBand="0" w:firstRowFirstColumn="0" w:firstRowLastColumn="0" w:lastRowFirstColumn="0" w:lastRowLastColumn="0"/>
          <w:trHeight w:val="6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rsidR="0014365E" w:rsidRPr="0014365E" w:rsidRDefault="0014365E" w:rsidP="0007445E">
            <w:pPr>
              <w:spacing w:before="60" w:after="60" w:line="240" w:lineRule="auto"/>
              <w:rPr>
                <w:rFonts w:ascii="Times New Roman" w:hAnsi="Times New Roman" w:cs="Times New Roman"/>
                <w:sz w:val="20"/>
                <w:szCs w:val="20"/>
              </w:rPr>
            </w:pPr>
            <w:r w:rsidRPr="0014365E">
              <w:rPr>
                <w:rFonts w:ascii="Times New Roman" w:hAnsi="Times New Roman" w:cs="Times New Roman"/>
                <w:b w:val="0"/>
                <w:sz w:val="20"/>
                <w:szCs w:val="20"/>
              </w:rPr>
              <w:t>D</w:t>
            </w:r>
          </w:p>
        </w:tc>
        <w:tc>
          <w:tcPr>
            <w:tcW w:w="0" w:type="auto"/>
            <w:tcBorders>
              <w:top w:val="nil"/>
              <w:bottom w:val="single" w:sz="4" w:space="0" w:color="auto"/>
            </w:tcBorders>
          </w:tcPr>
          <w:p w:rsidR="0014365E" w:rsidRPr="0014365E" w:rsidRDefault="0014365E" w:rsidP="0007445E">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Operating temperature (°C)</w:t>
            </w:r>
          </w:p>
        </w:tc>
        <w:tc>
          <w:tcPr>
            <w:tcW w:w="0" w:type="auto"/>
            <w:tcBorders>
              <w:top w:val="nil"/>
              <w:bottom w:val="single" w:sz="4" w:space="0" w:color="auto"/>
            </w:tcBorders>
          </w:tcPr>
          <w:p w:rsidR="0014365E" w:rsidRPr="0014365E" w:rsidRDefault="0014365E" w:rsidP="0007445E">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210</w:t>
            </w:r>
          </w:p>
        </w:tc>
        <w:tc>
          <w:tcPr>
            <w:tcW w:w="0" w:type="auto"/>
            <w:tcBorders>
              <w:top w:val="nil"/>
              <w:bottom w:val="single" w:sz="4" w:space="0" w:color="auto"/>
            </w:tcBorders>
          </w:tcPr>
          <w:p w:rsidR="0014365E" w:rsidRPr="0014365E" w:rsidRDefault="0014365E" w:rsidP="0007445E">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230</w:t>
            </w:r>
          </w:p>
        </w:tc>
        <w:tc>
          <w:tcPr>
            <w:tcW w:w="0" w:type="auto"/>
            <w:tcBorders>
              <w:top w:val="nil"/>
              <w:bottom w:val="single" w:sz="4" w:space="0" w:color="auto"/>
            </w:tcBorders>
          </w:tcPr>
          <w:p w:rsidR="0014365E" w:rsidRPr="0014365E" w:rsidRDefault="0014365E" w:rsidP="0007445E">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4365E">
              <w:rPr>
                <w:rFonts w:ascii="Times New Roman" w:hAnsi="Times New Roman" w:cs="Times New Roman"/>
                <w:sz w:val="20"/>
                <w:szCs w:val="20"/>
              </w:rPr>
              <w:t>250</w:t>
            </w:r>
          </w:p>
        </w:tc>
      </w:tr>
    </w:tbl>
    <w:p w:rsidR="0014365E" w:rsidRPr="0014365E" w:rsidRDefault="0014365E" w:rsidP="0014365E">
      <w:pPr>
        <w:spacing w:after="0" w:line="240" w:lineRule="auto"/>
        <w:jc w:val="center"/>
        <w:rPr>
          <w:rFonts w:ascii="Times New Roman" w:hAnsi="Times New Roman"/>
          <w:sz w:val="20"/>
          <w:szCs w:val="20"/>
        </w:rPr>
      </w:pPr>
    </w:p>
    <w:p w:rsidR="00AC0033" w:rsidRPr="00F447A7" w:rsidRDefault="00AC0033" w:rsidP="0014365E">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07445E" w:rsidRPr="0007445E" w:rsidRDefault="0007445E" w:rsidP="0007445E">
      <w:pPr>
        <w:spacing w:after="0" w:line="240" w:lineRule="auto"/>
        <w:jc w:val="both"/>
        <w:rPr>
          <w:rFonts w:ascii="Times New Roman" w:hAnsi="Times New Roman"/>
          <w:sz w:val="20"/>
          <w:szCs w:val="20"/>
        </w:rPr>
      </w:pPr>
      <w:r w:rsidRPr="0007445E">
        <w:rPr>
          <w:rFonts w:ascii="Times New Roman" w:hAnsi="Times New Roman"/>
          <w:sz w:val="20"/>
          <w:szCs w:val="20"/>
        </w:rPr>
        <w:t xml:space="preserve">The Taguchi L9 orthogonal array produced nine sets of level combinations (Table 2). Each set was run three times in randomised order to reduce error. Responses were recorded in Table 2 as the averaged conductivity value for each experimental set. The signal-to-noise (S/N) ratio was fixed to be </w:t>
      </w:r>
      <w:r w:rsidRPr="0007445E">
        <w:rPr>
          <w:rFonts w:ascii="Times New Roman" w:hAnsi="Times New Roman"/>
          <w:i/>
          <w:sz w:val="20"/>
          <w:szCs w:val="20"/>
        </w:rPr>
        <w:t>larger is better</w:t>
      </w:r>
      <w:r w:rsidRPr="0007445E">
        <w:rPr>
          <w:rFonts w:ascii="Times New Roman" w:hAnsi="Times New Roman"/>
          <w:sz w:val="20"/>
          <w:szCs w:val="20"/>
        </w:rPr>
        <w:t xml:space="preserve"> and calculated to maximise the response according to the formula below:</w:t>
      </w:r>
    </w:p>
    <w:p w:rsidR="0007445E" w:rsidRPr="0007445E" w:rsidRDefault="0007445E" w:rsidP="0007445E">
      <w:pPr>
        <w:spacing w:after="0" w:line="240" w:lineRule="auto"/>
        <w:jc w:val="both"/>
        <w:rPr>
          <w:rFonts w:ascii="Times New Roman" w:hAnsi="Times New Roman"/>
          <w:sz w:val="20"/>
          <w:szCs w:val="20"/>
        </w:rPr>
      </w:pPr>
    </w:p>
    <w:p w:rsidR="0007445E" w:rsidRPr="0007445E" w:rsidRDefault="0007445E" w:rsidP="0007445E">
      <w:pPr>
        <w:spacing w:after="0" w:line="240" w:lineRule="auto"/>
        <w:ind w:firstLine="720"/>
        <w:jc w:val="both"/>
        <w:rPr>
          <w:rFonts w:ascii="Times New Roman" w:hAnsi="Times New Roman"/>
          <w:sz w:val="20"/>
          <w:szCs w:val="20"/>
        </w:rPr>
      </w:pPr>
      <w:r w:rsidRPr="0007445E">
        <w:rPr>
          <w:rFonts w:ascii="Times New Roman" w:hAnsi="Times New Roman"/>
          <w:sz w:val="20"/>
          <w:szCs w:val="20"/>
        </w:rPr>
        <w:t xml:space="preserve">S/N ratio </w:t>
      </w:r>
      <m:oMath>
        <m:r>
          <w:rPr>
            <w:rFonts w:ascii="Cambria Math" w:eastAsia="Cambria" w:hAnsi="Cambria Math"/>
            <w:sz w:val="20"/>
            <w:szCs w:val="20"/>
          </w:rPr>
          <m:t>= -10</m:t>
        </m:r>
        <m:sSub>
          <m:sSubPr>
            <m:ctrlPr>
              <w:rPr>
                <w:rFonts w:ascii="Cambria Math" w:eastAsia="Cambria" w:hAnsi="Cambria Math"/>
                <w:sz w:val="20"/>
                <w:szCs w:val="20"/>
              </w:rPr>
            </m:ctrlPr>
          </m:sSubPr>
          <m:e>
            <m:r>
              <w:rPr>
                <w:rFonts w:ascii="Cambria Math" w:eastAsia="Cambria" w:hAnsi="Cambria Math"/>
                <w:sz w:val="20"/>
                <w:szCs w:val="20"/>
              </w:rPr>
              <m:t>log</m:t>
            </m:r>
          </m:e>
          <m:sub>
            <m:r>
              <w:rPr>
                <w:rFonts w:ascii="Cambria Math" w:eastAsia="Cambria" w:hAnsi="Cambria Math"/>
                <w:sz w:val="20"/>
                <w:szCs w:val="20"/>
              </w:rPr>
              <m:t>10</m:t>
            </m:r>
          </m:sub>
        </m:sSub>
        <m:r>
          <w:rPr>
            <w:rFonts w:ascii="Cambria Math" w:hAnsi="Cambria Math"/>
            <w:sz w:val="20"/>
            <w:szCs w:val="20"/>
          </w:rPr>
          <m:t xml:space="preserve"> </m:t>
        </m:r>
        <m:f>
          <m:fPr>
            <m:ctrlPr>
              <w:rPr>
                <w:rFonts w:ascii="Cambria Math" w:eastAsia="Cambria" w:hAnsi="Cambria Math"/>
                <w:sz w:val="20"/>
                <w:szCs w:val="20"/>
              </w:rPr>
            </m:ctrlPr>
          </m:fPr>
          <m:num>
            <m:r>
              <w:rPr>
                <w:rFonts w:ascii="Cambria Math" w:eastAsia="Cambria" w:hAnsi="Cambria Math"/>
                <w:sz w:val="20"/>
                <w:szCs w:val="20"/>
              </w:rPr>
              <m:t>1</m:t>
            </m:r>
          </m:num>
          <m:den>
            <m:r>
              <w:rPr>
                <w:rFonts w:ascii="Cambria Math" w:eastAsia="Cambria" w:hAnsi="Cambria Math"/>
                <w:sz w:val="20"/>
                <w:szCs w:val="20"/>
              </w:rPr>
              <m:t>n</m:t>
            </m:r>
          </m:den>
        </m:f>
        <m:nary>
          <m:naryPr>
            <m:chr m:val="∑"/>
            <m:ctrlPr>
              <w:rPr>
                <w:rFonts w:ascii="Cambria Math" w:eastAsia="Cambria" w:hAnsi="Cambria Math"/>
                <w:sz w:val="20"/>
                <w:szCs w:val="20"/>
              </w:rPr>
            </m:ctrlPr>
          </m:naryPr>
          <m:sub>
            <m:r>
              <w:rPr>
                <w:rFonts w:ascii="Cambria Math" w:eastAsia="Cambria" w:hAnsi="Cambria Math"/>
                <w:sz w:val="20"/>
                <w:szCs w:val="20"/>
              </w:rPr>
              <m:t>i=1</m:t>
            </m:r>
          </m:sub>
          <m:sup>
            <m:r>
              <w:rPr>
                <w:rFonts w:ascii="Cambria Math" w:eastAsia="Cambria" w:hAnsi="Cambria Math"/>
                <w:sz w:val="20"/>
                <w:szCs w:val="20"/>
              </w:rPr>
              <m:t>n</m:t>
            </m:r>
          </m:sup>
          <m:e/>
        </m:nary>
        <m:f>
          <m:fPr>
            <m:ctrlPr>
              <w:rPr>
                <w:rFonts w:ascii="Cambria Math" w:eastAsia="Cambria" w:hAnsi="Cambria Math"/>
                <w:sz w:val="20"/>
                <w:szCs w:val="20"/>
              </w:rPr>
            </m:ctrlPr>
          </m:fPr>
          <m:num>
            <m:r>
              <w:rPr>
                <w:rFonts w:ascii="Cambria Math" w:eastAsia="Cambria" w:hAnsi="Cambria Math"/>
                <w:sz w:val="20"/>
                <w:szCs w:val="20"/>
              </w:rPr>
              <m:t>1</m:t>
            </m:r>
          </m:num>
          <m:den>
            <m:sSubSup>
              <m:sSubSupPr>
                <m:ctrlPr>
                  <w:rPr>
                    <w:rFonts w:ascii="Cambria Math" w:eastAsia="Cambria" w:hAnsi="Cambria Math"/>
                    <w:sz w:val="20"/>
                    <w:szCs w:val="20"/>
                  </w:rPr>
                </m:ctrlPr>
              </m:sSubSupPr>
              <m:e>
                <m:r>
                  <w:rPr>
                    <w:rFonts w:ascii="Cambria Math" w:eastAsia="Cambria" w:hAnsi="Cambria Math"/>
                    <w:sz w:val="20"/>
                    <w:szCs w:val="20"/>
                  </w:rPr>
                  <m:t>y</m:t>
                </m:r>
              </m:e>
              <m:sub>
                <m:r>
                  <w:rPr>
                    <w:rFonts w:ascii="Cambria Math" w:eastAsia="Cambria" w:hAnsi="Cambria Math"/>
                    <w:sz w:val="20"/>
                    <w:szCs w:val="20"/>
                  </w:rPr>
                  <m:t>i</m:t>
                </m:r>
              </m:sub>
              <m:sup>
                <m:r>
                  <w:rPr>
                    <w:rFonts w:ascii="Cambria Math" w:eastAsia="Cambria" w:hAnsi="Cambria Math"/>
                    <w:sz w:val="20"/>
                    <w:szCs w:val="20"/>
                  </w:rPr>
                  <m:t>2</m:t>
                </m:r>
              </m:sup>
            </m:sSubSup>
          </m:den>
        </m:f>
        <m:r>
          <w:rPr>
            <w:rFonts w:ascii="Cambria Math" w:hAnsi="Cambria Math"/>
            <w:sz w:val="20"/>
            <w:szCs w:val="20"/>
          </w:rPr>
          <m:t xml:space="preserve"> </m:t>
        </m:r>
      </m:oMath>
      <w:r w:rsidRPr="0007445E">
        <w:rPr>
          <w:rFonts w:ascii="Times New Roman" w:hAnsi="Times New Roman"/>
          <w:sz w:val="20"/>
          <w:szCs w:val="20"/>
        </w:rPr>
        <w:tab/>
      </w:r>
      <w:r w:rsidRPr="0007445E">
        <w:rPr>
          <w:rFonts w:ascii="Times New Roman" w:hAnsi="Times New Roman"/>
          <w:sz w:val="20"/>
          <w:szCs w:val="20"/>
        </w:rPr>
        <w:tab/>
      </w:r>
      <w:r w:rsidRPr="0007445E">
        <w:rPr>
          <w:rFonts w:ascii="Times New Roman" w:hAnsi="Times New Roman"/>
          <w:sz w:val="20"/>
          <w:szCs w:val="20"/>
        </w:rPr>
        <w:tab/>
      </w:r>
      <w:r w:rsidRPr="0007445E">
        <w:rPr>
          <w:rFonts w:ascii="Times New Roman" w:hAnsi="Times New Roman"/>
          <w:sz w:val="20"/>
          <w:szCs w:val="20"/>
        </w:rPr>
        <w:tab/>
      </w:r>
      <w:r w:rsidRPr="0007445E">
        <w:rPr>
          <w:rFonts w:ascii="Times New Roman" w:hAnsi="Times New Roman"/>
          <w:sz w:val="20"/>
          <w:szCs w:val="20"/>
        </w:rPr>
        <w:tab/>
      </w:r>
      <w:r w:rsidRPr="0007445E">
        <w:rPr>
          <w:rFonts w:ascii="Times New Roman" w:hAnsi="Times New Roman"/>
          <w:sz w:val="20"/>
          <w:szCs w:val="20"/>
        </w:rPr>
        <w:tab/>
        <w:t xml:space="preserve">                </w:t>
      </w:r>
      <w:r>
        <w:rPr>
          <w:rFonts w:ascii="Times New Roman" w:hAnsi="Times New Roman"/>
          <w:sz w:val="20"/>
          <w:szCs w:val="20"/>
        </w:rPr>
        <w:t xml:space="preserve">      </w:t>
      </w:r>
      <w:r w:rsidRPr="0007445E">
        <w:rPr>
          <w:rFonts w:ascii="Times New Roman" w:hAnsi="Times New Roman"/>
          <w:sz w:val="20"/>
          <w:szCs w:val="20"/>
        </w:rPr>
        <w:t xml:space="preserve"> (3)</w:t>
      </w:r>
    </w:p>
    <w:p w:rsidR="0007445E" w:rsidRPr="0007445E" w:rsidRDefault="0007445E" w:rsidP="0007445E">
      <w:pPr>
        <w:spacing w:after="0" w:line="240" w:lineRule="auto"/>
        <w:jc w:val="both"/>
        <w:rPr>
          <w:rFonts w:ascii="Times New Roman" w:hAnsi="Times New Roman"/>
          <w:sz w:val="20"/>
          <w:szCs w:val="20"/>
        </w:rPr>
      </w:pPr>
      <w:r w:rsidRPr="0007445E">
        <w:rPr>
          <w:rFonts w:ascii="Times New Roman" w:hAnsi="Times New Roman"/>
          <w:sz w:val="20"/>
          <w:szCs w:val="20"/>
        </w:rPr>
        <w:tab/>
      </w:r>
    </w:p>
    <w:p w:rsidR="0007445E" w:rsidRPr="0007445E" w:rsidRDefault="0007445E" w:rsidP="0007445E">
      <w:pPr>
        <w:spacing w:after="0" w:line="240" w:lineRule="auto"/>
        <w:jc w:val="both"/>
        <w:rPr>
          <w:rFonts w:ascii="Times New Roman" w:hAnsi="Times New Roman"/>
          <w:sz w:val="20"/>
          <w:szCs w:val="20"/>
        </w:rPr>
      </w:pPr>
      <w:r w:rsidRPr="0007445E">
        <w:rPr>
          <w:rFonts w:ascii="Times New Roman" w:hAnsi="Times New Roman"/>
          <w:sz w:val="20"/>
          <w:szCs w:val="20"/>
        </w:rPr>
        <w:lastRenderedPageBreak/>
        <w:t xml:space="preserve">where </w:t>
      </w:r>
      <w:r w:rsidRPr="0007445E">
        <w:rPr>
          <w:rFonts w:ascii="Times New Roman" w:hAnsi="Times New Roman"/>
          <w:i/>
          <w:sz w:val="20"/>
          <w:szCs w:val="20"/>
        </w:rPr>
        <w:t>y</w:t>
      </w:r>
      <w:r w:rsidRPr="0007445E">
        <w:rPr>
          <w:rFonts w:ascii="Times New Roman" w:hAnsi="Times New Roman"/>
          <w:i/>
          <w:sz w:val="20"/>
          <w:szCs w:val="20"/>
          <w:vertAlign w:val="subscript"/>
        </w:rPr>
        <w:t xml:space="preserve">i </w:t>
      </w:r>
      <w:r w:rsidRPr="0007445E">
        <w:rPr>
          <w:rFonts w:ascii="Times New Roman" w:hAnsi="Times New Roman"/>
          <w:sz w:val="20"/>
          <w:szCs w:val="20"/>
        </w:rPr>
        <w:t>is the observed response value, and n is the number of replications.</w:t>
      </w:r>
    </w:p>
    <w:p w:rsidR="0007445E" w:rsidRPr="0007445E" w:rsidRDefault="0007445E" w:rsidP="0007445E">
      <w:pPr>
        <w:tabs>
          <w:tab w:val="left" w:pos="5310"/>
        </w:tabs>
        <w:spacing w:after="120" w:line="240" w:lineRule="auto"/>
        <w:jc w:val="both"/>
        <w:rPr>
          <w:rFonts w:ascii="Times New Roman" w:hAnsi="Times New Roman"/>
          <w:sz w:val="20"/>
          <w:szCs w:val="20"/>
        </w:rPr>
      </w:pPr>
      <w:r w:rsidRPr="0007445E">
        <w:rPr>
          <w:rFonts w:ascii="Times New Roman" w:hAnsi="Times New Roman"/>
          <w:sz w:val="20"/>
          <w:szCs w:val="20"/>
        </w:rPr>
        <w:tab/>
      </w:r>
    </w:p>
    <w:p w:rsidR="0007445E" w:rsidRPr="0007445E" w:rsidRDefault="00BA16A3" w:rsidP="0007445E">
      <w:pPr>
        <w:spacing w:after="120" w:line="240" w:lineRule="auto"/>
        <w:jc w:val="center"/>
        <w:rPr>
          <w:rFonts w:ascii="Times New Roman" w:hAnsi="Times New Roman"/>
          <w:sz w:val="20"/>
          <w:szCs w:val="20"/>
        </w:rPr>
      </w:pPr>
      <w:r>
        <w:rPr>
          <w:rFonts w:ascii="Times New Roman" w:hAnsi="Times New Roman"/>
          <w:sz w:val="20"/>
          <w:szCs w:val="20"/>
        </w:rPr>
        <w:t xml:space="preserve">Table 2.  </w:t>
      </w:r>
      <w:r w:rsidR="0007445E" w:rsidRPr="0007445E">
        <w:rPr>
          <w:rFonts w:ascii="Times New Roman" w:hAnsi="Times New Roman"/>
          <w:sz w:val="20"/>
          <w:szCs w:val="20"/>
        </w:rPr>
        <w:t>Level combinations of designed experiments and results</w:t>
      </w:r>
    </w:p>
    <w:tbl>
      <w:tblPr>
        <w:tblStyle w:val="PlainTable2"/>
        <w:tblW w:w="9202" w:type="dxa"/>
        <w:tblLayout w:type="fixed"/>
        <w:tblLook w:val="04A0" w:firstRow="1" w:lastRow="0" w:firstColumn="1" w:lastColumn="0" w:noHBand="0" w:noVBand="1"/>
      </w:tblPr>
      <w:tblGrid>
        <w:gridCol w:w="1203"/>
        <w:gridCol w:w="1212"/>
        <w:gridCol w:w="1211"/>
        <w:gridCol w:w="1619"/>
        <w:gridCol w:w="1362"/>
        <w:gridCol w:w="1473"/>
        <w:gridCol w:w="1122"/>
      </w:tblGrid>
      <w:tr w:rsidR="0007445E" w:rsidRPr="0007445E" w:rsidTr="00BA16A3">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03" w:type="dxa"/>
            <w:vMerge w:val="restart"/>
            <w:tcBorders>
              <w:top w:val="single" w:sz="4" w:space="0" w:color="auto"/>
              <w:bottom w:val="nil"/>
            </w:tcBorders>
          </w:tcPr>
          <w:p w:rsidR="0007445E" w:rsidRPr="0007445E" w:rsidRDefault="0007445E" w:rsidP="0007445E">
            <w:pPr>
              <w:spacing w:before="240" w:after="0" w:line="240" w:lineRule="auto"/>
              <w:rPr>
                <w:rFonts w:ascii="Times New Roman" w:hAnsi="Times New Roman" w:cs="Times New Roman"/>
                <w:sz w:val="20"/>
                <w:szCs w:val="20"/>
              </w:rPr>
            </w:pPr>
            <w:r w:rsidRPr="0007445E">
              <w:rPr>
                <w:rFonts w:ascii="Times New Roman" w:hAnsi="Times New Roman" w:cs="Times New Roman"/>
                <w:sz w:val="20"/>
                <w:szCs w:val="20"/>
              </w:rPr>
              <w:t>Exp. No.</w:t>
            </w:r>
          </w:p>
        </w:tc>
        <w:tc>
          <w:tcPr>
            <w:tcW w:w="5404" w:type="dxa"/>
            <w:gridSpan w:val="4"/>
            <w:tcBorders>
              <w:top w:val="single" w:sz="4" w:space="0" w:color="auto"/>
              <w:bottom w:val="single" w:sz="4" w:space="0" w:color="auto"/>
            </w:tcBorders>
          </w:tcPr>
          <w:p w:rsidR="0007445E" w:rsidRPr="0007445E" w:rsidRDefault="0007445E" w:rsidP="0007445E">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Factor</w:t>
            </w:r>
          </w:p>
        </w:tc>
        <w:tc>
          <w:tcPr>
            <w:tcW w:w="1473" w:type="dxa"/>
            <w:vMerge w:val="restart"/>
            <w:tcBorders>
              <w:top w:val="single" w:sz="4" w:space="0" w:color="auto"/>
              <w:bottom w:val="nil"/>
            </w:tcBorders>
          </w:tcPr>
          <w:p w:rsidR="0007445E" w:rsidRPr="0007445E" w:rsidRDefault="0007445E" w:rsidP="0007445E">
            <w:pPr>
              <w:spacing w:before="24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Conductivity (S cm</w:t>
            </w:r>
            <w:r w:rsidRPr="0007445E">
              <w:rPr>
                <w:rFonts w:ascii="Times New Roman" w:hAnsi="Times New Roman" w:cs="Times New Roman"/>
                <w:sz w:val="20"/>
                <w:szCs w:val="20"/>
                <w:vertAlign w:val="superscript"/>
              </w:rPr>
              <w:t>-1</w:t>
            </w:r>
            <w:r w:rsidRPr="0007445E">
              <w:rPr>
                <w:rFonts w:ascii="Times New Roman" w:hAnsi="Times New Roman" w:cs="Times New Roman"/>
                <w:sz w:val="20"/>
                <w:szCs w:val="20"/>
              </w:rPr>
              <w:t>)</w:t>
            </w:r>
          </w:p>
        </w:tc>
        <w:tc>
          <w:tcPr>
            <w:tcW w:w="1122" w:type="dxa"/>
            <w:tcBorders>
              <w:top w:val="single" w:sz="4" w:space="0" w:color="auto"/>
              <w:bottom w:val="nil"/>
            </w:tcBorders>
          </w:tcPr>
          <w:p w:rsidR="0007445E" w:rsidRPr="0007445E" w:rsidRDefault="0007445E" w:rsidP="0007445E">
            <w:pPr>
              <w:spacing w:before="24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S/N</w:t>
            </w:r>
          </w:p>
        </w:tc>
      </w:tr>
      <w:tr w:rsidR="0007445E" w:rsidRPr="0007445E" w:rsidTr="00BA1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vMerge/>
            <w:tcBorders>
              <w:top w:val="nil"/>
              <w:bottom w:val="single" w:sz="4" w:space="0" w:color="auto"/>
            </w:tcBorders>
          </w:tcPr>
          <w:p w:rsidR="0007445E" w:rsidRPr="0007445E" w:rsidRDefault="0007445E" w:rsidP="0007445E">
            <w:pPr>
              <w:spacing w:after="0" w:line="240" w:lineRule="auto"/>
              <w:rPr>
                <w:rFonts w:ascii="Times New Roman" w:hAnsi="Times New Roman" w:cs="Times New Roman"/>
                <w:sz w:val="20"/>
                <w:szCs w:val="20"/>
              </w:rPr>
            </w:pPr>
          </w:p>
        </w:tc>
        <w:tc>
          <w:tcPr>
            <w:tcW w:w="1212" w:type="dxa"/>
            <w:tcBorders>
              <w:top w:val="single" w:sz="4" w:space="0" w:color="auto"/>
              <w:bottom w:val="single" w:sz="4" w:space="0" w:color="auto"/>
            </w:tcBorders>
          </w:tcPr>
          <w:p w:rsidR="0007445E" w:rsidRPr="0007445E" w:rsidRDefault="0007445E" w:rsidP="0007445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7445E">
              <w:rPr>
                <w:rFonts w:ascii="Times New Roman" w:hAnsi="Times New Roman" w:cs="Times New Roman"/>
                <w:b/>
                <w:sz w:val="20"/>
                <w:szCs w:val="20"/>
              </w:rPr>
              <w:t>Amount of SDP (mole fraction to CDP)</w:t>
            </w:r>
          </w:p>
        </w:tc>
        <w:tc>
          <w:tcPr>
            <w:tcW w:w="1211" w:type="dxa"/>
            <w:tcBorders>
              <w:top w:val="single" w:sz="4" w:space="0" w:color="auto"/>
              <w:bottom w:val="single" w:sz="4" w:space="0" w:color="auto"/>
            </w:tcBorders>
          </w:tcPr>
          <w:p w:rsidR="0007445E" w:rsidRPr="0007445E" w:rsidRDefault="0007445E" w:rsidP="0007445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7445E">
              <w:rPr>
                <w:rFonts w:ascii="Times New Roman" w:hAnsi="Times New Roman" w:cs="Times New Roman"/>
                <w:b/>
                <w:sz w:val="20"/>
                <w:szCs w:val="20"/>
              </w:rPr>
              <w:t>Amount of SiO</w:t>
            </w:r>
            <w:r w:rsidRPr="0007445E">
              <w:rPr>
                <w:rFonts w:ascii="Times New Roman" w:hAnsi="Times New Roman" w:cs="Times New Roman"/>
                <w:b/>
                <w:sz w:val="20"/>
                <w:szCs w:val="20"/>
                <w:vertAlign w:val="subscript"/>
              </w:rPr>
              <w:t>2</w:t>
            </w:r>
            <w:r w:rsidRPr="0007445E">
              <w:rPr>
                <w:rFonts w:ascii="Times New Roman" w:hAnsi="Times New Roman" w:cs="Times New Roman"/>
                <w:b/>
                <w:sz w:val="20"/>
                <w:szCs w:val="20"/>
              </w:rPr>
              <w:t xml:space="preserve"> (mole fraction to CDP)</w:t>
            </w:r>
          </w:p>
        </w:tc>
        <w:tc>
          <w:tcPr>
            <w:tcW w:w="1619" w:type="dxa"/>
            <w:tcBorders>
              <w:top w:val="single" w:sz="4" w:space="0" w:color="auto"/>
              <w:bottom w:val="single" w:sz="4" w:space="0" w:color="auto"/>
            </w:tcBorders>
          </w:tcPr>
          <w:p w:rsidR="0007445E" w:rsidRPr="0007445E" w:rsidRDefault="0007445E" w:rsidP="0007445E">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7445E">
              <w:rPr>
                <w:rFonts w:ascii="Times New Roman" w:hAnsi="Times New Roman" w:cs="Times New Roman"/>
                <w:b/>
                <w:sz w:val="20"/>
                <w:szCs w:val="20"/>
              </w:rPr>
              <w:t>Pressure Applied during Pellet Production (tonnes cm</w:t>
            </w:r>
            <w:r w:rsidRPr="0007445E">
              <w:rPr>
                <w:rFonts w:ascii="Times New Roman" w:hAnsi="Times New Roman" w:cs="Times New Roman"/>
                <w:b/>
                <w:sz w:val="20"/>
                <w:szCs w:val="20"/>
                <w:vertAlign w:val="superscript"/>
              </w:rPr>
              <w:t>-2</w:t>
            </w:r>
            <w:r w:rsidRPr="0007445E">
              <w:rPr>
                <w:rFonts w:ascii="Times New Roman" w:hAnsi="Times New Roman" w:cs="Times New Roman"/>
                <w:b/>
                <w:sz w:val="20"/>
                <w:szCs w:val="20"/>
              </w:rPr>
              <w:t>)</w:t>
            </w:r>
          </w:p>
        </w:tc>
        <w:tc>
          <w:tcPr>
            <w:tcW w:w="1362" w:type="dxa"/>
            <w:tcBorders>
              <w:top w:val="single" w:sz="4" w:space="0" w:color="auto"/>
              <w:bottom w:val="single" w:sz="4" w:space="0" w:color="auto"/>
            </w:tcBorders>
          </w:tcPr>
          <w:p w:rsidR="0007445E" w:rsidRPr="0007445E" w:rsidRDefault="0007445E" w:rsidP="0007445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7445E">
              <w:rPr>
                <w:rFonts w:ascii="Times New Roman" w:hAnsi="Times New Roman" w:cs="Times New Roman"/>
                <w:b/>
                <w:sz w:val="20"/>
                <w:szCs w:val="20"/>
              </w:rPr>
              <w:t>Operating Temperature (°C)</w:t>
            </w:r>
          </w:p>
        </w:tc>
        <w:tc>
          <w:tcPr>
            <w:tcW w:w="1473" w:type="dxa"/>
            <w:vMerge/>
            <w:tcBorders>
              <w:top w:val="nil"/>
              <w:bottom w:val="single" w:sz="4" w:space="0" w:color="auto"/>
            </w:tcBorders>
          </w:tcPr>
          <w:p w:rsidR="0007445E" w:rsidRPr="0007445E" w:rsidRDefault="0007445E" w:rsidP="0007445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1122" w:type="dxa"/>
            <w:tcBorders>
              <w:top w:val="nil"/>
              <w:bottom w:val="single" w:sz="4" w:space="0" w:color="auto"/>
            </w:tcBorders>
          </w:tcPr>
          <w:p w:rsidR="0007445E" w:rsidRPr="0007445E" w:rsidRDefault="0007445E" w:rsidP="0007445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r>
      <w:tr w:rsidR="0007445E" w:rsidRPr="0007445E" w:rsidTr="00BA16A3">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auto"/>
              <w:bottom w:val="nil"/>
            </w:tcBorders>
          </w:tcPr>
          <w:p w:rsidR="0007445E" w:rsidRPr="0007445E" w:rsidRDefault="0007445E" w:rsidP="00BA16A3">
            <w:pPr>
              <w:spacing w:before="60" w:after="0" w:line="240" w:lineRule="auto"/>
              <w:rPr>
                <w:rFonts w:ascii="Times New Roman" w:hAnsi="Times New Roman" w:cs="Times New Roman"/>
                <w:sz w:val="20"/>
                <w:szCs w:val="20"/>
              </w:rPr>
            </w:pPr>
            <w:r w:rsidRPr="0007445E">
              <w:rPr>
                <w:rFonts w:ascii="Times New Roman" w:hAnsi="Times New Roman" w:cs="Times New Roman"/>
                <w:b w:val="0"/>
                <w:sz w:val="20"/>
                <w:szCs w:val="20"/>
              </w:rPr>
              <w:t>1</w:t>
            </w:r>
          </w:p>
        </w:tc>
        <w:tc>
          <w:tcPr>
            <w:tcW w:w="1212" w:type="dxa"/>
            <w:tcBorders>
              <w:top w:val="single" w:sz="4" w:space="0" w:color="auto"/>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0.1</w:t>
            </w:r>
          </w:p>
        </w:tc>
        <w:tc>
          <w:tcPr>
            <w:tcW w:w="1211" w:type="dxa"/>
            <w:tcBorders>
              <w:top w:val="single" w:sz="4" w:space="0" w:color="auto"/>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0.1</w:t>
            </w:r>
          </w:p>
        </w:tc>
        <w:tc>
          <w:tcPr>
            <w:tcW w:w="1619" w:type="dxa"/>
            <w:tcBorders>
              <w:top w:val="single" w:sz="4" w:space="0" w:color="auto"/>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3</w:t>
            </w:r>
          </w:p>
        </w:tc>
        <w:tc>
          <w:tcPr>
            <w:tcW w:w="1362" w:type="dxa"/>
            <w:tcBorders>
              <w:top w:val="single" w:sz="4" w:space="0" w:color="auto"/>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210</w:t>
            </w:r>
          </w:p>
        </w:tc>
        <w:tc>
          <w:tcPr>
            <w:tcW w:w="1473" w:type="dxa"/>
            <w:tcBorders>
              <w:top w:val="single" w:sz="4" w:space="0" w:color="auto"/>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4.5 x 10</w:t>
            </w:r>
            <w:r w:rsidRPr="0007445E">
              <w:rPr>
                <w:rFonts w:ascii="Times New Roman" w:hAnsi="Times New Roman" w:cs="Times New Roman"/>
                <w:sz w:val="20"/>
                <w:szCs w:val="20"/>
                <w:vertAlign w:val="superscript"/>
              </w:rPr>
              <w:t>-5</w:t>
            </w:r>
          </w:p>
        </w:tc>
        <w:tc>
          <w:tcPr>
            <w:tcW w:w="1122" w:type="dxa"/>
            <w:tcBorders>
              <w:top w:val="single" w:sz="4" w:space="0" w:color="auto"/>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-90.0</w:t>
            </w:r>
          </w:p>
        </w:tc>
      </w:tr>
      <w:tr w:rsidR="0007445E" w:rsidRPr="0007445E" w:rsidTr="00C169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7445E" w:rsidRPr="0007445E" w:rsidRDefault="0007445E" w:rsidP="00BA16A3">
            <w:pPr>
              <w:spacing w:before="60" w:after="0" w:line="240" w:lineRule="auto"/>
              <w:rPr>
                <w:rFonts w:ascii="Times New Roman" w:hAnsi="Times New Roman" w:cs="Times New Roman"/>
                <w:sz w:val="20"/>
                <w:szCs w:val="20"/>
              </w:rPr>
            </w:pPr>
            <w:r w:rsidRPr="0007445E">
              <w:rPr>
                <w:rFonts w:ascii="Times New Roman" w:hAnsi="Times New Roman" w:cs="Times New Roman"/>
                <w:b w:val="0"/>
                <w:sz w:val="20"/>
                <w:szCs w:val="20"/>
              </w:rPr>
              <w:t>2</w:t>
            </w:r>
          </w:p>
        </w:tc>
        <w:tc>
          <w:tcPr>
            <w:tcW w:w="1212"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0.1</w:t>
            </w:r>
          </w:p>
        </w:tc>
        <w:tc>
          <w:tcPr>
            <w:tcW w:w="1211"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0.2</w:t>
            </w:r>
          </w:p>
        </w:tc>
        <w:tc>
          <w:tcPr>
            <w:tcW w:w="1619"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4</w:t>
            </w:r>
          </w:p>
        </w:tc>
        <w:tc>
          <w:tcPr>
            <w:tcW w:w="1362"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230</w:t>
            </w:r>
          </w:p>
        </w:tc>
        <w:tc>
          <w:tcPr>
            <w:tcW w:w="1473"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1.3 x 10</w:t>
            </w:r>
            <w:r w:rsidRPr="0007445E">
              <w:rPr>
                <w:rFonts w:ascii="Times New Roman" w:hAnsi="Times New Roman" w:cs="Times New Roman"/>
                <w:sz w:val="20"/>
                <w:szCs w:val="20"/>
                <w:vertAlign w:val="superscript"/>
              </w:rPr>
              <w:t>-4</w:t>
            </w:r>
          </w:p>
        </w:tc>
        <w:tc>
          <w:tcPr>
            <w:tcW w:w="1122"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-78.9</w:t>
            </w:r>
          </w:p>
        </w:tc>
      </w:tr>
      <w:tr w:rsidR="0007445E" w:rsidRPr="0007445E" w:rsidTr="00C16912">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7445E" w:rsidRPr="0007445E" w:rsidRDefault="0007445E" w:rsidP="00BA16A3">
            <w:pPr>
              <w:spacing w:before="60" w:after="0" w:line="240" w:lineRule="auto"/>
              <w:rPr>
                <w:rFonts w:ascii="Times New Roman" w:hAnsi="Times New Roman" w:cs="Times New Roman"/>
                <w:sz w:val="20"/>
                <w:szCs w:val="20"/>
              </w:rPr>
            </w:pPr>
            <w:r w:rsidRPr="0007445E">
              <w:rPr>
                <w:rFonts w:ascii="Times New Roman" w:hAnsi="Times New Roman" w:cs="Times New Roman"/>
                <w:b w:val="0"/>
                <w:sz w:val="20"/>
                <w:szCs w:val="20"/>
              </w:rPr>
              <w:t>3</w:t>
            </w:r>
          </w:p>
        </w:tc>
        <w:tc>
          <w:tcPr>
            <w:tcW w:w="1212"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0.1</w:t>
            </w:r>
          </w:p>
        </w:tc>
        <w:tc>
          <w:tcPr>
            <w:tcW w:w="1211"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0.3</w:t>
            </w:r>
          </w:p>
        </w:tc>
        <w:tc>
          <w:tcPr>
            <w:tcW w:w="1619"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5</w:t>
            </w:r>
          </w:p>
        </w:tc>
        <w:tc>
          <w:tcPr>
            <w:tcW w:w="1362"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250</w:t>
            </w:r>
          </w:p>
        </w:tc>
        <w:tc>
          <w:tcPr>
            <w:tcW w:w="1473"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3.4 x 10</w:t>
            </w:r>
            <w:r w:rsidRPr="0007445E">
              <w:rPr>
                <w:rFonts w:ascii="Times New Roman" w:hAnsi="Times New Roman" w:cs="Times New Roman"/>
                <w:sz w:val="20"/>
                <w:szCs w:val="20"/>
                <w:vertAlign w:val="superscript"/>
              </w:rPr>
              <w:t>-3</w:t>
            </w:r>
          </w:p>
        </w:tc>
        <w:tc>
          <w:tcPr>
            <w:tcW w:w="1122"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-50.0</w:t>
            </w:r>
          </w:p>
        </w:tc>
      </w:tr>
      <w:tr w:rsidR="0007445E" w:rsidRPr="0007445E" w:rsidTr="00C169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7445E" w:rsidRPr="0007445E" w:rsidRDefault="0007445E" w:rsidP="00BA16A3">
            <w:pPr>
              <w:spacing w:before="60" w:after="0" w:line="240" w:lineRule="auto"/>
              <w:rPr>
                <w:rFonts w:ascii="Times New Roman" w:hAnsi="Times New Roman" w:cs="Times New Roman"/>
                <w:sz w:val="20"/>
                <w:szCs w:val="20"/>
              </w:rPr>
            </w:pPr>
            <w:r w:rsidRPr="0007445E">
              <w:rPr>
                <w:rFonts w:ascii="Times New Roman" w:hAnsi="Times New Roman" w:cs="Times New Roman"/>
                <w:b w:val="0"/>
                <w:sz w:val="20"/>
                <w:szCs w:val="20"/>
              </w:rPr>
              <w:t>4</w:t>
            </w:r>
          </w:p>
        </w:tc>
        <w:tc>
          <w:tcPr>
            <w:tcW w:w="1212"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0.2</w:t>
            </w:r>
          </w:p>
        </w:tc>
        <w:tc>
          <w:tcPr>
            <w:tcW w:w="1211"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0.1</w:t>
            </w:r>
          </w:p>
        </w:tc>
        <w:tc>
          <w:tcPr>
            <w:tcW w:w="1619"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4</w:t>
            </w:r>
          </w:p>
        </w:tc>
        <w:tc>
          <w:tcPr>
            <w:tcW w:w="1362"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250</w:t>
            </w:r>
          </w:p>
        </w:tc>
        <w:tc>
          <w:tcPr>
            <w:tcW w:w="1473"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7.6 x 10</w:t>
            </w:r>
            <w:r w:rsidRPr="0007445E">
              <w:rPr>
                <w:rFonts w:ascii="Times New Roman" w:hAnsi="Times New Roman" w:cs="Times New Roman"/>
                <w:sz w:val="20"/>
                <w:szCs w:val="20"/>
                <w:vertAlign w:val="superscript"/>
              </w:rPr>
              <w:t>-3</w:t>
            </w:r>
          </w:p>
        </w:tc>
        <w:tc>
          <w:tcPr>
            <w:tcW w:w="1122"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-43.3</w:t>
            </w:r>
          </w:p>
        </w:tc>
      </w:tr>
      <w:tr w:rsidR="0007445E" w:rsidRPr="0007445E" w:rsidTr="00C16912">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7445E" w:rsidRPr="0007445E" w:rsidRDefault="0007445E" w:rsidP="00BA16A3">
            <w:pPr>
              <w:spacing w:before="60" w:after="0" w:line="240" w:lineRule="auto"/>
              <w:rPr>
                <w:rFonts w:ascii="Times New Roman" w:hAnsi="Times New Roman" w:cs="Times New Roman"/>
                <w:sz w:val="20"/>
                <w:szCs w:val="20"/>
              </w:rPr>
            </w:pPr>
            <w:r w:rsidRPr="0007445E">
              <w:rPr>
                <w:rFonts w:ascii="Times New Roman" w:hAnsi="Times New Roman" w:cs="Times New Roman"/>
                <w:b w:val="0"/>
                <w:sz w:val="20"/>
                <w:szCs w:val="20"/>
              </w:rPr>
              <w:t>5</w:t>
            </w:r>
          </w:p>
        </w:tc>
        <w:tc>
          <w:tcPr>
            <w:tcW w:w="1212"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0.2</w:t>
            </w:r>
          </w:p>
        </w:tc>
        <w:tc>
          <w:tcPr>
            <w:tcW w:w="1211"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0.2</w:t>
            </w:r>
          </w:p>
        </w:tc>
        <w:tc>
          <w:tcPr>
            <w:tcW w:w="1619"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5</w:t>
            </w:r>
          </w:p>
        </w:tc>
        <w:tc>
          <w:tcPr>
            <w:tcW w:w="1362"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210</w:t>
            </w:r>
          </w:p>
        </w:tc>
        <w:tc>
          <w:tcPr>
            <w:tcW w:w="1473"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1.1 x 10</w:t>
            </w:r>
            <w:r w:rsidRPr="0007445E">
              <w:rPr>
                <w:rFonts w:ascii="Times New Roman" w:hAnsi="Times New Roman" w:cs="Times New Roman"/>
                <w:sz w:val="20"/>
                <w:szCs w:val="20"/>
                <w:vertAlign w:val="superscript"/>
              </w:rPr>
              <w:t>-4</w:t>
            </w:r>
          </w:p>
        </w:tc>
        <w:tc>
          <w:tcPr>
            <w:tcW w:w="1122"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-85.5</w:t>
            </w:r>
          </w:p>
        </w:tc>
      </w:tr>
      <w:tr w:rsidR="0007445E" w:rsidRPr="0007445E" w:rsidTr="00C169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7445E" w:rsidRPr="0007445E" w:rsidRDefault="0007445E" w:rsidP="00BA16A3">
            <w:pPr>
              <w:spacing w:before="60" w:after="0" w:line="240" w:lineRule="auto"/>
              <w:rPr>
                <w:rFonts w:ascii="Times New Roman" w:hAnsi="Times New Roman" w:cs="Times New Roman"/>
                <w:sz w:val="20"/>
                <w:szCs w:val="20"/>
              </w:rPr>
            </w:pPr>
            <w:r w:rsidRPr="0007445E">
              <w:rPr>
                <w:rFonts w:ascii="Times New Roman" w:hAnsi="Times New Roman" w:cs="Times New Roman"/>
                <w:b w:val="0"/>
                <w:sz w:val="20"/>
                <w:szCs w:val="20"/>
              </w:rPr>
              <w:t>6</w:t>
            </w:r>
          </w:p>
        </w:tc>
        <w:tc>
          <w:tcPr>
            <w:tcW w:w="1212"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0.2</w:t>
            </w:r>
          </w:p>
        </w:tc>
        <w:tc>
          <w:tcPr>
            <w:tcW w:w="1211"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0.3</w:t>
            </w:r>
          </w:p>
        </w:tc>
        <w:tc>
          <w:tcPr>
            <w:tcW w:w="1619"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3</w:t>
            </w:r>
          </w:p>
        </w:tc>
        <w:tc>
          <w:tcPr>
            <w:tcW w:w="1362"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230</w:t>
            </w:r>
          </w:p>
        </w:tc>
        <w:tc>
          <w:tcPr>
            <w:tcW w:w="1473"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3.4 x 10</w:t>
            </w:r>
            <w:r w:rsidRPr="0007445E">
              <w:rPr>
                <w:rFonts w:ascii="Times New Roman" w:hAnsi="Times New Roman" w:cs="Times New Roman"/>
                <w:sz w:val="20"/>
                <w:szCs w:val="20"/>
                <w:vertAlign w:val="superscript"/>
              </w:rPr>
              <w:t>-3</w:t>
            </w:r>
          </w:p>
        </w:tc>
        <w:tc>
          <w:tcPr>
            <w:tcW w:w="1122"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-59.9</w:t>
            </w:r>
          </w:p>
        </w:tc>
      </w:tr>
      <w:tr w:rsidR="0007445E" w:rsidRPr="0007445E" w:rsidTr="00C16912">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7445E" w:rsidRPr="0007445E" w:rsidRDefault="0007445E" w:rsidP="00BA16A3">
            <w:pPr>
              <w:spacing w:before="60" w:after="0" w:line="240" w:lineRule="auto"/>
              <w:rPr>
                <w:rFonts w:ascii="Times New Roman" w:hAnsi="Times New Roman" w:cs="Times New Roman"/>
                <w:sz w:val="20"/>
                <w:szCs w:val="20"/>
              </w:rPr>
            </w:pPr>
            <w:r w:rsidRPr="0007445E">
              <w:rPr>
                <w:rFonts w:ascii="Times New Roman" w:hAnsi="Times New Roman" w:cs="Times New Roman"/>
                <w:b w:val="0"/>
                <w:sz w:val="20"/>
                <w:szCs w:val="20"/>
              </w:rPr>
              <w:t>7</w:t>
            </w:r>
          </w:p>
        </w:tc>
        <w:tc>
          <w:tcPr>
            <w:tcW w:w="1212"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0.3</w:t>
            </w:r>
          </w:p>
        </w:tc>
        <w:tc>
          <w:tcPr>
            <w:tcW w:w="1211"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0.1</w:t>
            </w:r>
          </w:p>
        </w:tc>
        <w:tc>
          <w:tcPr>
            <w:tcW w:w="1619"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5</w:t>
            </w:r>
          </w:p>
        </w:tc>
        <w:tc>
          <w:tcPr>
            <w:tcW w:w="1362"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230</w:t>
            </w:r>
          </w:p>
        </w:tc>
        <w:tc>
          <w:tcPr>
            <w:tcW w:w="1473"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4.0 x 10</w:t>
            </w:r>
            <w:r w:rsidRPr="0007445E">
              <w:rPr>
                <w:rFonts w:ascii="Times New Roman" w:hAnsi="Times New Roman" w:cs="Times New Roman"/>
                <w:sz w:val="20"/>
                <w:szCs w:val="20"/>
                <w:vertAlign w:val="superscript"/>
              </w:rPr>
              <w:t>-4</w:t>
            </w:r>
          </w:p>
        </w:tc>
        <w:tc>
          <w:tcPr>
            <w:tcW w:w="1122" w:type="dxa"/>
            <w:tcBorders>
              <w:top w:val="nil"/>
              <w:bottom w:val="nil"/>
            </w:tcBorders>
          </w:tcPr>
          <w:p w:rsidR="0007445E" w:rsidRPr="0007445E" w:rsidRDefault="0007445E" w:rsidP="00BA16A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-77.9</w:t>
            </w:r>
          </w:p>
        </w:tc>
      </w:tr>
      <w:tr w:rsidR="0007445E" w:rsidRPr="0007445E" w:rsidTr="00BA1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nil"/>
              <w:bottom w:val="nil"/>
            </w:tcBorders>
          </w:tcPr>
          <w:p w:rsidR="0007445E" w:rsidRPr="0007445E" w:rsidRDefault="0007445E" w:rsidP="00BA16A3">
            <w:pPr>
              <w:spacing w:before="60" w:after="0" w:line="240" w:lineRule="auto"/>
              <w:rPr>
                <w:rFonts w:ascii="Times New Roman" w:hAnsi="Times New Roman" w:cs="Times New Roman"/>
                <w:sz w:val="20"/>
                <w:szCs w:val="20"/>
              </w:rPr>
            </w:pPr>
            <w:r w:rsidRPr="0007445E">
              <w:rPr>
                <w:rFonts w:ascii="Times New Roman" w:hAnsi="Times New Roman" w:cs="Times New Roman"/>
                <w:b w:val="0"/>
                <w:sz w:val="20"/>
                <w:szCs w:val="20"/>
              </w:rPr>
              <w:t>8</w:t>
            </w:r>
          </w:p>
        </w:tc>
        <w:tc>
          <w:tcPr>
            <w:tcW w:w="1212"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0.3</w:t>
            </w:r>
          </w:p>
        </w:tc>
        <w:tc>
          <w:tcPr>
            <w:tcW w:w="1211"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0.2</w:t>
            </w:r>
          </w:p>
        </w:tc>
        <w:tc>
          <w:tcPr>
            <w:tcW w:w="1619"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3</w:t>
            </w:r>
          </w:p>
        </w:tc>
        <w:tc>
          <w:tcPr>
            <w:tcW w:w="1362"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250</w:t>
            </w:r>
          </w:p>
        </w:tc>
        <w:tc>
          <w:tcPr>
            <w:tcW w:w="1473"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7.2 x 10</w:t>
            </w:r>
            <w:r w:rsidRPr="0007445E">
              <w:rPr>
                <w:rFonts w:ascii="Times New Roman" w:hAnsi="Times New Roman" w:cs="Times New Roman"/>
                <w:sz w:val="20"/>
                <w:szCs w:val="20"/>
                <w:vertAlign w:val="superscript"/>
              </w:rPr>
              <w:t>-3</w:t>
            </w:r>
          </w:p>
        </w:tc>
        <w:tc>
          <w:tcPr>
            <w:tcW w:w="1122" w:type="dxa"/>
            <w:tcBorders>
              <w:top w:val="nil"/>
              <w:bottom w:val="nil"/>
            </w:tcBorders>
          </w:tcPr>
          <w:p w:rsidR="0007445E" w:rsidRPr="0007445E" w:rsidRDefault="0007445E" w:rsidP="00BA16A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-43.1</w:t>
            </w:r>
          </w:p>
        </w:tc>
      </w:tr>
      <w:tr w:rsidR="0007445E" w:rsidRPr="0007445E" w:rsidTr="00BA16A3">
        <w:tc>
          <w:tcPr>
            <w:cnfStyle w:val="001000000000" w:firstRow="0" w:lastRow="0" w:firstColumn="1" w:lastColumn="0" w:oddVBand="0" w:evenVBand="0" w:oddHBand="0" w:evenHBand="0" w:firstRowFirstColumn="0" w:firstRowLastColumn="0" w:lastRowFirstColumn="0" w:lastRowLastColumn="0"/>
            <w:tcW w:w="1203" w:type="dxa"/>
            <w:tcBorders>
              <w:top w:val="nil"/>
              <w:bottom w:val="single" w:sz="4" w:space="0" w:color="auto"/>
            </w:tcBorders>
          </w:tcPr>
          <w:p w:rsidR="0007445E" w:rsidRPr="0007445E" w:rsidRDefault="0007445E" w:rsidP="00BA16A3">
            <w:pPr>
              <w:spacing w:before="60" w:after="60" w:line="240" w:lineRule="auto"/>
              <w:rPr>
                <w:rFonts w:ascii="Times New Roman" w:hAnsi="Times New Roman" w:cs="Times New Roman"/>
                <w:sz w:val="20"/>
                <w:szCs w:val="20"/>
              </w:rPr>
            </w:pPr>
            <w:r w:rsidRPr="0007445E">
              <w:rPr>
                <w:rFonts w:ascii="Times New Roman" w:hAnsi="Times New Roman" w:cs="Times New Roman"/>
                <w:b w:val="0"/>
                <w:sz w:val="20"/>
                <w:szCs w:val="20"/>
              </w:rPr>
              <w:t>9</w:t>
            </w:r>
          </w:p>
        </w:tc>
        <w:tc>
          <w:tcPr>
            <w:tcW w:w="1212" w:type="dxa"/>
            <w:tcBorders>
              <w:top w:val="nil"/>
              <w:bottom w:val="single" w:sz="4" w:space="0" w:color="auto"/>
            </w:tcBorders>
          </w:tcPr>
          <w:p w:rsidR="0007445E" w:rsidRPr="0007445E" w:rsidRDefault="0007445E" w:rsidP="00BA16A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0.3</w:t>
            </w:r>
          </w:p>
        </w:tc>
        <w:tc>
          <w:tcPr>
            <w:tcW w:w="1211" w:type="dxa"/>
            <w:tcBorders>
              <w:top w:val="nil"/>
              <w:bottom w:val="single" w:sz="4" w:space="0" w:color="auto"/>
            </w:tcBorders>
          </w:tcPr>
          <w:p w:rsidR="0007445E" w:rsidRPr="0007445E" w:rsidRDefault="0007445E" w:rsidP="00BA16A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0.3</w:t>
            </w:r>
          </w:p>
        </w:tc>
        <w:tc>
          <w:tcPr>
            <w:tcW w:w="1619" w:type="dxa"/>
            <w:tcBorders>
              <w:top w:val="nil"/>
              <w:bottom w:val="single" w:sz="4" w:space="0" w:color="auto"/>
            </w:tcBorders>
          </w:tcPr>
          <w:p w:rsidR="0007445E" w:rsidRPr="0007445E" w:rsidRDefault="0007445E" w:rsidP="00BA16A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4</w:t>
            </w:r>
          </w:p>
        </w:tc>
        <w:tc>
          <w:tcPr>
            <w:tcW w:w="1362" w:type="dxa"/>
            <w:tcBorders>
              <w:top w:val="nil"/>
              <w:bottom w:val="single" w:sz="4" w:space="0" w:color="auto"/>
            </w:tcBorders>
          </w:tcPr>
          <w:p w:rsidR="0007445E" w:rsidRPr="0007445E" w:rsidRDefault="0007445E" w:rsidP="00BA16A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210</w:t>
            </w:r>
          </w:p>
        </w:tc>
        <w:tc>
          <w:tcPr>
            <w:tcW w:w="1473" w:type="dxa"/>
            <w:tcBorders>
              <w:top w:val="nil"/>
              <w:bottom w:val="single" w:sz="4" w:space="0" w:color="auto"/>
            </w:tcBorders>
          </w:tcPr>
          <w:p w:rsidR="0007445E" w:rsidRPr="0007445E" w:rsidRDefault="0007445E" w:rsidP="00BA16A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3.8 x 10</w:t>
            </w:r>
            <w:r w:rsidRPr="0007445E">
              <w:rPr>
                <w:rFonts w:ascii="Times New Roman" w:hAnsi="Times New Roman" w:cs="Times New Roman"/>
                <w:sz w:val="20"/>
                <w:szCs w:val="20"/>
                <w:vertAlign w:val="superscript"/>
              </w:rPr>
              <w:t>-4</w:t>
            </w:r>
          </w:p>
        </w:tc>
        <w:tc>
          <w:tcPr>
            <w:tcW w:w="1122" w:type="dxa"/>
            <w:tcBorders>
              <w:top w:val="nil"/>
              <w:bottom w:val="single" w:sz="4" w:space="0" w:color="auto"/>
            </w:tcBorders>
          </w:tcPr>
          <w:p w:rsidR="0007445E" w:rsidRPr="0007445E" w:rsidRDefault="0007445E" w:rsidP="00BA16A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45E">
              <w:rPr>
                <w:rFonts w:ascii="Times New Roman" w:hAnsi="Times New Roman" w:cs="Times New Roman"/>
                <w:sz w:val="20"/>
                <w:szCs w:val="20"/>
              </w:rPr>
              <w:t>-90.5</w:t>
            </w:r>
          </w:p>
        </w:tc>
      </w:tr>
    </w:tbl>
    <w:p w:rsidR="0007445E" w:rsidRPr="0007445E" w:rsidRDefault="0007445E" w:rsidP="00BA16A3">
      <w:pPr>
        <w:spacing w:after="120" w:line="240" w:lineRule="auto"/>
        <w:jc w:val="both"/>
        <w:rPr>
          <w:rFonts w:ascii="Times New Roman" w:hAnsi="Times New Roman"/>
          <w:sz w:val="20"/>
          <w:szCs w:val="20"/>
        </w:rPr>
      </w:pPr>
    </w:p>
    <w:p w:rsidR="0007445E" w:rsidRPr="0007445E" w:rsidRDefault="0007445E" w:rsidP="0007445E">
      <w:pPr>
        <w:pBdr>
          <w:top w:val="nil"/>
          <w:left w:val="nil"/>
          <w:bottom w:val="nil"/>
          <w:right w:val="nil"/>
          <w:between w:val="nil"/>
        </w:pBdr>
        <w:spacing w:after="0" w:line="240" w:lineRule="auto"/>
        <w:jc w:val="both"/>
        <w:rPr>
          <w:rFonts w:ascii="Times New Roman" w:hAnsi="Times New Roman"/>
          <w:sz w:val="20"/>
          <w:szCs w:val="20"/>
        </w:rPr>
      </w:pPr>
      <w:r w:rsidRPr="0007445E">
        <w:rPr>
          <w:rFonts w:ascii="Times New Roman" w:hAnsi="Times New Roman"/>
          <w:sz w:val="20"/>
          <w:szCs w:val="20"/>
        </w:rPr>
        <w:t>The S/N values in Table 2 were used to obtain the averaged S/N values in Table 3. The difference between the highest averaged S/N value and the lowest averaged S/N value for each factor was then calculated (Table 3). The largest difference indicates the most significant factor. Operating temperature (°C) has the largest effect on the conductivity values of solid acid composites, followed by the amount of SDP, the pressure applied during pellet production and the amount of SiO</w:t>
      </w:r>
      <w:r w:rsidRPr="0007445E">
        <w:rPr>
          <w:rFonts w:ascii="Times New Roman" w:hAnsi="Times New Roman"/>
          <w:sz w:val="20"/>
          <w:szCs w:val="20"/>
          <w:vertAlign w:val="subscript"/>
        </w:rPr>
        <w:t>2</w:t>
      </w:r>
      <w:r w:rsidRPr="0007445E">
        <w:rPr>
          <w:rFonts w:ascii="Times New Roman" w:hAnsi="Times New Roman"/>
          <w:sz w:val="20"/>
          <w:szCs w:val="20"/>
        </w:rPr>
        <w:t>. This finding supports the reported property of solid acids, namely, its high dependence on temperature, where the conductivity increases by two to three orders of magnitude at its superprotonic temperature. The amount of SiO</w:t>
      </w:r>
      <w:r w:rsidRPr="0007445E">
        <w:rPr>
          <w:rFonts w:ascii="Times New Roman" w:hAnsi="Times New Roman"/>
          <w:sz w:val="20"/>
          <w:szCs w:val="20"/>
          <w:vertAlign w:val="subscript"/>
        </w:rPr>
        <w:t>2</w:t>
      </w:r>
      <w:r w:rsidRPr="0007445E">
        <w:rPr>
          <w:rFonts w:ascii="Times New Roman" w:hAnsi="Times New Roman"/>
          <w:sz w:val="20"/>
          <w:szCs w:val="20"/>
        </w:rPr>
        <w:t xml:space="preserve"> has the smallest effect on the conductivity values of solid acid composites. This characteristic enables the addition of SiO</w:t>
      </w:r>
      <w:r w:rsidRPr="0007445E">
        <w:rPr>
          <w:rFonts w:ascii="Times New Roman" w:hAnsi="Times New Roman"/>
          <w:sz w:val="20"/>
          <w:szCs w:val="20"/>
          <w:vertAlign w:val="subscript"/>
        </w:rPr>
        <w:t>2</w:t>
      </w:r>
      <w:r w:rsidRPr="0007445E">
        <w:rPr>
          <w:rFonts w:ascii="Times New Roman" w:hAnsi="Times New Roman"/>
          <w:sz w:val="20"/>
          <w:szCs w:val="20"/>
        </w:rPr>
        <w:t xml:space="preserve"> to produce solid acid composites that are more robust and less brittle [</w:t>
      </w:r>
      <w:hyperlink w:anchor="_2s8eyo1">
        <w:r w:rsidRPr="0007445E">
          <w:rPr>
            <w:rFonts w:ascii="Times New Roman" w:hAnsi="Times New Roman"/>
            <w:sz w:val="20"/>
            <w:szCs w:val="20"/>
          </w:rPr>
          <w:t>9</w:t>
        </w:r>
      </w:hyperlink>
      <w:r w:rsidRPr="0007445E">
        <w:rPr>
          <w:rFonts w:ascii="Times New Roman" w:hAnsi="Times New Roman"/>
          <w:sz w:val="20"/>
          <w:szCs w:val="20"/>
        </w:rPr>
        <w:t xml:space="preserve">, </w:t>
      </w:r>
      <w:hyperlink w:anchor="_26in1rg">
        <w:r w:rsidRPr="0007445E">
          <w:rPr>
            <w:rFonts w:ascii="Times New Roman" w:hAnsi="Times New Roman"/>
            <w:sz w:val="20"/>
            <w:szCs w:val="20"/>
          </w:rPr>
          <w:t>12</w:t>
        </w:r>
      </w:hyperlink>
      <w:r w:rsidRPr="0007445E">
        <w:rPr>
          <w:rFonts w:ascii="Times New Roman" w:hAnsi="Times New Roman"/>
          <w:sz w:val="20"/>
          <w:szCs w:val="20"/>
        </w:rPr>
        <w:t xml:space="preserve">] without significantly reducing the conductivity of the composite. </w:t>
      </w:r>
    </w:p>
    <w:p w:rsidR="0007445E" w:rsidRPr="0007445E" w:rsidRDefault="0007445E" w:rsidP="00BA16A3">
      <w:pPr>
        <w:pBdr>
          <w:top w:val="nil"/>
          <w:left w:val="nil"/>
          <w:bottom w:val="nil"/>
          <w:right w:val="nil"/>
          <w:between w:val="nil"/>
        </w:pBdr>
        <w:spacing w:after="120" w:line="240" w:lineRule="auto"/>
        <w:jc w:val="both"/>
        <w:rPr>
          <w:rFonts w:ascii="Times New Roman" w:hAnsi="Times New Roman"/>
          <w:sz w:val="20"/>
          <w:szCs w:val="20"/>
        </w:rPr>
      </w:pPr>
    </w:p>
    <w:p w:rsidR="0007445E" w:rsidRPr="0007445E" w:rsidRDefault="0007445E" w:rsidP="00BA16A3">
      <w:pPr>
        <w:pBdr>
          <w:top w:val="nil"/>
          <w:left w:val="nil"/>
          <w:bottom w:val="nil"/>
          <w:right w:val="nil"/>
          <w:between w:val="nil"/>
        </w:pBdr>
        <w:spacing w:after="120" w:line="240" w:lineRule="auto"/>
        <w:jc w:val="center"/>
        <w:rPr>
          <w:rFonts w:ascii="Times New Roman" w:hAnsi="Times New Roman"/>
          <w:sz w:val="20"/>
          <w:szCs w:val="20"/>
        </w:rPr>
      </w:pPr>
      <w:r w:rsidRPr="0007445E">
        <w:rPr>
          <w:rFonts w:ascii="Times New Roman" w:hAnsi="Times New Roman"/>
          <w:sz w:val="20"/>
          <w:szCs w:val="20"/>
        </w:rPr>
        <w:t xml:space="preserve">Table 3. </w:t>
      </w:r>
      <w:r w:rsidR="00BA16A3">
        <w:rPr>
          <w:rFonts w:ascii="Times New Roman" w:hAnsi="Times New Roman"/>
          <w:sz w:val="20"/>
          <w:szCs w:val="20"/>
        </w:rPr>
        <w:t xml:space="preserve"> </w:t>
      </w:r>
      <w:r w:rsidRPr="0007445E">
        <w:rPr>
          <w:rFonts w:ascii="Times New Roman" w:hAnsi="Times New Roman"/>
          <w:sz w:val="20"/>
          <w:szCs w:val="20"/>
        </w:rPr>
        <w:t>Ranking of factors which affect the conductivity of the CDP/SDP/SiO</w:t>
      </w:r>
      <w:r w:rsidRPr="0007445E">
        <w:rPr>
          <w:rFonts w:ascii="Times New Roman" w:hAnsi="Times New Roman"/>
          <w:sz w:val="20"/>
          <w:szCs w:val="20"/>
          <w:vertAlign w:val="subscript"/>
        </w:rPr>
        <w:t>2</w:t>
      </w:r>
      <w:r w:rsidRPr="0007445E">
        <w:rPr>
          <w:rFonts w:ascii="Times New Roman" w:hAnsi="Times New Roman"/>
          <w:sz w:val="20"/>
          <w:szCs w:val="20"/>
        </w:rPr>
        <w:t xml:space="preserve"> composite</w:t>
      </w:r>
    </w:p>
    <w:tbl>
      <w:tblPr>
        <w:tblW w:w="9016" w:type="dxa"/>
        <w:jc w:val="center"/>
        <w:tblBorders>
          <w:top w:val="nil"/>
          <w:left w:val="nil"/>
          <w:bottom w:val="nil"/>
          <w:right w:val="nil"/>
          <w:insideH w:val="nil"/>
          <w:insideV w:val="nil"/>
        </w:tblBorders>
        <w:tblLayout w:type="fixed"/>
        <w:tblLook w:val="0400" w:firstRow="0" w:lastRow="0" w:firstColumn="0" w:lastColumn="0" w:noHBand="0" w:noVBand="1"/>
      </w:tblPr>
      <w:tblGrid>
        <w:gridCol w:w="1803"/>
        <w:gridCol w:w="1803"/>
        <w:gridCol w:w="1803"/>
        <w:gridCol w:w="1965"/>
        <w:gridCol w:w="1642"/>
      </w:tblGrid>
      <w:tr w:rsidR="0007445E" w:rsidRPr="0007445E" w:rsidTr="00BA16A3">
        <w:trPr>
          <w:jc w:val="center"/>
        </w:trPr>
        <w:tc>
          <w:tcPr>
            <w:tcW w:w="1803" w:type="dxa"/>
            <w:vMerge w:val="restart"/>
            <w:tcBorders>
              <w:top w:val="single" w:sz="4" w:space="0" w:color="auto"/>
              <w:left w:val="nil"/>
              <w:bottom w:val="nil"/>
              <w:right w:val="nil"/>
            </w:tcBorders>
          </w:tcPr>
          <w:p w:rsidR="0007445E" w:rsidRPr="0007445E" w:rsidRDefault="0007445E" w:rsidP="00BA16A3">
            <w:pPr>
              <w:spacing w:after="0" w:line="240" w:lineRule="auto"/>
              <w:rPr>
                <w:rFonts w:ascii="Times New Roman" w:hAnsi="Times New Roman"/>
                <w:b/>
                <w:sz w:val="20"/>
                <w:szCs w:val="20"/>
              </w:rPr>
            </w:pPr>
          </w:p>
          <w:p w:rsidR="0007445E" w:rsidRPr="0007445E" w:rsidRDefault="0007445E" w:rsidP="00BA16A3">
            <w:pPr>
              <w:spacing w:after="0" w:line="240" w:lineRule="auto"/>
              <w:rPr>
                <w:rFonts w:ascii="Times New Roman" w:hAnsi="Times New Roman"/>
                <w:b/>
                <w:sz w:val="20"/>
                <w:szCs w:val="20"/>
              </w:rPr>
            </w:pPr>
          </w:p>
          <w:p w:rsidR="0007445E" w:rsidRPr="0007445E" w:rsidRDefault="0007445E" w:rsidP="00BA16A3">
            <w:pPr>
              <w:spacing w:after="0" w:line="240" w:lineRule="auto"/>
              <w:rPr>
                <w:rFonts w:ascii="Times New Roman" w:hAnsi="Times New Roman"/>
                <w:b/>
                <w:sz w:val="20"/>
                <w:szCs w:val="20"/>
              </w:rPr>
            </w:pPr>
            <w:r w:rsidRPr="0007445E">
              <w:rPr>
                <w:rFonts w:ascii="Times New Roman" w:hAnsi="Times New Roman"/>
                <w:b/>
                <w:sz w:val="20"/>
                <w:szCs w:val="20"/>
              </w:rPr>
              <w:t>Level</w:t>
            </w:r>
          </w:p>
        </w:tc>
        <w:tc>
          <w:tcPr>
            <w:tcW w:w="7213" w:type="dxa"/>
            <w:gridSpan w:val="4"/>
            <w:tcBorders>
              <w:top w:val="single" w:sz="4" w:space="0" w:color="auto"/>
              <w:left w:val="nil"/>
              <w:bottom w:val="single" w:sz="4" w:space="0" w:color="auto"/>
              <w:right w:val="nil"/>
            </w:tcBorders>
          </w:tcPr>
          <w:p w:rsidR="0007445E" w:rsidRPr="0007445E" w:rsidRDefault="0007445E" w:rsidP="00BA16A3">
            <w:pPr>
              <w:pBdr>
                <w:top w:val="nil"/>
                <w:left w:val="nil"/>
                <w:bottom w:val="nil"/>
                <w:right w:val="nil"/>
                <w:between w:val="nil"/>
              </w:pBdr>
              <w:spacing w:before="60" w:after="0" w:line="240" w:lineRule="auto"/>
              <w:jc w:val="center"/>
              <w:rPr>
                <w:rFonts w:ascii="Times New Roman" w:hAnsi="Times New Roman"/>
                <w:b/>
                <w:sz w:val="20"/>
                <w:szCs w:val="20"/>
              </w:rPr>
            </w:pPr>
            <w:r w:rsidRPr="0007445E">
              <w:rPr>
                <w:rFonts w:ascii="Times New Roman" w:hAnsi="Times New Roman"/>
                <w:b/>
                <w:sz w:val="20"/>
                <w:szCs w:val="20"/>
              </w:rPr>
              <w:t>Averaged S/N Value for Each Factor</w:t>
            </w:r>
          </w:p>
        </w:tc>
      </w:tr>
      <w:tr w:rsidR="0007445E" w:rsidRPr="0007445E" w:rsidTr="00BA16A3">
        <w:trPr>
          <w:jc w:val="center"/>
        </w:trPr>
        <w:tc>
          <w:tcPr>
            <w:tcW w:w="1803" w:type="dxa"/>
            <w:vMerge/>
            <w:tcBorders>
              <w:top w:val="nil"/>
              <w:left w:val="nil"/>
              <w:bottom w:val="single" w:sz="4" w:space="0" w:color="auto"/>
              <w:right w:val="nil"/>
            </w:tcBorders>
          </w:tcPr>
          <w:p w:rsidR="0007445E" w:rsidRPr="0007445E" w:rsidRDefault="0007445E" w:rsidP="00BA16A3">
            <w:pPr>
              <w:spacing w:after="0" w:line="240" w:lineRule="auto"/>
              <w:rPr>
                <w:rFonts w:ascii="Times New Roman" w:hAnsi="Times New Roman"/>
                <w:b/>
                <w:sz w:val="20"/>
                <w:szCs w:val="20"/>
              </w:rPr>
            </w:pPr>
          </w:p>
        </w:tc>
        <w:tc>
          <w:tcPr>
            <w:tcW w:w="1803" w:type="dxa"/>
            <w:tcBorders>
              <w:top w:val="single" w:sz="4" w:space="0" w:color="auto"/>
              <w:left w:val="nil"/>
              <w:bottom w:val="single" w:sz="4" w:space="0" w:color="auto"/>
              <w:right w:val="nil"/>
            </w:tcBorders>
          </w:tcPr>
          <w:p w:rsidR="0007445E" w:rsidRPr="0007445E" w:rsidRDefault="0007445E" w:rsidP="00BA16A3">
            <w:pPr>
              <w:spacing w:after="0" w:line="240" w:lineRule="auto"/>
              <w:jc w:val="center"/>
              <w:rPr>
                <w:rFonts w:ascii="Times New Roman" w:hAnsi="Times New Roman"/>
                <w:b/>
                <w:sz w:val="20"/>
                <w:szCs w:val="20"/>
              </w:rPr>
            </w:pPr>
            <w:r w:rsidRPr="0007445E">
              <w:rPr>
                <w:rFonts w:ascii="Times New Roman" w:hAnsi="Times New Roman"/>
                <w:b/>
                <w:sz w:val="20"/>
                <w:szCs w:val="20"/>
              </w:rPr>
              <w:t>Amount of SDP (mole fraction to CDP)</w:t>
            </w:r>
          </w:p>
        </w:tc>
        <w:tc>
          <w:tcPr>
            <w:tcW w:w="1803" w:type="dxa"/>
            <w:tcBorders>
              <w:top w:val="single" w:sz="4" w:space="0" w:color="auto"/>
              <w:left w:val="nil"/>
              <w:bottom w:val="single" w:sz="4" w:space="0" w:color="auto"/>
              <w:right w:val="nil"/>
            </w:tcBorders>
          </w:tcPr>
          <w:p w:rsidR="0007445E" w:rsidRPr="0007445E" w:rsidRDefault="0007445E" w:rsidP="00BA16A3">
            <w:pPr>
              <w:spacing w:after="0" w:line="240" w:lineRule="auto"/>
              <w:jc w:val="center"/>
              <w:rPr>
                <w:rFonts w:ascii="Times New Roman" w:hAnsi="Times New Roman"/>
                <w:b/>
                <w:sz w:val="20"/>
                <w:szCs w:val="20"/>
              </w:rPr>
            </w:pPr>
            <w:r w:rsidRPr="0007445E">
              <w:rPr>
                <w:rFonts w:ascii="Times New Roman" w:hAnsi="Times New Roman"/>
                <w:b/>
                <w:sz w:val="20"/>
                <w:szCs w:val="20"/>
              </w:rPr>
              <w:t>Amount of SiO</w:t>
            </w:r>
            <w:r w:rsidRPr="0007445E">
              <w:rPr>
                <w:rFonts w:ascii="Times New Roman" w:hAnsi="Times New Roman"/>
                <w:b/>
                <w:sz w:val="20"/>
                <w:szCs w:val="20"/>
                <w:vertAlign w:val="subscript"/>
              </w:rPr>
              <w:t>2</w:t>
            </w:r>
            <w:r w:rsidRPr="0007445E">
              <w:rPr>
                <w:rFonts w:ascii="Times New Roman" w:hAnsi="Times New Roman"/>
                <w:b/>
                <w:sz w:val="20"/>
                <w:szCs w:val="20"/>
              </w:rPr>
              <w:t xml:space="preserve"> (mole fraction to CDP)</w:t>
            </w:r>
          </w:p>
        </w:tc>
        <w:tc>
          <w:tcPr>
            <w:tcW w:w="1965" w:type="dxa"/>
            <w:tcBorders>
              <w:top w:val="single" w:sz="4" w:space="0" w:color="auto"/>
              <w:left w:val="nil"/>
              <w:bottom w:val="single" w:sz="4" w:space="0" w:color="auto"/>
              <w:right w:val="nil"/>
            </w:tcBorders>
          </w:tcPr>
          <w:p w:rsidR="0007445E" w:rsidRPr="0007445E" w:rsidRDefault="0007445E" w:rsidP="00BA16A3">
            <w:pPr>
              <w:spacing w:after="60" w:line="240" w:lineRule="auto"/>
              <w:jc w:val="center"/>
              <w:rPr>
                <w:rFonts w:ascii="Times New Roman" w:hAnsi="Times New Roman"/>
                <w:b/>
                <w:sz w:val="20"/>
                <w:szCs w:val="20"/>
              </w:rPr>
            </w:pPr>
            <w:r w:rsidRPr="0007445E">
              <w:rPr>
                <w:rFonts w:ascii="Times New Roman" w:hAnsi="Times New Roman"/>
                <w:b/>
                <w:sz w:val="20"/>
                <w:szCs w:val="20"/>
              </w:rPr>
              <w:t xml:space="preserve">Pressure </w:t>
            </w:r>
            <w:r w:rsidR="00BA16A3">
              <w:rPr>
                <w:rFonts w:ascii="Times New Roman" w:hAnsi="Times New Roman"/>
                <w:b/>
                <w:sz w:val="20"/>
                <w:szCs w:val="20"/>
              </w:rPr>
              <w:t xml:space="preserve">Applied </w:t>
            </w:r>
            <w:r w:rsidRPr="0007445E">
              <w:rPr>
                <w:rFonts w:ascii="Times New Roman" w:hAnsi="Times New Roman"/>
                <w:b/>
                <w:sz w:val="20"/>
                <w:szCs w:val="20"/>
              </w:rPr>
              <w:t>d</w:t>
            </w:r>
            <w:r w:rsidR="00BA16A3">
              <w:rPr>
                <w:rFonts w:ascii="Times New Roman" w:hAnsi="Times New Roman"/>
                <w:b/>
                <w:sz w:val="20"/>
                <w:szCs w:val="20"/>
              </w:rPr>
              <w:t xml:space="preserve">uring Pellet </w:t>
            </w:r>
            <w:r w:rsidRPr="0007445E">
              <w:rPr>
                <w:rFonts w:ascii="Times New Roman" w:hAnsi="Times New Roman"/>
                <w:b/>
                <w:sz w:val="20"/>
                <w:szCs w:val="20"/>
              </w:rPr>
              <w:t>Production (tonnes cm</w:t>
            </w:r>
            <w:r w:rsidRPr="0007445E">
              <w:rPr>
                <w:rFonts w:ascii="Times New Roman" w:hAnsi="Times New Roman"/>
                <w:b/>
                <w:sz w:val="20"/>
                <w:szCs w:val="20"/>
                <w:vertAlign w:val="superscript"/>
              </w:rPr>
              <w:t>-2</w:t>
            </w:r>
            <w:r w:rsidRPr="0007445E">
              <w:rPr>
                <w:rFonts w:ascii="Times New Roman" w:hAnsi="Times New Roman"/>
                <w:b/>
                <w:sz w:val="20"/>
                <w:szCs w:val="20"/>
              </w:rPr>
              <w:t>)</w:t>
            </w:r>
          </w:p>
        </w:tc>
        <w:tc>
          <w:tcPr>
            <w:tcW w:w="1642" w:type="dxa"/>
            <w:tcBorders>
              <w:top w:val="single" w:sz="4" w:space="0" w:color="auto"/>
              <w:left w:val="nil"/>
              <w:bottom w:val="single" w:sz="4" w:space="0" w:color="auto"/>
              <w:right w:val="nil"/>
            </w:tcBorders>
          </w:tcPr>
          <w:p w:rsidR="0007445E" w:rsidRPr="0007445E" w:rsidRDefault="0007445E" w:rsidP="00BA16A3">
            <w:pPr>
              <w:spacing w:after="0" w:line="240" w:lineRule="auto"/>
              <w:jc w:val="center"/>
              <w:rPr>
                <w:rFonts w:ascii="Times New Roman" w:hAnsi="Times New Roman"/>
                <w:b/>
                <w:sz w:val="20"/>
                <w:szCs w:val="20"/>
              </w:rPr>
            </w:pPr>
            <w:r w:rsidRPr="0007445E">
              <w:rPr>
                <w:rFonts w:ascii="Times New Roman" w:hAnsi="Times New Roman"/>
                <w:b/>
                <w:sz w:val="20"/>
                <w:szCs w:val="20"/>
              </w:rPr>
              <w:t>Operating Temperature</w:t>
            </w:r>
          </w:p>
          <w:p w:rsidR="0007445E" w:rsidRPr="0007445E" w:rsidRDefault="0007445E" w:rsidP="00BA16A3">
            <w:pPr>
              <w:spacing w:after="0" w:line="240" w:lineRule="auto"/>
              <w:jc w:val="center"/>
              <w:rPr>
                <w:rFonts w:ascii="Times New Roman" w:hAnsi="Times New Roman"/>
                <w:b/>
                <w:sz w:val="20"/>
                <w:szCs w:val="20"/>
              </w:rPr>
            </w:pPr>
            <w:r w:rsidRPr="0007445E">
              <w:rPr>
                <w:rFonts w:ascii="Times New Roman" w:hAnsi="Times New Roman"/>
                <w:b/>
                <w:sz w:val="20"/>
                <w:szCs w:val="20"/>
              </w:rPr>
              <w:t>(°C)</w:t>
            </w:r>
          </w:p>
        </w:tc>
      </w:tr>
      <w:tr w:rsidR="0007445E" w:rsidRPr="0007445E" w:rsidTr="00BA16A3">
        <w:trPr>
          <w:jc w:val="center"/>
        </w:trPr>
        <w:tc>
          <w:tcPr>
            <w:tcW w:w="1803" w:type="dxa"/>
            <w:tcBorders>
              <w:top w:val="single" w:sz="4" w:space="0" w:color="auto"/>
            </w:tcBorders>
          </w:tcPr>
          <w:p w:rsidR="0007445E" w:rsidRPr="0007445E" w:rsidRDefault="0007445E" w:rsidP="00BA16A3">
            <w:pPr>
              <w:spacing w:before="60" w:after="0" w:line="240" w:lineRule="auto"/>
              <w:rPr>
                <w:rFonts w:ascii="Times New Roman" w:hAnsi="Times New Roman"/>
                <w:sz w:val="20"/>
                <w:szCs w:val="20"/>
              </w:rPr>
            </w:pPr>
            <w:r w:rsidRPr="0007445E">
              <w:rPr>
                <w:rFonts w:ascii="Times New Roman" w:hAnsi="Times New Roman"/>
                <w:sz w:val="20"/>
                <w:szCs w:val="20"/>
              </w:rPr>
              <w:t>1</w:t>
            </w:r>
          </w:p>
        </w:tc>
        <w:tc>
          <w:tcPr>
            <w:tcW w:w="1803" w:type="dxa"/>
            <w:tcBorders>
              <w:top w:val="single" w:sz="4" w:space="0" w:color="auto"/>
            </w:tcBorders>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-72.97</w:t>
            </w:r>
          </w:p>
        </w:tc>
        <w:tc>
          <w:tcPr>
            <w:tcW w:w="1803" w:type="dxa"/>
            <w:tcBorders>
              <w:top w:val="single" w:sz="4" w:space="0" w:color="auto"/>
            </w:tcBorders>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-70.38</w:t>
            </w:r>
          </w:p>
        </w:tc>
        <w:tc>
          <w:tcPr>
            <w:tcW w:w="1965" w:type="dxa"/>
            <w:tcBorders>
              <w:top w:val="single" w:sz="4" w:space="0" w:color="auto"/>
            </w:tcBorders>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-64.31</w:t>
            </w:r>
          </w:p>
        </w:tc>
        <w:tc>
          <w:tcPr>
            <w:tcW w:w="1642" w:type="dxa"/>
            <w:tcBorders>
              <w:top w:val="single" w:sz="4" w:space="0" w:color="auto"/>
            </w:tcBorders>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-88.65</w:t>
            </w:r>
          </w:p>
        </w:tc>
      </w:tr>
      <w:tr w:rsidR="0007445E" w:rsidRPr="0007445E" w:rsidTr="00BA16A3">
        <w:trPr>
          <w:jc w:val="center"/>
        </w:trPr>
        <w:tc>
          <w:tcPr>
            <w:tcW w:w="1803" w:type="dxa"/>
          </w:tcPr>
          <w:p w:rsidR="0007445E" w:rsidRPr="0007445E" w:rsidRDefault="0007445E" w:rsidP="00BA16A3">
            <w:pPr>
              <w:spacing w:before="60" w:after="0" w:line="240" w:lineRule="auto"/>
              <w:rPr>
                <w:rFonts w:ascii="Times New Roman" w:hAnsi="Times New Roman"/>
                <w:sz w:val="20"/>
                <w:szCs w:val="20"/>
              </w:rPr>
            </w:pPr>
            <w:r w:rsidRPr="0007445E">
              <w:rPr>
                <w:rFonts w:ascii="Times New Roman" w:hAnsi="Times New Roman"/>
                <w:sz w:val="20"/>
                <w:szCs w:val="20"/>
              </w:rPr>
              <w:t>2</w:t>
            </w:r>
          </w:p>
        </w:tc>
        <w:tc>
          <w:tcPr>
            <w:tcW w:w="1803" w:type="dxa"/>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-62.90</w:t>
            </w:r>
          </w:p>
        </w:tc>
        <w:tc>
          <w:tcPr>
            <w:tcW w:w="1803" w:type="dxa"/>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-69.18</w:t>
            </w:r>
          </w:p>
        </w:tc>
        <w:tc>
          <w:tcPr>
            <w:tcW w:w="1965" w:type="dxa"/>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-70.90</w:t>
            </w:r>
          </w:p>
        </w:tc>
        <w:tc>
          <w:tcPr>
            <w:tcW w:w="1642" w:type="dxa"/>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-72.24</w:t>
            </w:r>
          </w:p>
        </w:tc>
      </w:tr>
      <w:tr w:rsidR="0007445E" w:rsidRPr="0007445E" w:rsidTr="00BA16A3">
        <w:trPr>
          <w:jc w:val="center"/>
        </w:trPr>
        <w:tc>
          <w:tcPr>
            <w:tcW w:w="1803" w:type="dxa"/>
          </w:tcPr>
          <w:p w:rsidR="0007445E" w:rsidRPr="0007445E" w:rsidRDefault="0007445E" w:rsidP="00BA16A3">
            <w:pPr>
              <w:spacing w:before="60" w:after="0" w:line="240" w:lineRule="auto"/>
              <w:rPr>
                <w:rFonts w:ascii="Times New Roman" w:hAnsi="Times New Roman"/>
                <w:sz w:val="20"/>
                <w:szCs w:val="20"/>
              </w:rPr>
            </w:pPr>
            <w:r w:rsidRPr="0007445E">
              <w:rPr>
                <w:rFonts w:ascii="Times New Roman" w:hAnsi="Times New Roman"/>
                <w:sz w:val="20"/>
                <w:szCs w:val="20"/>
              </w:rPr>
              <w:t>3</w:t>
            </w:r>
          </w:p>
        </w:tc>
        <w:tc>
          <w:tcPr>
            <w:tcW w:w="1803" w:type="dxa"/>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-70.49</w:t>
            </w:r>
          </w:p>
        </w:tc>
        <w:tc>
          <w:tcPr>
            <w:tcW w:w="1803" w:type="dxa"/>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-66.80</w:t>
            </w:r>
          </w:p>
        </w:tc>
        <w:tc>
          <w:tcPr>
            <w:tcW w:w="1965" w:type="dxa"/>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-71.14</w:t>
            </w:r>
          </w:p>
        </w:tc>
        <w:tc>
          <w:tcPr>
            <w:tcW w:w="1642" w:type="dxa"/>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-45.46</w:t>
            </w:r>
          </w:p>
        </w:tc>
      </w:tr>
      <w:tr w:rsidR="0007445E" w:rsidRPr="0007445E" w:rsidTr="00BA16A3">
        <w:trPr>
          <w:jc w:val="center"/>
        </w:trPr>
        <w:tc>
          <w:tcPr>
            <w:tcW w:w="1803" w:type="dxa"/>
            <w:tcBorders>
              <w:bottom w:val="nil"/>
            </w:tcBorders>
          </w:tcPr>
          <w:p w:rsidR="0007445E" w:rsidRPr="0007445E" w:rsidRDefault="0007445E" w:rsidP="00BA16A3">
            <w:pPr>
              <w:spacing w:before="60" w:after="0" w:line="240" w:lineRule="auto"/>
              <w:rPr>
                <w:rFonts w:ascii="Times New Roman" w:hAnsi="Times New Roman"/>
                <w:sz w:val="20"/>
                <w:szCs w:val="20"/>
              </w:rPr>
            </w:pPr>
            <w:r w:rsidRPr="0007445E">
              <w:rPr>
                <w:rFonts w:ascii="Times New Roman" w:hAnsi="Times New Roman"/>
                <w:sz w:val="20"/>
                <w:szCs w:val="20"/>
              </w:rPr>
              <w:t>Difference</w:t>
            </w:r>
          </w:p>
        </w:tc>
        <w:tc>
          <w:tcPr>
            <w:tcW w:w="1803" w:type="dxa"/>
            <w:tcBorders>
              <w:bottom w:val="nil"/>
            </w:tcBorders>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10.08</w:t>
            </w:r>
          </w:p>
        </w:tc>
        <w:tc>
          <w:tcPr>
            <w:tcW w:w="1803" w:type="dxa"/>
            <w:tcBorders>
              <w:bottom w:val="nil"/>
            </w:tcBorders>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3.57</w:t>
            </w:r>
          </w:p>
        </w:tc>
        <w:tc>
          <w:tcPr>
            <w:tcW w:w="1965" w:type="dxa"/>
            <w:tcBorders>
              <w:bottom w:val="nil"/>
            </w:tcBorders>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6.83</w:t>
            </w:r>
          </w:p>
        </w:tc>
        <w:tc>
          <w:tcPr>
            <w:tcW w:w="1642" w:type="dxa"/>
            <w:tcBorders>
              <w:bottom w:val="nil"/>
            </w:tcBorders>
          </w:tcPr>
          <w:p w:rsidR="0007445E" w:rsidRPr="0007445E" w:rsidRDefault="0007445E" w:rsidP="00BA16A3">
            <w:pPr>
              <w:spacing w:before="60" w:after="0" w:line="240" w:lineRule="auto"/>
              <w:jc w:val="center"/>
              <w:rPr>
                <w:rFonts w:ascii="Times New Roman" w:hAnsi="Times New Roman"/>
                <w:sz w:val="20"/>
                <w:szCs w:val="20"/>
              </w:rPr>
            </w:pPr>
            <w:r w:rsidRPr="0007445E">
              <w:rPr>
                <w:rFonts w:ascii="Times New Roman" w:hAnsi="Times New Roman"/>
                <w:sz w:val="20"/>
                <w:szCs w:val="20"/>
              </w:rPr>
              <w:t>43.20</w:t>
            </w:r>
          </w:p>
        </w:tc>
      </w:tr>
      <w:tr w:rsidR="0007445E" w:rsidRPr="0007445E" w:rsidTr="00BA16A3">
        <w:trPr>
          <w:jc w:val="center"/>
        </w:trPr>
        <w:tc>
          <w:tcPr>
            <w:tcW w:w="1803" w:type="dxa"/>
            <w:tcBorders>
              <w:top w:val="nil"/>
              <w:left w:val="nil"/>
              <w:bottom w:val="single" w:sz="4" w:space="0" w:color="auto"/>
              <w:right w:val="nil"/>
            </w:tcBorders>
          </w:tcPr>
          <w:p w:rsidR="0007445E" w:rsidRPr="0007445E" w:rsidRDefault="0007445E" w:rsidP="00BA16A3">
            <w:pPr>
              <w:spacing w:before="60" w:after="60" w:line="240" w:lineRule="auto"/>
              <w:rPr>
                <w:rFonts w:ascii="Times New Roman" w:hAnsi="Times New Roman"/>
                <w:sz w:val="20"/>
                <w:szCs w:val="20"/>
              </w:rPr>
            </w:pPr>
            <w:r w:rsidRPr="0007445E">
              <w:rPr>
                <w:rFonts w:ascii="Times New Roman" w:hAnsi="Times New Roman"/>
                <w:sz w:val="20"/>
                <w:szCs w:val="20"/>
              </w:rPr>
              <w:t>Rank</w:t>
            </w:r>
          </w:p>
        </w:tc>
        <w:tc>
          <w:tcPr>
            <w:tcW w:w="1803" w:type="dxa"/>
            <w:tcBorders>
              <w:top w:val="nil"/>
              <w:left w:val="nil"/>
              <w:bottom w:val="single" w:sz="4" w:space="0" w:color="auto"/>
              <w:right w:val="nil"/>
            </w:tcBorders>
          </w:tcPr>
          <w:p w:rsidR="0007445E" w:rsidRPr="0007445E" w:rsidRDefault="0007445E" w:rsidP="00BA16A3">
            <w:pPr>
              <w:spacing w:before="60" w:after="60" w:line="240" w:lineRule="auto"/>
              <w:jc w:val="center"/>
              <w:rPr>
                <w:rFonts w:ascii="Times New Roman" w:hAnsi="Times New Roman"/>
                <w:sz w:val="20"/>
                <w:szCs w:val="20"/>
              </w:rPr>
            </w:pPr>
            <w:r w:rsidRPr="0007445E">
              <w:rPr>
                <w:rFonts w:ascii="Times New Roman" w:hAnsi="Times New Roman"/>
                <w:sz w:val="20"/>
                <w:szCs w:val="20"/>
              </w:rPr>
              <w:t>2</w:t>
            </w:r>
          </w:p>
        </w:tc>
        <w:tc>
          <w:tcPr>
            <w:tcW w:w="1803" w:type="dxa"/>
            <w:tcBorders>
              <w:top w:val="nil"/>
              <w:left w:val="nil"/>
              <w:bottom w:val="single" w:sz="4" w:space="0" w:color="auto"/>
              <w:right w:val="nil"/>
            </w:tcBorders>
          </w:tcPr>
          <w:p w:rsidR="0007445E" w:rsidRPr="0007445E" w:rsidRDefault="0007445E" w:rsidP="00BA16A3">
            <w:pPr>
              <w:spacing w:before="60" w:after="60" w:line="240" w:lineRule="auto"/>
              <w:jc w:val="center"/>
              <w:rPr>
                <w:rFonts w:ascii="Times New Roman" w:hAnsi="Times New Roman"/>
                <w:sz w:val="20"/>
                <w:szCs w:val="20"/>
              </w:rPr>
            </w:pPr>
            <w:r w:rsidRPr="0007445E">
              <w:rPr>
                <w:rFonts w:ascii="Times New Roman" w:hAnsi="Times New Roman"/>
                <w:sz w:val="20"/>
                <w:szCs w:val="20"/>
              </w:rPr>
              <w:t>4</w:t>
            </w:r>
          </w:p>
        </w:tc>
        <w:tc>
          <w:tcPr>
            <w:tcW w:w="1965" w:type="dxa"/>
            <w:tcBorders>
              <w:top w:val="nil"/>
              <w:left w:val="nil"/>
              <w:bottom w:val="single" w:sz="4" w:space="0" w:color="auto"/>
              <w:right w:val="nil"/>
            </w:tcBorders>
          </w:tcPr>
          <w:p w:rsidR="0007445E" w:rsidRPr="0007445E" w:rsidRDefault="0007445E" w:rsidP="00BA16A3">
            <w:pPr>
              <w:spacing w:before="60" w:after="60" w:line="240" w:lineRule="auto"/>
              <w:jc w:val="center"/>
              <w:rPr>
                <w:rFonts w:ascii="Times New Roman" w:hAnsi="Times New Roman"/>
                <w:sz w:val="20"/>
                <w:szCs w:val="20"/>
              </w:rPr>
            </w:pPr>
            <w:r w:rsidRPr="0007445E">
              <w:rPr>
                <w:rFonts w:ascii="Times New Roman" w:hAnsi="Times New Roman"/>
                <w:sz w:val="20"/>
                <w:szCs w:val="20"/>
              </w:rPr>
              <w:t>3</w:t>
            </w:r>
          </w:p>
        </w:tc>
        <w:tc>
          <w:tcPr>
            <w:tcW w:w="1642" w:type="dxa"/>
            <w:tcBorders>
              <w:top w:val="nil"/>
              <w:left w:val="nil"/>
              <w:bottom w:val="single" w:sz="4" w:space="0" w:color="auto"/>
              <w:right w:val="nil"/>
            </w:tcBorders>
          </w:tcPr>
          <w:p w:rsidR="0007445E" w:rsidRPr="0007445E" w:rsidRDefault="0007445E" w:rsidP="00BA16A3">
            <w:pPr>
              <w:spacing w:before="60" w:after="60" w:line="240" w:lineRule="auto"/>
              <w:jc w:val="center"/>
              <w:rPr>
                <w:rFonts w:ascii="Times New Roman" w:hAnsi="Times New Roman"/>
                <w:sz w:val="20"/>
                <w:szCs w:val="20"/>
              </w:rPr>
            </w:pPr>
            <w:r w:rsidRPr="0007445E">
              <w:rPr>
                <w:rFonts w:ascii="Times New Roman" w:hAnsi="Times New Roman"/>
                <w:sz w:val="20"/>
                <w:szCs w:val="20"/>
              </w:rPr>
              <w:t>1</w:t>
            </w:r>
          </w:p>
        </w:tc>
      </w:tr>
    </w:tbl>
    <w:p w:rsidR="0007445E" w:rsidRPr="0007445E" w:rsidRDefault="0007445E" w:rsidP="00BA16A3">
      <w:pPr>
        <w:pBdr>
          <w:top w:val="nil"/>
          <w:left w:val="nil"/>
          <w:bottom w:val="nil"/>
          <w:right w:val="nil"/>
          <w:between w:val="nil"/>
        </w:pBdr>
        <w:spacing w:after="120" w:line="240" w:lineRule="auto"/>
        <w:jc w:val="both"/>
        <w:rPr>
          <w:rFonts w:ascii="Times New Roman" w:hAnsi="Times New Roman"/>
          <w:sz w:val="20"/>
          <w:szCs w:val="20"/>
        </w:rPr>
      </w:pPr>
    </w:p>
    <w:p w:rsidR="00BA16A3" w:rsidRPr="0007445E" w:rsidRDefault="00BA16A3" w:rsidP="00BA16A3">
      <w:pPr>
        <w:pBdr>
          <w:top w:val="nil"/>
          <w:left w:val="nil"/>
          <w:bottom w:val="nil"/>
          <w:right w:val="nil"/>
          <w:between w:val="nil"/>
        </w:pBdr>
        <w:spacing w:after="0" w:line="240" w:lineRule="auto"/>
        <w:jc w:val="both"/>
        <w:rPr>
          <w:rFonts w:ascii="Times New Roman" w:hAnsi="Times New Roman"/>
          <w:sz w:val="20"/>
          <w:szCs w:val="20"/>
        </w:rPr>
      </w:pPr>
      <w:r w:rsidRPr="0007445E">
        <w:rPr>
          <w:rFonts w:ascii="Times New Roman" w:hAnsi="Times New Roman"/>
          <w:sz w:val="20"/>
          <w:szCs w:val="20"/>
        </w:rPr>
        <w:t xml:space="preserve">This DOE facilitates the identification of the optimum combination of factors to produce the highest conductivity value. For each factor, the optimum level was chosen from the highest averaged S/N value. For example, the optimum level of factor A (amount of SDP) was level 2, which was given by the highest averaged value of -62.90 </w:t>
      </w:r>
      <w:r w:rsidRPr="0007445E">
        <w:rPr>
          <w:rFonts w:ascii="Times New Roman" w:hAnsi="Times New Roman"/>
          <w:sz w:val="20"/>
          <w:szCs w:val="20"/>
        </w:rPr>
        <w:lastRenderedPageBreak/>
        <w:t>(Table 3). Level 2 of the said factor also corresponds to 0.2 mole fraction of SDP to CDP, as defined in Table 1. Therefore, the output of this DOE indicates that the optimised composite should consist of 0.2 mole fraction of SDP to CDP and 0.3 mole fraction of SiO</w:t>
      </w:r>
      <w:r w:rsidRPr="0007445E">
        <w:rPr>
          <w:rFonts w:ascii="Times New Roman" w:hAnsi="Times New Roman"/>
          <w:sz w:val="20"/>
          <w:szCs w:val="20"/>
          <w:vertAlign w:val="subscript"/>
        </w:rPr>
        <w:t>2</w:t>
      </w:r>
      <w:r w:rsidRPr="0007445E">
        <w:rPr>
          <w:rFonts w:ascii="Times New Roman" w:hAnsi="Times New Roman"/>
          <w:sz w:val="20"/>
          <w:szCs w:val="20"/>
        </w:rPr>
        <w:t xml:space="preserve"> to CDP pressed at 3 tonnes cm</w:t>
      </w:r>
      <w:r w:rsidRPr="0007445E">
        <w:rPr>
          <w:rFonts w:ascii="Times New Roman" w:hAnsi="Times New Roman"/>
          <w:sz w:val="20"/>
          <w:szCs w:val="20"/>
          <w:vertAlign w:val="superscript"/>
        </w:rPr>
        <w:t xml:space="preserve">-2 </w:t>
      </w:r>
      <w:r w:rsidRPr="0007445E">
        <w:rPr>
          <w:rFonts w:ascii="Times New Roman" w:hAnsi="Times New Roman"/>
          <w:sz w:val="20"/>
          <w:szCs w:val="20"/>
        </w:rPr>
        <w:t>during pellet production and tested at the temperature of 250 °C.</w:t>
      </w:r>
    </w:p>
    <w:p w:rsidR="00BA16A3" w:rsidRDefault="00BA16A3" w:rsidP="00BA16A3">
      <w:pPr>
        <w:pBdr>
          <w:top w:val="nil"/>
          <w:left w:val="nil"/>
          <w:bottom w:val="nil"/>
          <w:right w:val="nil"/>
          <w:between w:val="nil"/>
        </w:pBdr>
        <w:spacing w:after="0" w:line="240" w:lineRule="auto"/>
        <w:jc w:val="both"/>
        <w:rPr>
          <w:rFonts w:ascii="Times New Roman" w:hAnsi="Times New Roman"/>
          <w:sz w:val="20"/>
          <w:szCs w:val="20"/>
        </w:rPr>
      </w:pPr>
    </w:p>
    <w:p w:rsidR="0007445E" w:rsidRDefault="0007445E" w:rsidP="00BA16A3">
      <w:pPr>
        <w:pBdr>
          <w:top w:val="nil"/>
          <w:left w:val="nil"/>
          <w:bottom w:val="nil"/>
          <w:right w:val="nil"/>
          <w:between w:val="nil"/>
        </w:pBdr>
        <w:spacing w:after="0" w:line="240" w:lineRule="auto"/>
        <w:jc w:val="both"/>
        <w:rPr>
          <w:rFonts w:ascii="Times New Roman" w:hAnsi="Times New Roman"/>
          <w:sz w:val="20"/>
          <w:szCs w:val="20"/>
        </w:rPr>
      </w:pPr>
      <w:r w:rsidRPr="0007445E">
        <w:rPr>
          <w:rFonts w:ascii="Times New Roman" w:hAnsi="Times New Roman"/>
          <w:sz w:val="20"/>
          <w:szCs w:val="20"/>
        </w:rPr>
        <w:t>Similar results were obtained via Design-Expert</w:t>
      </w:r>
      <w:r w:rsidRPr="0007445E">
        <w:rPr>
          <w:rFonts w:ascii="Times New Roman" w:hAnsi="Times New Roman"/>
          <w:sz w:val="20"/>
          <w:szCs w:val="20"/>
          <w:vertAlign w:val="superscript"/>
        </w:rPr>
        <w:t>®</w:t>
      </w:r>
      <w:r w:rsidRPr="0007445E">
        <w:rPr>
          <w:rFonts w:ascii="Times New Roman" w:hAnsi="Times New Roman"/>
          <w:sz w:val="20"/>
          <w:szCs w:val="20"/>
        </w:rPr>
        <w:t xml:space="preserve"> by limiting the factors to three, namely, the amount of SDP, the pressure used for pellet production and the operating temperature. We assume that the effect of SiO</w:t>
      </w:r>
      <w:r w:rsidRPr="0007445E">
        <w:rPr>
          <w:rFonts w:ascii="Times New Roman" w:hAnsi="Times New Roman"/>
          <w:sz w:val="20"/>
          <w:szCs w:val="20"/>
          <w:vertAlign w:val="subscript"/>
        </w:rPr>
        <w:t xml:space="preserve">2 </w:t>
      </w:r>
      <w:r w:rsidRPr="0007445E">
        <w:rPr>
          <w:rFonts w:ascii="Times New Roman" w:hAnsi="Times New Roman"/>
          <w:sz w:val="20"/>
          <w:szCs w:val="20"/>
        </w:rPr>
        <w:t>is negligible and the factors are independent of each other prior to analysis of variance (ANOVA) in Design-Expert</w:t>
      </w:r>
      <w:r w:rsidRPr="0007445E">
        <w:rPr>
          <w:rFonts w:ascii="Times New Roman" w:hAnsi="Times New Roman"/>
          <w:sz w:val="20"/>
          <w:szCs w:val="20"/>
          <w:vertAlign w:val="superscript"/>
        </w:rPr>
        <w:t>®</w:t>
      </w:r>
      <w:r w:rsidRPr="0007445E">
        <w:rPr>
          <w:rFonts w:ascii="Times New Roman" w:hAnsi="Times New Roman"/>
          <w:sz w:val="20"/>
          <w:szCs w:val="20"/>
        </w:rPr>
        <w:t>. The ANOVA resulted in the model F-value of 163.58 and “Prob&gt;F” value of 0.0061, indicating that this model is significant. The model given by Design-Expert</w:t>
      </w:r>
      <w:r w:rsidRPr="0007445E">
        <w:rPr>
          <w:rFonts w:ascii="Times New Roman" w:hAnsi="Times New Roman"/>
          <w:sz w:val="20"/>
          <w:szCs w:val="20"/>
          <w:vertAlign w:val="superscript"/>
        </w:rPr>
        <w:t xml:space="preserve">® </w:t>
      </w:r>
      <w:r w:rsidRPr="0007445E">
        <w:rPr>
          <w:rFonts w:ascii="Times New Roman" w:hAnsi="Times New Roman"/>
          <w:sz w:val="20"/>
          <w:szCs w:val="20"/>
        </w:rPr>
        <w:t>is adequate, as supported by the normality plot in Figure 2. The influence of factors on the conductivity of the composite is shown in Figures 3–5. The optimised solid acid composite (CDP23) was characterised via several methods, including differential scanning calorimetry, thermogravimetric analysis and X-ray diffraction. The findings have been published elsewhere [</w:t>
      </w:r>
      <w:hyperlink w:anchor="_lnxbz9">
        <w:r w:rsidRPr="0007445E">
          <w:rPr>
            <w:rFonts w:ascii="Times New Roman" w:hAnsi="Times New Roman"/>
            <w:sz w:val="20"/>
            <w:szCs w:val="20"/>
          </w:rPr>
          <w:t>13</w:t>
        </w:r>
      </w:hyperlink>
      <w:r w:rsidRPr="0007445E">
        <w:rPr>
          <w:rFonts w:ascii="Times New Roman" w:hAnsi="Times New Roman"/>
          <w:sz w:val="20"/>
          <w:szCs w:val="20"/>
        </w:rPr>
        <w:t>].</w:t>
      </w:r>
    </w:p>
    <w:p w:rsidR="00BA16A3" w:rsidRPr="0007445E" w:rsidRDefault="00BA16A3" w:rsidP="00BA16A3">
      <w:pPr>
        <w:pBdr>
          <w:top w:val="nil"/>
          <w:left w:val="nil"/>
          <w:bottom w:val="nil"/>
          <w:right w:val="nil"/>
          <w:between w:val="nil"/>
        </w:pBdr>
        <w:spacing w:after="120" w:line="240" w:lineRule="auto"/>
        <w:jc w:val="both"/>
        <w:rPr>
          <w:rFonts w:ascii="Times New Roman" w:hAnsi="Times New Roman"/>
          <w:sz w:val="20"/>
          <w:szCs w:val="20"/>
        </w:rPr>
      </w:pPr>
    </w:p>
    <w:p w:rsidR="0007445E" w:rsidRPr="0007445E" w:rsidRDefault="0007445E" w:rsidP="00BA16A3">
      <w:pPr>
        <w:pBdr>
          <w:top w:val="nil"/>
          <w:left w:val="nil"/>
          <w:bottom w:val="nil"/>
          <w:right w:val="nil"/>
          <w:between w:val="nil"/>
        </w:pBdr>
        <w:spacing w:after="120" w:line="240" w:lineRule="auto"/>
        <w:jc w:val="center"/>
        <w:rPr>
          <w:rFonts w:ascii="Times New Roman" w:hAnsi="Times New Roman"/>
          <w:sz w:val="20"/>
          <w:szCs w:val="20"/>
        </w:rPr>
      </w:pPr>
      <w:r w:rsidRPr="0007445E">
        <w:rPr>
          <w:rFonts w:ascii="Times New Roman" w:hAnsi="Times New Roman"/>
          <w:noProof/>
          <w:sz w:val="20"/>
          <w:szCs w:val="20"/>
          <w:lang w:bidi="ar-SA"/>
        </w:rPr>
        <w:drawing>
          <wp:inline distT="0" distB="0" distL="0" distR="0" wp14:anchorId="2B824151" wp14:editId="3F109A57">
            <wp:extent cx="3362325" cy="2505075"/>
            <wp:effectExtent l="19050" t="19050" r="28575" b="9525"/>
            <wp:docPr id="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2"/>
                    <a:srcRect/>
                    <a:stretch>
                      <a:fillRect/>
                    </a:stretch>
                  </pic:blipFill>
                  <pic:spPr>
                    <a:xfrm>
                      <a:off x="0" y="0"/>
                      <a:ext cx="3367845" cy="2509187"/>
                    </a:xfrm>
                    <a:prstGeom prst="rect">
                      <a:avLst/>
                    </a:prstGeom>
                    <a:ln>
                      <a:solidFill>
                        <a:schemeClr val="tx1"/>
                      </a:solidFill>
                    </a:ln>
                  </pic:spPr>
                </pic:pic>
              </a:graphicData>
            </a:graphic>
          </wp:inline>
        </w:drawing>
      </w:r>
    </w:p>
    <w:p w:rsidR="0007445E" w:rsidRPr="0007445E" w:rsidRDefault="00BA16A3" w:rsidP="00BA16A3">
      <w:pPr>
        <w:pBdr>
          <w:top w:val="nil"/>
          <w:left w:val="nil"/>
          <w:bottom w:val="nil"/>
          <w:right w:val="nil"/>
          <w:between w:val="nil"/>
        </w:pBdr>
        <w:spacing w:after="0" w:line="240" w:lineRule="auto"/>
        <w:jc w:val="center"/>
        <w:rPr>
          <w:rFonts w:ascii="Times New Roman" w:hAnsi="Times New Roman"/>
          <w:sz w:val="20"/>
          <w:szCs w:val="20"/>
        </w:rPr>
      </w:pPr>
      <w:r>
        <w:rPr>
          <w:rFonts w:ascii="Times New Roman" w:hAnsi="Times New Roman"/>
          <w:sz w:val="20"/>
          <w:szCs w:val="20"/>
        </w:rPr>
        <w:t xml:space="preserve">Figure 2.  </w:t>
      </w:r>
      <w:r w:rsidR="0007445E" w:rsidRPr="0007445E">
        <w:rPr>
          <w:rFonts w:ascii="Times New Roman" w:hAnsi="Times New Roman"/>
          <w:sz w:val="20"/>
          <w:szCs w:val="20"/>
        </w:rPr>
        <w:t>Normal probability plot of residuals for the measured conductivity values</w:t>
      </w:r>
    </w:p>
    <w:p w:rsidR="0007445E" w:rsidRPr="0007445E" w:rsidRDefault="0007445E" w:rsidP="00BA16A3">
      <w:pPr>
        <w:pBdr>
          <w:top w:val="nil"/>
          <w:left w:val="nil"/>
          <w:bottom w:val="nil"/>
          <w:right w:val="nil"/>
          <w:between w:val="nil"/>
        </w:pBdr>
        <w:spacing w:after="120" w:line="240" w:lineRule="auto"/>
        <w:jc w:val="both"/>
        <w:rPr>
          <w:rFonts w:ascii="Times New Roman" w:hAnsi="Times New Roman"/>
          <w:sz w:val="20"/>
          <w:szCs w:val="20"/>
        </w:rPr>
      </w:pPr>
    </w:p>
    <w:p w:rsidR="0007445E" w:rsidRPr="0007445E" w:rsidRDefault="0007445E" w:rsidP="00BA16A3">
      <w:pPr>
        <w:pBdr>
          <w:top w:val="nil"/>
          <w:left w:val="nil"/>
          <w:bottom w:val="nil"/>
          <w:right w:val="nil"/>
          <w:between w:val="nil"/>
        </w:pBdr>
        <w:spacing w:after="120" w:line="240" w:lineRule="auto"/>
        <w:jc w:val="center"/>
        <w:rPr>
          <w:rFonts w:ascii="Times New Roman" w:hAnsi="Times New Roman"/>
          <w:sz w:val="20"/>
          <w:szCs w:val="20"/>
        </w:rPr>
      </w:pPr>
      <w:r w:rsidRPr="0007445E">
        <w:rPr>
          <w:rFonts w:ascii="Times New Roman" w:hAnsi="Times New Roman"/>
          <w:noProof/>
          <w:sz w:val="20"/>
          <w:szCs w:val="20"/>
          <w:lang w:bidi="ar-SA"/>
        </w:rPr>
        <w:drawing>
          <wp:inline distT="0" distB="0" distL="0" distR="0" wp14:anchorId="7AFDD43E" wp14:editId="76C44A27">
            <wp:extent cx="3419475" cy="2428875"/>
            <wp:effectExtent l="19050" t="19050" r="28575" b="28575"/>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3425088" cy="2432862"/>
                    </a:xfrm>
                    <a:prstGeom prst="rect">
                      <a:avLst/>
                    </a:prstGeom>
                    <a:ln>
                      <a:solidFill>
                        <a:schemeClr val="tx1"/>
                      </a:solidFill>
                    </a:ln>
                  </pic:spPr>
                </pic:pic>
              </a:graphicData>
            </a:graphic>
          </wp:inline>
        </w:drawing>
      </w:r>
    </w:p>
    <w:p w:rsidR="0007445E" w:rsidRPr="0007445E" w:rsidRDefault="0007445E" w:rsidP="00BA16A3">
      <w:pPr>
        <w:pBdr>
          <w:top w:val="nil"/>
          <w:left w:val="nil"/>
          <w:bottom w:val="nil"/>
          <w:right w:val="nil"/>
          <w:between w:val="nil"/>
        </w:pBdr>
        <w:spacing w:after="0" w:line="240" w:lineRule="auto"/>
        <w:jc w:val="center"/>
        <w:rPr>
          <w:rFonts w:ascii="Times New Roman" w:hAnsi="Times New Roman"/>
          <w:sz w:val="20"/>
          <w:szCs w:val="20"/>
        </w:rPr>
      </w:pPr>
      <w:r w:rsidRPr="0007445E">
        <w:rPr>
          <w:rFonts w:ascii="Times New Roman" w:hAnsi="Times New Roman"/>
          <w:sz w:val="20"/>
          <w:szCs w:val="20"/>
        </w:rPr>
        <w:t xml:space="preserve">Figure 3. </w:t>
      </w:r>
      <w:r w:rsidR="00BA16A3">
        <w:rPr>
          <w:rFonts w:ascii="Times New Roman" w:hAnsi="Times New Roman"/>
          <w:sz w:val="20"/>
          <w:szCs w:val="20"/>
        </w:rPr>
        <w:t xml:space="preserve"> </w:t>
      </w:r>
      <w:r w:rsidRPr="0007445E">
        <w:rPr>
          <w:rFonts w:ascii="Times New Roman" w:hAnsi="Times New Roman"/>
          <w:sz w:val="20"/>
          <w:szCs w:val="20"/>
        </w:rPr>
        <w:t>Influence of amount of SDP on the conductivity of the solid acid composite</w:t>
      </w:r>
    </w:p>
    <w:p w:rsidR="0007445E" w:rsidRPr="0007445E" w:rsidRDefault="0007445E" w:rsidP="00815B2B">
      <w:pPr>
        <w:pBdr>
          <w:top w:val="nil"/>
          <w:left w:val="nil"/>
          <w:bottom w:val="nil"/>
          <w:right w:val="nil"/>
          <w:between w:val="nil"/>
        </w:pBdr>
        <w:spacing w:after="120" w:line="240" w:lineRule="auto"/>
        <w:jc w:val="center"/>
        <w:rPr>
          <w:rFonts w:ascii="Times New Roman" w:hAnsi="Times New Roman"/>
          <w:sz w:val="20"/>
          <w:szCs w:val="20"/>
        </w:rPr>
      </w:pPr>
      <w:r w:rsidRPr="0007445E">
        <w:rPr>
          <w:rFonts w:ascii="Times New Roman" w:hAnsi="Times New Roman"/>
          <w:noProof/>
          <w:sz w:val="20"/>
          <w:szCs w:val="20"/>
          <w:lang w:bidi="ar-SA"/>
        </w:rPr>
        <w:lastRenderedPageBreak/>
        <w:drawing>
          <wp:inline distT="0" distB="0" distL="0" distR="0" wp14:anchorId="54DFE262" wp14:editId="2BFC9C40">
            <wp:extent cx="3419475" cy="2562225"/>
            <wp:effectExtent l="19050" t="19050" r="28575" b="28575"/>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4"/>
                    <a:srcRect/>
                    <a:stretch>
                      <a:fillRect/>
                    </a:stretch>
                  </pic:blipFill>
                  <pic:spPr>
                    <a:xfrm>
                      <a:off x="0" y="0"/>
                      <a:ext cx="3425088" cy="2566431"/>
                    </a:xfrm>
                    <a:prstGeom prst="rect">
                      <a:avLst/>
                    </a:prstGeom>
                    <a:ln>
                      <a:solidFill>
                        <a:schemeClr val="tx1"/>
                      </a:solidFill>
                    </a:ln>
                  </pic:spPr>
                </pic:pic>
              </a:graphicData>
            </a:graphic>
          </wp:inline>
        </w:drawing>
      </w:r>
    </w:p>
    <w:p w:rsidR="0007445E" w:rsidRDefault="0007445E" w:rsidP="00815B2B">
      <w:pPr>
        <w:pBdr>
          <w:top w:val="nil"/>
          <w:left w:val="nil"/>
          <w:bottom w:val="nil"/>
          <w:right w:val="nil"/>
          <w:between w:val="nil"/>
        </w:pBdr>
        <w:spacing w:after="0" w:line="240" w:lineRule="auto"/>
        <w:jc w:val="center"/>
        <w:rPr>
          <w:rFonts w:ascii="Times New Roman" w:hAnsi="Times New Roman"/>
          <w:sz w:val="20"/>
          <w:szCs w:val="20"/>
        </w:rPr>
      </w:pPr>
      <w:r w:rsidRPr="0007445E">
        <w:rPr>
          <w:rFonts w:ascii="Times New Roman" w:hAnsi="Times New Roman"/>
          <w:sz w:val="20"/>
          <w:szCs w:val="20"/>
        </w:rPr>
        <w:t xml:space="preserve">Figure 4. </w:t>
      </w:r>
      <w:r w:rsidR="00815B2B">
        <w:rPr>
          <w:rFonts w:ascii="Times New Roman" w:hAnsi="Times New Roman"/>
          <w:sz w:val="20"/>
          <w:szCs w:val="20"/>
        </w:rPr>
        <w:t xml:space="preserve"> </w:t>
      </w:r>
      <w:r w:rsidRPr="0007445E">
        <w:rPr>
          <w:rFonts w:ascii="Times New Roman" w:hAnsi="Times New Roman"/>
          <w:sz w:val="20"/>
          <w:szCs w:val="20"/>
        </w:rPr>
        <w:t>Influence of pellet pressing pressure on the conductivity of the solid acid composite</w:t>
      </w:r>
    </w:p>
    <w:p w:rsidR="00815B2B" w:rsidRDefault="00815B2B" w:rsidP="0007445E">
      <w:pPr>
        <w:pBdr>
          <w:top w:val="nil"/>
          <w:left w:val="nil"/>
          <w:bottom w:val="nil"/>
          <w:right w:val="nil"/>
          <w:between w:val="nil"/>
        </w:pBdr>
        <w:spacing w:after="0" w:line="240" w:lineRule="auto"/>
        <w:jc w:val="both"/>
        <w:rPr>
          <w:rFonts w:ascii="Times New Roman" w:hAnsi="Times New Roman"/>
          <w:sz w:val="20"/>
          <w:szCs w:val="20"/>
        </w:rPr>
      </w:pPr>
    </w:p>
    <w:p w:rsidR="00815B2B" w:rsidRPr="0007445E" w:rsidRDefault="00815B2B" w:rsidP="0007445E">
      <w:pPr>
        <w:pBdr>
          <w:top w:val="nil"/>
          <w:left w:val="nil"/>
          <w:bottom w:val="nil"/>
          <w:right w:val="nil"/>
          <w:between w:val="nil"/>
        </w:pBdr>
        <w:spacing w:after="0" w:line="240" w:lineRule="auto"/>
        <w:jc w:val="both"/>
        <w:rPr>
          <w:rFonts w:ascii="Times New Roman" w:hAnsi="Times New Roman"/>
          <w:sz w:val="20"/>
          <w:szCs w:val="20"/>
        </w:rPr>
      </w:pPr>
    </w:p>
    <w:p w:rsidR="0007445E" w:rsidRPr="0007445E" w:rsidRDefault="0007445E" w:rsidP="00815B2B">
      <w:pPr>
        <w:pBdr>
          <w:top w:val="nil"/>
          <w:left w:val="nil"/>
          <w:bottom w:val="nil"/>
          <w:right w:val="nil"/>
          <w:between w:val="nil"/>
        </w:pBdr>
        <w:spacing w:after="120" w:line="240" w:lineRule="auto"/>
        <w:jc w:val="center"/>
        <w:rPr>
          <w:rFonts w:ascii="Times New Roman" w:hAnsi="Times New Roman"/>
          <w:sz w:val="20"/>
          <w:szCs w:val="20"/>
        </w:rPr>
      </w:pPr>
      <w:r w:rsidRPr="0007445E">
        <w:rPr>
          <w:rFonts w:ascii="Times New Roman" w:hAnsi="Times New Roman"/>
          <w:noProof/>
          <w:sz w:val="20"/>
          <w:szCs w:val="20"/>
          <w:lang w:bidi="ar-SA"/>
        </w:rPr>
        <w:drawing>
          <wp:inline distT="0" distB="0" distL="0" distR="0" wp14:anchorId="2A1025E6" wp14:editId="488AA2A0">
            <wp:extent cx="3457575" cy="2628900"/>
            <wp:effectExtent l="19050" t="19050" r="28575" b="1905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5"/>
                    <a:srcRect/>
                    <a:stretch>
                      <a:fillRect/>
                    </a:stretch>
                  </pic:blipFill>
                  <pic:spPr>
                    <a:xfrm>
                      <a:off x="0" y="0"/>
                      <a:ext cx="3463251" cy="2633216"/>
                    </a:xfrm>
                    <a:prstGeom prst="rect">
                      <a:avLst/>
                    </a:prstGeom>
                    <a:ln>
                      <a:solidFill>
                        <a:schemeClr val="tx1"/>
                      </a:solidFill>
                    </a:ln>
                  </pic:spPr>
                </pic:pic>
              </a:graphicData>
            </a:graphic>
          </wp:inline>
        </w:drawing>
      </w:r>
    </w:p>
    <w:p w:rsidR="0007445E" w:rsidRPr="0007445E" w:rsidRDefault="0007445E" w:rsidP="00815B2B">
      <w:pPr>
        <w:pBdr>
          <w:top w:val="nil"/>
          <w:left w:val="nil"/>
          <w:bottom w:val="nil"/>
          <w:right w:val="nil"/>
          <w:between w:val="nil"/>
        </w:pBdr>
        <w:spacing w:after="0" w:line="240" w:lineRule="auto"/>
        <w:jc w:val="center"/>
        <w:rPr>
          <w:rFonts w:ascii="Times New Roman" w:hAnsi="Times New Roman"/>
          <w:sz w:val="20"/>
          <w:szCs w:val="20"/>
        </w:rPr>
      </w:pPr>
      <w:r w:rsidRPr="0007445E">
        <w:rPr>
          <w:rFonts w:ascii="Times New Roman" w:hAnsi="Times New Roman"/>
          <w:sz w:val="20"/>
          <w:szCs w:val="20"/>
        </w:rPr>
        <w:t xml:space="preserve">Figure 5. </w:t>
      </w:r>
      <w:r w:rsidR="00815B2B">
        <w:rPr>
          <w:rFonts w:ascii="Times New Roman" w:hAnsi="Times New Roman"/>
          <w:sz w:val="20"/>
          <w:szCs w:val="20"/>
        </w:rPr>
        <w:t xml:space="preserve"> </w:t>
      </w:r>
      <w:r w:rsidRPr="0007445E">
        <w:rPr>
          <w:rFonts w:ascii="Times New Roman" w:hAnsi="Times New Roman"/>
          <w:sz w:val="20"/>
          <w:szCs w:val="20"/>
        </w:rPr>
        <w:t>Influence of operating temperature on the conductivity of the solid acid composite</w:t>
      </w:r>
    </w:p>
    <w:p w:rsidR="00AC0033" w:rsidRDefault="00AC0033" w:rsidP="0007445E">
      <w:pPr>
        <w:spacing w:after="0" w:line="240" w:lineRule="auto"/>
        <w:jc w:val="center"/>
        <w:rPr>
          <w:rFonts w:ascii="Times New Roman" w:hAnsi="Times New Roman"/>
          <w:noProof/>
          <w:sz w:val="20"/>
          <w:szCs w:val="20"/>
          <w:lang w:bidi="ar-SA"/>
        </w:rPr>
      </w:pPr>
    </w:p>
    <w:p w:rsidR="0007445E" w:rsidRPr="00F447A7" w:rsidRDefault="0007445E" w:rsidP="0007445E">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15B2B" w:rsidRPr="00D20346" w:rsidRDefault="00815B2B" w:rsidP="00815B2B">
      <w:pPr>
        <w:pBdr>
          <w:top w:val="nil"/>
          <w:left w:val="nil"/>
          <w:bottom w:val="nil"/>
          <w:right w:val="nil"/>
          <w:between w:val="nil"/>
        </w:pBdr>
        <w:spacing w:after="0" w:line="240" w:lineRule="auto"/>
        <w:jc w:val="both"/>
        <w:rPr>
          <w:rFonts w:ascii="Times New Roman" w:hAnsi="Times New Roman"/>
          <w:sz w:val="20"/>
          <w:szCs w:val="20"/>
        </w:rPr>
      </w:pPr>
      <w:r w:rsidRPr="00D20346">
        <w:rPr>
          <w:rFonts w:ascii="Times New Roman" w:hAnsi="Times New Roman"/>
          <w:sz w:val="20"/>
          <w:szCs w:val="20"/>
        </w:rPr>
        <w:t>The Taguchi method enables the identification of trends in factors affecting the conductivity values of the solid acid composite CDP/SDP/SiO</w:t>
      </w:r>
      <w:r w:rsidRPr="00D20346">
        <w:rPr>
          <w:rFonts w:ascii="Times New Roman" w:hAnsi="Times New Roman"/>
          <w:sz w:val="20"/>
          <w:szCs w:val="20"/>
          <w:vertAlign w:val="subscript"/>
        </w:rPr>
        <w:t>2</w:t>
      </w:r>
      <w:r w:rsidRPr="00D20346">
        <w:rPr>
          <w:rFonts w:ascii="Times New Roman" w:hAnsi="Times New Roman"/>
          <w:sz w:val="20"/>
          <w:szCs w:val="20"/>
        </w:rPr>
        <w:t>. The four factors selected for the analysis are the amount of SDP, the amount of SiO</w:t>
      </w:r>
      <w:r w:rsidRPr="00D20346">
        <w:rPr>
          <w:rFonts w:ascii="Times New Roman" w:hAnsi="Times New Roman"/>
          <w:sz w:val="20"/>
          <w:szCs w:val="20"/>
          <w:vertAlign w:val="subscript"/>
        </w:rPr>
        <w:t>2</w:t>
      </w:r>
      <w:r w:rsidRPr="00D20346">
        <w:rPr>
          <w:rFonts w:ascii="Times New Roman" w:hAnsi="Times New Roman"/>
          <w:sz w:val="20"/>
          <w:szCs w:val="20"/>
        </w:rPr>
        <w:t>, the pressure used for pellet production and the operating temperature. The averaged conductivity values were recorded as responses and used to obtain the S/N ratio. Operating temperature has the highest influence on the conductivity value, followed by the amount of SDP. The amount of SiO</w:t>
      </w:r>
      <w:r w:rsidRPr="00D20346">
        <w:rPr>
          <w:rFonts w:ascii="Times New Roman" w:hAnsi="Times New Roman"/>
          <w:sz w:val="20"/>
          <w:szCs w:val="20"/>
          <w:vertAlign w:val="subscript"/>
        </w:rPr>
        <w:t>2</w:t>
      </w:r>
      <w:r w:rsidRPr="00D20346">
        <w:rPr>
          <w:rFonts w:ascii="Times New Roman" w:hAnsi="Times New Roman"/>
          <w:sz w:val="20"/>
          <w:szCs w:val="20"/>
        </w:rPr>
        <w:t xml:space="preserve"> has the smallest effect on the conductivity values of solid acid composites. This characteristic allows for the addition of SiO</w:t>
      </w:r>
      <w:r w:rsidRPr="00D20346">
        <w:rPr>
          <w:rFonts w:ascii="Times New Roman" w:hAnsi="Times New Roman"/>
          <w:sz w:val="20"/>
          <w:szCs w:val="20"/>
          <w:vertAlign w:val="subscript"/>
        </w:rPr>
        <w:t>2</w:t>
      </w:r>
      <w:r w:rsidRPr="00D20346">
        <w:rPr>
          <w:rFonts w:ascii="Times New Roman" w:hAnsi="Times New Roman"/>
          <w:sz w:val="20"/>
          <w:szCs w:val="20"/>
        </w:rPr>
        <w:t xml:space="preserve"> to enhance the robustness of the solid acid pellet. The calculations agreed with the results obtained by Design-Expert</w:t>
      </w:r>
      <w:r w:rsidRPr="00D20346">
        <w:rPr>
          <w:rFonts w:ascii="Times New Roman" w:hAnsi="Times New Roman"/>
          <w:sz w:val="20"/>
          <w:szCs w:val="20"/>
          <w:vertAlign w:val="superscript"/>
        </w:rPr>
        <w:t>®</w:t>
      </w:r>
      <w:r w:rsidRPr="00D20346">
        <w:rPr>
          <w:rFonts w:ascii="Times New Roman" w:hAnsi="Times New Roman"/>
          <w:sz w:val="20"/>
          <w:szCs w:val="20"/>
        </w:rPr>
        <w:t>. This study revealed that the optimised composite consists of 0.2 mole fraction of SDP to CDP and 0.3 mole fraction of SiO</w:t>
      </w:r>
      <w:r w:rsidRPr="00D20346">
        <w:rPr>
          <w:rFonts w:ascii="Times New Roman" w:hAnsi="Times New Roman"/>
          <w:sz w:val="20"/>
          <w:szCs w:val="20"/>
          <w:vertAlign w:val="subscript"/>
        </w:rPr>
        <w:t>2</w:t>
      </w:r>
      <w:r w:rsidRPr="00D20346">
        <w:rPr>
          <w:rFonts w:ascii="Times New Roman" w:hAnsi="Times New Roman"/>
          <w:sz w:val="20"/>
          <w:szCs w:val="20"/>
        </w:rPr>
        <w:t xml:space="preserve"> to CDP pressed at 3 tonnes </w:t>
      </w:r>
      <w:r w:rsidRPr="00D20346">
        <w:rPr>
          <w:rFonts w:ascii="Times New Roman" w:hAnsi="Times New Roman"/>
          <w:sz w:val="20"/>
          <w:szCs w:val="20"/>
        </w:rPr>
        <w:lastRenderedPageBreak/>
        <w:t>cm</w:t>
      </w:r>
      <w:r w:rsidRPr="00D20346">
        <w:rPr>
          <w:rFonts w:ascii="Times New Roman" w:hAnsi="Times New Roman"/>
          <w:sz w:val="20"/>
          <w:szCs w:val="20"/>
          <w:vertAlign w:val="superscript"/>
        </w:rPr>
        <w:t xml:space="preserve">-2 </w:t>
      </w:r>
      <w:r w:rsidRPr="00D20346">
        <w:rPr>
          <w:rFonts w:ascii="Times New Roman" w:hAnsi="Times New Roman"/>
          <w:sz w:val="20"/>
          <w:szCs w:val="20"/>
        </w:rPr>
        <w:t>during pellet production and tested at a temperature of 250 °C. Future work should focus on the optimisation of membrane–electrode assembly fabrication parameters.</w:t>
      </w:r>
    </w:p>
    <w:p w:rsidR="00815B2B" w:rsidRPr="00D20346" w:rsidRDefault="00815B2B" w:rsidP="00815B2B">
      <w:pPr>
        <w:pBdr>
          <w:top w:val="nil"/>
          <w:left w:val="nil"/>
          <w:bottom w:val="nil"/>
          <w:right w:val="nil"/>
          <w:between w:val="nil"/>
        </w:pBdr>
        <w:spacing w:after="0" w:line="240" w:lineRule="auto"/>
        <w:jc w:val="center"/>
        <w:rPr>
          <w:rFonts w:ascii="Times New Roman" w:hAnsi="Times New Roman"/>
          <w:sz w:val="20"/>
          <w:szCs w:val="20"/>
        </w:rPr>
      </w:pPr>
    </w:p>
    <w:p w:rsidR="00815B2B" w:rsidRPr="00D20346" w:rsidRDefault="00815B2B" w:rsidP="00815B2B">
      <w:pPr>
        <w:spacing w:after="0" w:line="240" w:lineRule="auto"/>
        <w:jc w:val="center"/>
        <w:rPr>
          <w:rFonts w:ascii="Times New Roman" w:hAnsi="Times New Roman"/>
          <w:b/>
          <w:sz w:val="24"/>
          <w:szCs w:val="24"/>
        </w:rPr>
      </w:pPr>
      <w:r w:rsidRPr="00D20346">
        <w:rPr>
          <w:rFonts w:ascii="Times New Roman" w:hAnsi="Times New Roman"/>
          <w:b/>
          <w:sz w:val="20"/>
          <w:szCs w:val="20"/>
        </w:rPr>
        <w:t>Acknowledgement</w:t>
      </w:r>
    </w:p>
    <w:p w:rsidR="00AC0033" w:rsidRPr="00F447A7" w:rsidRDefault="00815B2B" w:rsidP="00815B2B">
      <w:pPr>
        <w:spacing w:after="0" w:line="240" w:lineRule="auto"/>
        <w:jc w:val="both"/>
        <w:rPr>
          <w:rFonts w:ascii="Times New Roman" w:hAnsi="Times New Roman"/>
          <w:sz w:val="20"/>
          <w:szCs w:val="20"/>
        </w:rPr>
      </w:pPr>
      <w:r w:rsidRPr="00D20346">
        <w:rPr>
          <w:rFonts w:ascii="Times New Roman" w:hAnsi="Times New Roman"/>
          <w:sz w:val="20"/>
          <w:szCs w:val="20"/>
        </w:rPr>
        <w:t>This work was financially supported by the Universiti Kebangsaan Malaysia through the University Research Grants (Grant Nos. GUP-2016-038 and DIP-2017-024).</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15B2B" w:rsidRP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bookmarkStart w:id="2" w:name="_30j0zll" w:colFirst="0" w:colLast="0"/>
      <w:bookmarkEnd w:id="2"/>
      <w:r w:rsidRPr="00815B2B">
        <w:rPr>
          <w:rFonts w:ascii="Times New Roman" w:hAnsi="Times New Roman"/>
          <w:sz w:val="20"/>
          <w:szCs w:val="20"/>
        </w:rPr>
        <w:t>Haile, S. M., Boysen, D. A., Chisholm, C. R. I. and Merle, R. B. (2001).  Solid acids as fuel cell electrolytes.</w:t>
      </w:r>
      <w:r w:rsidRPr="00815B2B">
        <w:rPr>
          <w:rFonts w:ascii="Times New Roman" w:hAnsi="Times New Roman"/>
          <w:i/>
          <w:sz w:val="20"/>
          <w:szCs w:val="20"/>
        </w:rPr>
        <w:t xml:space="preserve"> Nature, </w:t>
      </w:r>
      <w:r w:rsidRPr="00815B2B">
        <w:rPr>
          <w:rFonts w:ascii="Times New Roman" w:hAnsi="Times New Roman"/>
          <w:sz w:val="20"/>
          <w:szCs w:val="20"/>
        </w:rPr>
        <w:t>410: 910-913.</w:t>
      </w:r>
      <w:bookmarkStart w:id="3" w:name="_1fob9te" w:colFirst="0" w:colLast="0"/>
      <w:bookmarkEnd w:id="3"/>
    </w:p>
    <w:p w:rsid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r w:rsidRPr="00815B2B">
        <w:rPr>
          <w:rFonts w:ascii="Times New Roman" w:hAnsi="Times New Roman"/>
          <w:sz w:val="20"/>
          <w:szCs w:val="20"/>
        </w:rPr>
        <w:t>Boysen, D. A., Uda, T., Chisholm, C. R. I. and Haile, S. M. (2004).  High-performance solid acid fuel cells through humidity stabilization.</w:t>
      </w:r>
      <w:r w:rsidRPr="00815B2B">
        <w:rPr>
          <w:rFonts w:ascii="Times New Roman" w:hAnsi="Times New Roman"/>
          <w:i/>
          <w:sz w:val="20"/>
          <w:szCs w:val="20"/>
        </w:rPr>
        <w:t xml:space="preserve"> Science, </w:t>
      </w:r>
      <w:r w:rsidRPr="00815B2B">
        <w:rPr>
          <w:rFonts w:ascii="Times New Roman" w:hAnsi="Times New Roman"/>
          <w:sz w:val="20"/>
          <w:szCs w:val="20"/>
        </w:rPr>
        <w:t>303(5654): 68-70.</w:t>
      </w:r>
      <w:bookmarkStart w:id="4" w:name="_3znysh7" w:colFirst="0" w:colLast="0"/>
      <w:bookmarkEnd w:id="4"/>
    </w:p>
    <w:p w:rsid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r w:rsidRPr="00815B2B">
        <w:rPr>
          <w:rFonts w:ascii="Times New Roman" w:hAnsi="Times New Roman"/>
          <w:sz w:val="20"/>
          <w:szCs w:val="20"/>
        </w:rPr>
        <w:t>Haile, S. M., Chisholm, C. R. I., Sasaki, K., Boysen, D. A. and Uda, T. (2006).  Solid acid proton conductors: From laboratory curiosities to fuel cell electrolytes.</w:t>
      </w:r>
      <w:r w:rsidRPr="00815B2B">
        <w:rPr>
          <w:rFonts w:ascii="Times New Roman" w:hAnsi="Times New Roman"/>
          <w:i/>
          <w:sz w:val="20"/>
          <w:szCs w:val="20"/>
        </w:rPr>
        <w:t xml:space="preserve"> Faraday Discussions, </w:t>
      </w:r>
      <w:r w:rsidRPr="00815B2B">
        <w:rPr>
          <w:rFonts w:ascii="Times New Roman" w:hAnsi="Times New Roman"/>
          <w:sz w:val="20"/>
          <w:szCs w:val="20"/>
        </w:rPr>
        <w:t>134: 17-39.</w:t>
      </w:r>
      <w:bookmarkStart w:id="5" w:name="_2et92p0" w:colFirst="0" w:colLast="0"/>
      <w:bookmarkEnd w:id="5"/>
    </w:p>
    <w:p w:rsid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r w:rsidRPr="00815B2B">
        <w:rPr>
          <w:rFonts w:ascii="Times New Roman" w:hAnsi="Times New Roman"/>
          <w:sz w:val="20"/>
          <w:szCs w:val="20"/>
        </w:rPr>
        <w:t>Taninouchi, Y.-K., Uda, T., Awakura, Y., Ikeda, A. and Haile, S. M. (2007).  Dehydration behavior of the superprotonic conductor CsH</w:t>
      </w:r>
      <w:r w:rsidRPr="00815B2B">
        <w:rPr>
          <w:rFonts w:ascii="Times New Roman" w:hAnsi="Times New Roman"/>
          <w:sz w:val="20"/>
          <w:szCs w:val="20"/>
          <w:vertAlign w:val="subscript"/>
        </w:rPr>
        <w:t>2</w:t>
      </w:r>
      <w:r w:rsidRPr="00815B2B">
        <w:rPr>
          <w:rFonts w:ascii="Times New Roman" w:hAnsi="Times New Roman"/>
          <w:sz w:val="20"/>
          <w:szCs w:val="20"/>
        </w:rPr>
        <w:t>PO</w:t>
      </w:r>
      <w:r w:rsidRPr="00815B2B">
        <w:rPr>
          <w:rFonts w:ascii="Times New Roman" w:hAnsi="Times New Roman"/>
          <w:sz w:val="20"/>
          <w:szCs w:val="20"/>
          <w:vertAlign w:val="subscript"/>
        </w:rPr>
        <w:t xml:space="preserve">4 </w:t>
      </w:r>
      <w:r w:rsidRPr="00815B2B">
        <w:rPr>
          <w:rFonts w:ascii="Times New Roman" w:hAnsi="Times New Roman"/>
          <w:sz w:val="20"/>
          <w:szCs w:val="20"/>
        </w:rPr>
        <w:t>at moderate temperatures: 230 to 260 °C.</w:t>
      </w:r>
      <w:r w:rsidRPr="00815B2B">
        <w:rPr>
          <w:rFonts w:ascii="Times New Roman" w:hAnsi="Times New Roman"/>
          <w:i/>
          <w:sz w:val="20"/>
          <w:szCs w:val="20"/>
        </w:rPr>
        <w:t xml:space="preserve"> Journal of Materials Chemistry, </w:t>
      </w:r>
      <w:r w:rsidRPr="00815B2B">
        <w:rPr>
          <w:rFonts w:ascii="Times New Roman" w:hAnsi="Times New Roman"/>
          <w:sz w:val="20"/>
          <w:szCs w:val="20"/>
        </w:rPr>
        <w:t>17(30): 3182-3189.</w:t>
      </w:r>
      <w:bookmarkStart w:id="6" w:name="_tyjcwt" w:colFirst="0" w:colLast="0"/>
      <w:bookmarkEnd w:id="6"/>
    </w:p>
    <w:p w:rsid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r w:rsidRPr="00815B2B">
        <w:rPr>
          <w:rFonts w:ascii="Times New Roman" w:hAnsi="Times New Roman"/>
          <w:sz w:val="20"/>
          <w:szCs w:val="20"/>
        </w:rPr>
        <w:t xml:space="preserve">Unnikrishnan, S. (2009). Micromachined dense palladium electrodes for thin-film solid acid fuel cells. (PhD Dissertation), University of Twente, Enschede. </w:t>
      </w:r>
      <w:bookmarkStart w:id="7" w:name="_3dy6vkm" w:colFirst="0" w:colLast="0"/>
      <w:bookmarkEnd w:id="7"/>
    </w:p>
    <w:p w:rsid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r w:rsidRPr="00815B2B">
        <w:rPr>
          <w:rFonts w:ascii="Times New Roman" w:hAnsi="Times New Roman"/>
          <w:sz w:val="20"/>
          <w:szCs w:val="20"/>
        </w:rPr>
        <w:t>Dupuis, A.-C. (2011).  Proton exchange membranes for fuel cells operated at medium temperatures: Materials and experimental techniques.</w:t>
      </w:r>
      <w:r w:rsidRPr="00815B2B">
        <w:rPr>
          <w:rFonts w:ascii="Times New Roman" w:hAnsi="Times New Roman"/>
          <w:i/>
          <w:sz w:val="20"/>
          <w:szCs w:val="20"/>
        </w:rPr>
        <w:t xml:space="preserve"> Progress in Materials Science, </w:t>
      </w:r>
      <w:r w:rsidRPr="00815B2B">
        <w:rPr>
          <w:rFonts w:ascii="Times New Roman" w:hAnsi="Times New Roman"/>
          <w:sz w:val="20"/>
          <w:szCs w:val="20"/>
        </w:rPr>
        <w:t>56(3): 289-327.</w:t>
      </w:r>
      <w:bookmarkStart w:id="8" w:name="_1t3h5sf" w:colFirst="0" w:colLast="0"/>
      <w:bookmarkEnd w:id="8"/>
    </w:p>
    <w:p w:rsid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r w:rsidRPr="00815B2B">
        <w:rPr>
          <w:rFonts w:ascii="Times New Roman" w:hAnsi="Times New Roman"/>
          <w:sz w:val="20"/>
          <w:szCs w:val="20"/>
        </w:rPr>
        <w:t>Piao, J., Liao, S. and Liang, Z. (2009).  A novel cesium hydrogen sulfate–zeolite inorganic composite electrolyte membrane for polymer electrolyte membrane fuel cell application.</w:t>
      </w:r>
      <w:r w:rsidRPr="00815B2B">
        <w:rPr>
          <w:rFonts w:ascii="Times New Roman" w:hAnsi="Times New Roman"/>
          <w:i/>
          <w:sz w:val="20"/>
          <w:szCs w:val="20"/>
        </w:rPr>
        <w:t xml:space="preserve"> Journal of Power Sources, </w:t>
      </w:r>
      <w:r w:rsidRPr="00815B2B">
        <w:rPr>
          <w:rFonts w:ascii="Times New Roman" w:hAnsi="Times New Roman"/>
          <w:sz w:val="20"/>
          <w:szCs w:val="20"/>
        </w:rPr>
        <w:t>193(2): 483-487.</w:t>
      </w:r>
      <w:bookmarkStart w:id="9" w:name="_4d34og8" w:colFirst="0" w:colLast="0"/>
      <w:bookmarkEnd w:id="9"/>
    </w:p>
    <w:p w:rsid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r w:rsidRPr="00815B2B">
        <w:rPr>
          <w:rFonts w:ascii="Times New Roman" w:hAnsi="Times New Roman"/>
          <w:sz w:val="20"/>
          <w:szCs w:val="20"/>
        </w:rPr>
        <w:t>Lavrova, G. V. and Ponomareva, V. G. (2008).  Intermediate-temperature composite proton electrolyte CsH</w:t>
      </w:r>
      <w:r w:rsidRPr="00815B2B">
        <w:rPr>
          <w:rFonts w:ascii="Times New Roman" w:hAnsi="Times New Roman"/>
          <w:sz w:val="20"/>
          <w:szCs w:val="20"/>
          <w:vertAlign w:val="subscript"/>
        </w:rPr>
        <w:t>5</w:t>
      </w:r>
      <w:r w:rsidRPr="00815B2B">
        <w:rPr>
          <w:rFonts w:ascii="Times New Roman" w:hAnsi="Times New Roman"/>
          <w:sz w:val="20"/>
          <w:szCs w:val="20"/>
        </w:rPr>
        <w:t>(PO</w:t>
      </w:r>
      <w:r w:rsidRPr="00815B2B">
        <w:rPr>
          <w:rFonts w:ascii="Times New Roman" w:hAnsi="Times New Roman"/>
          <w:sz w:val="20"/>
          <w:szCs w:val="20"/>
          <w:vertAlign w:val="subscript"/>
        </w:rPr>
        <w:t>4</w:t>
      </w:r>
      <w:r w:rsidRPr="00815B2B">
        <w:rPr>
          <w:rFonts w:ascii="Times New Roman" w:hAnsi="Times New Roman"/>
          <w:sz w:val="20"/>
          <w:szCs w:val="20"/>
        </w:rPr>
        <w:t>)</w:t>
      </w:r>
      <w:r w:rsidRPr="00815B2B">
        <w:rPr>
          <w:rFonts w:ascii="Times New Roman" w:hAnsi="Times New Roman"/>
          <w:sz w:val="20"/>
          <w:szCs w:val="20"/>
          <w:vertAlign w:val="subscript"/>
        </w:rPr>
        <w:t>2</w:t>
      </w:r>
      <w:r w:rsidRPr="00815B2B">
        <w:rPr>
          <w:rFonts w:ascii="Times New Roman" w:hAnsi="Times New Roman"/>
          <w:sz w:val="20"/>
          <w:szCs w:val="20"/>
        </w:rPr>
        <w:t>/SiO</w:t>
      </w:r>
      <w:r w:rsidRPr="00815B2B">
        <w:rPr>
          <w:rFonts w:ascii="Times New Roman" w:hAnsi="Times New Roman"/>
          <w:sz w:val="20"/>
          <w:szCs w:val="20"/>
          <w:vertAlign w:val="subscript"/>
        </w:rPr>
        <w:t>2</w:t>
      </w:r>
      <w:r w:rsidRPr="00815B2B">
        <w:rPr>
          <w:rFonts w:ascii="Times New Roman" w:hAnsi="Times New Roman"/>
          <w:sz w:val="20"/>
          <w:szCs w:val="20"/>
        </w:rPr>
        <w:t>: Transport properties versus oxide characteristic.</w:t>
      </w:r>
      <w:r w:rsidRPr="00815B2B">
        <w:rPr>
          <w:rFonts w:ascii="Times New Roman" w:hAnsi="Times New Roman"/>
          <w:i/>
          <w:sz w:val="20"/>
          <w:szCs w:val="20"/>
        </w:rPr>
        <w:t xml:space="preserve"> Solid State Ionics, </w:t>
      </w:r>
      <w:r w:rsidRPr="00815B2B">
        <w:rPr>
          <w:rFonts w:ascii="Times New Roman" w:hAnsi="Times New Roman"/>
          <w:sz w:val="20"/>
          <w:szCs w:val="20"/>
        </w:rPr>
        <w:t>179(21–26): 1170-1173.</w:t>
      </w:r>
      <w:bookmarkStart w:id="10" w:name="_2s8eyo1" w:colFirst="0" w:colLast="0"/>
      <w:bookmarkEnd w:id="10"/>
    </w:p>
    <w:p w:rsid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r w:rsidRPr="00815B2B">
        <w:rPr>
          <w:rFonts w:ascii="Times New Roman" w:hAnsi="Times New Roman"/>
          <w:sz w:val="20"/>
          <w:szCs w:val="20"/>
        </w:rPr>
        <w:t xml:space="preserve">Boysen, D.A. (2004). Superprotonic solid acids: structure, properties, and applications (PhD Dissertation), California Institute of Technology. </w:t>
      </w:r>
      <w:bookmarkStart w:id="11" w:name="_17dp8vu" w:colFirst="0" w:colLast="0"/>
      <w:bookmarkEnd w:id="11"/>
    </w:p>
    <w:p w:rsid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r w:rsidRPr="00815B2B">
        <w:rPr>
          <w:rFonts w:ascii="Times New Roman" w:hAnsi="Times New Roman"/>
          <w:sz w:val="20"/>
          <w:szCs w:val="20"/>
        </w:rPr>
        <w:t>Martsinkevich, V. V. and Ponomareva, V. G. (2012).  Double salts Cs</w:t>
      </w:r>
      <w:r w:rsidRPr="00815B2B">
        <w:rPr>
          <w:rFonts w:ascii="Times New Roman" w:hAnsi="Times New Roman"/>
          <w:sz w:val="20"/>
          <w:szCs w:val="20"/>
          <w:vertAlign w:val="subscript"/>
        </w:rPr>
        <w:t>1-x</w:t>
      </w:r>
      <w:r w:rsidRPr="00815B2B">
        <w:rPr>
          <w:rFonts w:ascii="Times New Roman" w:hAnsi="Times New Roman"/>
          <w:sz w:val="20"/>
          <w:szCs w:val="20"/>
        </w:rPr>
        <w:t>M</w:t>
      </w:r>
      <w:r w:rsidRPr="00815B2B">
        <w:rPr>
          <w:rFonts w:ascii="Times New Roman" w:hAnsi="Times New Roman"/>
          <w:sz w:val="20"/>
          <w:szCs w:val="20"/>
          <w:vertAlign w:val="subscript"/>
        </w:rPr>
        <w:t>x</w:t>
      </w:r>
      <w:r w:rsidRPr="00815B2B">
        <w:rPr>
          <w:rFonts w:ascii="Times New Roman" w:hAnsi="Times New Roman"/>
          <w:sz w:val="20"/>
          <w:szCs w:val="20"/>
        </w:rPr>
        <w:t>H</w:t>
      </w:r>
      <w:r w:rsidRPr="00815B2B">
        <w:rPr>
          <w:rFonts w:ascii="Times New Roman" w:hAnsi="Times New Roman"/>
          <w:sz w:val="20"/>
          <w:szCs w:val="20"/>
          <w:vertAlign w:val="subscript"/>
        </w:rPr>
        <w:t>2</w:t>
      </w:r>
      <w:r w:rsidRPr="00815B2B">
        <w:rPr>
          <w:rFonts w:ascii="Times New Roman" w:hAnsi="Times New Roman"/>
          <w:sz w:val="20"/>
          <w:szCs w:val="20"/>
        </w:rPr>
        <w:t>PO</w:t>
      </w:r>
      <w:r w:rsidRPr="00815B2B">
        <w:rPr>
          <w:rFonts w:ascii="Times New Roman" w:hAnsi="Times New Roman"/>
          <w:sz w:val="20"/>
          <w:szCs w:val="20"/>
          <w:vertAlign w:val="subscript"/>
        </w:rPr>
        <w:t xml:space="preserve">4 </w:t>
      </w:r>
      <w:r w:rsidRPr="00815B2B">
        <w:rPr>
          <w:rFonts w:ascii="Times New Roman" w:hAnsi="Times New Roman"/>
          <w:sz w:val="20"/>
          <w:szCs w:val="20"/>
        </w:rPr>
        <w:t>(M = Na, K, Rb) as proton conductors.</w:t>
      </w:r>
      <w:r w:rsidRPr="00815B2B">
        <w:rPr>
          <w:rFonts w:ascii="Times New Roman" w:hAnsi="Times New Roman"/>
          <w:i/>
          <w:sz w:val="20"/>
          <w:szCs w:val="20"/>
        </w:rPr>
        <w:t xml:space="preserve"> Solid State Ionics, </w:t>
      </w:r>
      <w:r w:rsidRPr="00815B2B">
        <w:rPr>
          <w:rFonts w:ascii="Times New Roman" w:hAnsi="Times New Roman"/>
          <w:sz w:val="20"/>
          <w:szCs w:val="20"/>
        </w:rPr>
        <w:t>225: 236-240.</w:t>
      </w:r>
      <w:bookmarkStart w:id="12" w:name="_3rdcrjn" w:colFirst="0" w:colLast="0"/>
      <w:bookmarkEnd w:id="12"/>
    </w:p>
    <w:p w:rsid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r w:rsidRPr="00815B2B">
        <w:rPr>
          <w:rFonts w:ascii="Times New Roman" w:hAnsi="Times New Roman"/>
          <w:sz w:val="20"/>
          <w:szCs w:val="20"/>
        </w:rPr>
        <w:t>Ponomareva, V.G. and Shutova, E. S. (2007).  High-temperature behavior of CsH</w:t>
      </w:r>
      <w:r w:rsidRPr="00815B2B">
        <w:rPr>
          <w:rFonts w:ascii="Times New Roman" w:hAnsi="Times New Roman"/>
          <w:sz w:val="20"/>
          <w:szCs w:val="20"/>
          <w:vertAlign w:val="subscript"/>
        </w:rPr>
        <w:t>2</w:t>
      </w:r>
      <w:r w:rsidRPr="00815B2B">
        <w:rPr>
          <w:rFonts w:ascii="Times New Roman" w:hAnsi="Times New Roman"/>
          <w:sz w:val="20"/>
          <w:szCs w:val="20"/>
        </w:rPr>
        <w:t>PO</w:t>
      </w:r>
      <w:r w:rsidRPr="00815B2B">
        <w:rPr>
          <w:rFonts w:ascii="Times New Roman" w:hAnsi="Times New Roman"/>
          <w:sz w:val="20"/>
          <w:szCs w:val="20"/>
          <w:vertAlign w:val="subscript"/>
        </w:rPr>
        <w:t>4</w:t>
      </w:r>
      <w:r w:rsidRPr="00815B2B">
        <w:rPr>
          <w:rFonts w:ascii="Times New Roman" w:hAnsi="Times New Roman"/>
          <w:sz w:val="20"/>
          <w:szCs w:val="20"/>
        </w:rPr>
        <w:t xml:space="preserve"> and CsH</w:t>
      </w:r>
      <w:r w:rsidRPr="00815B2B">
        <w:rPr>
          <w:rFonts w:ascii="Times New Roman" w:hAnsi="Times New Roman"/>
          <w:sz w:val="20"/>
          <w:szCs w:val="20"/>
          <w:vertAlign w:val="subscript"/>
        </w:rPr>
        <w:t>2</w:t>
      </w:r>
      <w:r w:rsidRPr="00815B2B">
        <w:rPr>
          <w:rFonts w:ascii="Times New Roman" w:hAnsi="Times New Roman"/>
          <w:sz w:val="20"/>
          <w:szCs w:val="20"/>
        </w:rPr>
        <w:t>PO</w:t>
      </w:r>
      <w:r w:rsidRPr="00815B2B">
        <w:rPr>
          <w:rFonts w:ascii="Times New Roman" w:hAnsi="Times New Roman"/>
          <w:sz w:val="20"/>
          <w:szCs w:val="20"/>
          <w:vertAlign w:val="subscript"/>
        </w:rPr>
        <w:t>4</w:t>
      </w:r>
      <w:r w:rsidRPr="00815B2B">
        <w:rPr>
          <w:rFonts w:ascii="Times New Roman" w:hAnsi="Times New Roman"/>
          <w:sz w:val="20"/>
          <w:szCs w:val="20"/>
        </w:rPr>
        <w:t>–SiO</w:t>
      </w:r>
      <w:r w:rsidRPr="00815B2B">
        <w:rPr>
          <w:rFonts w:ascii="Times New Roman" w:hAnsi="Times New Roman"/>
          <w:sz w:val="20"/>
          <w:szCs w:val="20"/>
          <w:vertAlign w:val="subscript"/>
        </w:rPr>
        <w:t xml:space="preserve">2 </w:t>
      </w:r>
      <w:r w:rsidRPr="00815B2B">
        <w:rPr>
          <w:rFonts w:ascii="Times New Roman" w:hAnsi="Times New Roman"/>
          <w:sz w:val="20"/>
          <w:szCs w:val="20"/>
        </w:rPr>
        <w:t>composites.</w:t>
      </w:r>
      <w:r w:rsidRPr="00815B2B">
        <w:rPr>
          <w:rFonts w:ascii="Times New Roman" w:hAnsi="Times New Roman"/>
          <w:i/>
          <w:sz w:val="20"/>
          <w:szCs w:val="20"/>
        </w:rPr>
        <w:t xml:space="preserve"> Solid State Ionics, </w:t>
      </w:r>
      <w:r w:rsidRPr="00815B2B">
        <w:rPr>
          <w:rFonts w:ascii="Times New Roman" w:hAnsi="Times New Roman"/>
          <w:sz w:val="20"/>
          <w:szCs w:val="20"/>
        </w:rPr>
        <w:t>178(7–10): 729-734.</w:t>
      </w:r>
      <w:bookmarkStart w:id="13" w:name="_26in1rg" w:colFirst="0" w:colLast="0"/>
      <w:bookmarkEnd w:id="13"/>
    </w:p>
    <w:p w:rsid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r w:rsidRPr="00815B2B">
        <w:rPr>
          <w:rFonts w:ascii="Times New Roman" w:hAnsi="Times New Roman"/>
          <w:sz w:val="20"/>
          <w:szCs w:val="20"/>
        </w:rPr>
        <w:t>Baranov, A. I., Grebenev, V. V., Khodan, A. N., Dolbinina, V. V. and Efremova, E. P. (2005).  Optimization of superprotonic acid salts for fuel cell applications.</w:t>
      </w:r>
      <w:r w:rsidRPr="00815B2B">
        <w:rPr>
          <w:rFonts w:ascii="Times New Roman" w:hAnsi="Times New Roman"/>
          <w:i/>
          <w:sz w:val="20"/>
          <w:szCs w:val="20"/>
        </w:rPr>
        <w:t xml:space="preserve"> Solid State Ionics, </w:t>
      </w:r>
      <w:r w:rsidRPr="00815B2B">
        <w:rPr>
          <w:rFonts w:ascii="Times New Roman" w:hAnsi="Times New Roman"/>
          <w:sz w:val="20"/>
          <w:szCs w:val="20"/>
        </w:rPr>
        <w:t>176(39–40): 2871-2874.</w:t>
      </w:r>
      <w:bookmarkStart w:id="14" w:name="_lnxbz9" w:colFirst="0" w:colLast="0"/>
      <w:bookmarkEnd w:id="14"/>
    </w:p>
    <w:p w:rsidR="00A11B27" w:rsidRPr="00815B2B" w:rsidRDefault="00A11B27" w:rsidP="00815B2B">
      <w:pPr>
        <w:pStyle w:val="ListParagraph"/>
        <w:numPr>
          <w:ilvl w:val="0"/>
          <w:numId w:val="3"/>
        </w:numPr>
        <w:pBdr>
          <w:top w:val="nil"/>
          <w:left w:val="nil"/>
          <w:bottom w:val="nil"/>
          <w:right w:val="nil"/>
          <w:between w:val="nil"/>
        </w:pBdr>
        <w:spacing w:after="0" w:line="240" w:lineRule="auto"/>
        <w:ind w:left="360"/>
        <w:jc w:val="both"/>
        <w:rPr>
          <w:rFonts w:ascii="Times New Roman" w:hAnsi="Times New Roman"/>
          <w:sz w:val="20"/>
          <w:szCs w:val="20"/>
        </w:rPr>
      </w:pPr>
      <w:r w:rsidRPr="00815B2B">
        <w:rPr>
          <w:rFonts w:ascii="Times New Roman" w:hAnsi="Times New Roman"/>
          <w:sz w:val="20"/>
          <w:szCs w:val="20"/>
        </w:rPr>
        <w:t>Mohammad, N., Mohamad, A. B., Kadhum, A. A. H. and Loh, K. S. (2017).  Effect of silica on the thermal behaviour and ionic conductivity of mixed salt solid acid composites.</w:t>
      </w:r>
      <w:r w:rsidRPr="00815B2B">
        <w:rPr>
          <w:rFonts w:ascii="Times New Roman" w:hAnsi="Times New Roman"/>
          <w:i/>
          <w:sz w:val="20"/>
          <w:szCs w:val="20"/>
        </w:rPr>
        <w:t xml:space="preserve"> Journal of Alloys and Compounds, </w:t>
      </w:r>
      <w:r w:rsidRPr="00815B2B">
        <w:rPr>
          <w:rFonts w:ascii="Times New Roman" w:hAnsi="Times New Roman"/>
          <w:sz w:val="20"/>
          <w:szCs w:val="20"/>
        </w:rPr>
        <w:t>690: 896-902.</w:t>
      </w:r>
    </w:p>
    <w:p w:rsidR="00AC0033" w:rsidRDefault="00AC0033" w:rsidP="00AC0033">
      <w:pPr>
        <w:spacing w:after="0" w:line="240" w:lineRule="auto"/>
        <w:jc w:val="both"/>
        <w:rPr>
          <w:rFonts w:ascii="Times New Roman" w:hAnsi="Times New Roman"/>
          <w:noProof/>
          <w:sz w:val="20"/>
          <w:szCs w:val="20"/>
          <w:lang w:bidi="ar-SA"/>
        </w:rPr>
      </w:pPr>
    </w:p>
    <w:p w:rsidR="00AC0033" w:rsidRDefault="00AC0033" w:rsidP="00AC0033">
      <w:pPr>
        <w:spacing w:after="0" w:line="240" w:lineRule="auto"/>
        <w:jc w:val="both"/>
        <w:rPr>
          <w:rFonts w:ascii="Times New Roman" w:hAnsi="Times New Roman"/>
          <w:noProof/>
          <w:sz w:val="20"/>
          <w:szCs w:val="20"/>
          <w:lang w:bidi="ar-SA"/>
        </w:rPr>
      </w:pPr>
    </w:p>
    <w:p w:rsidR="00AC0033" w:rsidRPr="007A738C" w:rsidRDefault="00AC0033" w:rsidP="00AC0033">
      <w:pPr>
        <w:spacing w:after="0" w:line="240" w:lineRule="auto"/>
        <w:jc w:val="both"/>
        <w:rPr>
          <w:rFonts w:ascii="Times New Roman" w:hAnsi="Times New Roman"/>
          <w:noProof/>
          <w:lang w:bidi="ar-SA"/>
        </w:rPr>
      </w:pPr>
    </w:p>
    <w:p w:rsidR="00AC0033" w:rsidRPr="00F447A7" w:rsidRDefault="00AC0033" w:rsidP="00F447A7">
      <w:pPr>
        <w:spacing w:after="0" w:line="240" w:lineRule="auto"/>
        <w:jc w:val="center"/>
        <w:rPr>
          <w:rFonts w:ascii="Times New Roman" w:hAnsi="Times New Roman"/>
          <w:noProof/>
          <w:sz w:val="20"/>
          <w:szCs w:val="20"/>
          <w:lang w:bidi="ar-SA"/>
        </w:rPr>
      </w:pPr>
    </w:p>
    <w:sectPr w:rsidR="00AC0033" w:rsidRPr="00F447A7" w:rsidSect="000611FC">
      <w:headerReference w:type="even" r:id="rId16"/>
      <w:headerReference w:type="default" r:id="rId17"/>
      <w:footerReference w:type="even" r:id="rId18"/>
      <w:footerReference w:type="default" r:id="rId19"/>
      <w:pgSz w:w="12240" w:h="15840" w:code="1"/>
      <w:pgMar w:top="1800" w:right="1469" w:bottom="1699" w:left="1440" w:header="706" w:footer="706" w:gutter="0"/>
      <w:pgNumType w:start="10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ungsuh">
    <w:panose1 w:val="02030600000101010101"/>
    <w:charset w:val="81"/>
    <w:family w:val="roman"/>
    <w:pitch w:val="variable"/>
    <w:sig w:usb0="B00002AF" w:usb1="69D77CFB" w:usb2="00000030" w:usb3="00000000" w:csb0="0008009F" w:csb1="00000000"/>
  </w:font>
  <w:font w:name="Cardo">
    <w:altName w:val="Calibri"/>
    <w:charset w:val="00"/>
    <w:family w:val="auto"/>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9B69C4">
      <w:rPr>
        <w:rFonts w:ascii="Times New Roman" w:hAnsi="Times New Roman"/>
        <w:noProof/>
      </w:rPr>
      <w:t>114</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9B69C4">
      <w:rPr>
        <w:rFonts w:ascii="Times New Roman" w:hAnsi="Times New Roman"/>
        <w:noProof/>
      </w:rPr>
      <w:t>115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07445E" w:rsidRDefault="0007445E" w:rsidP="0007445E">
    <w:pPr>
      <w:autoSpaceDE w:val="0"/>
      <w:autoSpaceDN w:val="0"/>
      <w:adjustRightInd w:val="0"/>
      <w:spacing w:after="0" w:line="240" w:lineRule="auto"/>
      <w:ind w:left="1530" w:hanging="1530"/>
      <w:rPr>
        <w:rFonts w:ascii="Times New Roman" w:hAnsi="Times New Roman"/>
        <w:color w:val="000000" w:themeColor="text1"/>
        <w:sz w:val="20"/>
        <w:szCs w:val="20"/>
      </w:rPr>
    </w:pPr>
    <w:r w:rsidRPr="0007445E">
      <w:rPr>
        <w:rFonts w:ascii="Times New Roman" w:hAnsi="Times New Roman"/>
        <w:sz w:val="20"/>
        <w:szCs w:val="20"/>
      </w:rPr>
      <w:t>Norsyahida et al</w:t>
    </w:r>
    <w:r w:rsidR="006B72B0" w:rsidRPr="0007445E">
      <w:rPr>
        <w:rFonts w:ascii="Times New Roman" w:hAnsi="Times New Roman"/>
        <w:sz w:val="20"/>
        <w:szCs w:val="20"/>
      </w:rPr>
      <w:t xml:space="preserve">: </w:t>
    </w:r>
    <w:r w:rsidR="00070F31" w:rsidRPr="0007445E">
      <w:rPr>
        <w:rFonts w:ascii="Times New Roman" w:hAnsi="Times New Roman"/>
        <w:sz w:val="20"/>
        <w:szCs w:val="20"/>
      </w:rPr>
      <w:t xml:space="preserve"> </w:t>
    </w:r>
    <w:r w:rsidRPr="0007445E">
      <w:rPr>
        <w:rFonts w:ascii="Times New Roman" w:hAnsi="Times New Roman"/>
        <w:sz w:val="20"/>
        <w:szCs w:val="20"/>
      </w:rPr>
      <w:t xml:space="preserve"> </w:t>
    </w:r>
    <w:r>
      <w:rPr>
        <w:rFonts w:ascii="Times New Roman" w:hAnsi="Times New Roman"/>
        <w:sz w:val="20"/>
        <w:szCs w:val="20"/>
      </w:rPr>
      <w:tab/>
    </w:r>
    <w:r w:rsidRPr="0007445E">
      <w:rPr>
        <w:rFonts w:ascii="Times New Roman" w:hAnsi="Times New Roman"/>
        <w:sz w:val="20"/>
        <w:szCs w:val="20"/>
      </w:rPr>
      <w:t>OPTIMISATION OF THE COMPOSITION AND PROCESS PARAMETER OF CsH</w:t>
    </w:r>
    <w:r w:rsidRPr="0007445E">
      <w:rPr>
        <w:rFonts w:ascii="Times New Roman" w:hAnsi="Times New Roman"/>
        <w:sz w:val="20"/>
        <w:szCs w:val="20"/>
        <w:vertAlign w:val="subscript"/>
      </w:rPr>
      <w:t>2</w:t>
    </w:r>
    <w:r w:rsidRPr="0007445E">
      <w:rPr>
        <w:rFonts w:ascii="Times New Roman" w:hAnsi="Times New Roman"/>
        <w:sz w:val="20"/>
        <w:szCs w:val="20"/>
      </w:rPr>
      <w:t>PO</w:t>
    </w:r>
    <w:r w:rsidRPr="0007445E">
      <w:rPr>
        <w:rFonts w:ascii="Times New Roman" w:hAnsi="Times New Roman"/>
        <w:sz w:val="20"/>
        <w:szCs w:val="20"/>
        <w:vertAlign w:val="subscript"/>
      </w:rPr>
      <w:t>4</w:t>
    </w:r>
    <w:r w:rsidRPr="0007445E">
      <w:rPr>
        <w:rFonts w:ascii="Times New Roman" w:hAnsi="Times New Roman"/>
        <w:sz w:val="20"/>
        <w:szCs w:val="20"/>
      </w:rPr>
      <w:t>/NaH</w:t>
    </w:r>
    <w:r w:rsidRPr="0007445E">
      <w:rPr>
        <w:rFonts w:ascii="Times New Roman" w:hAnsi="Times New Roman"/>
        <w:sz w:val="20"/>
        <w:szCs w:val="20"/>
        <w:vertAlign w:val="subscript"/>
      </w:rPr>
      <w:t>2</w:t>
    </w:r>
    <w:r w:rsidRPr="0007445E">
      <w:rPr>
        <w:rFonts w:ascii="Times New Roman" w:hAnsi="Times New Roman"/>
        <w:sz w:val="20"/>
        <w:szCs w:val="20"/>
      </w:rPr>
      <w:t>PO</w:t>
    </w:r>
    <w:r w:rsidRPr="0007445E">
      <w:rPr>
        <w:rFonts w:ascii="Times New Roman" w:hAnsi="Times New Roman"/>
        <w:sz w:val="20"/>
        <w:szCs w:val="20"/>
        <w:vertAlign w:val="subscript"/>
      </w:rPr>
      <w:t>4</w:t>
    </w:r>
    <w:r w:rsidRPr="0007445E">
      <w:rPr>
        <w:rFonts w:ascii="Times New Roman" w:hAnsi="Times New Roman"/>
        <w:sz w:val="20"/>
        <w:szCs w:val="20"/>
      </w:rPr>
      <w:t>/SiO</w:t>
    </w:r>
    <w:r w:rsidRPr="0007445E">
      <w:rPr>
        <w:rFonts w:ascii="Times New Roman" w:hAnsi="Times New Roman"/>
        <w:sz w:val="20"/>
        <w:szCs w:val="20"/>
        <w:vertAlign w:val="subscript"/>
      </w:rPr>
      <w:t>2</w:t>
    </w:r>
    <w:r w:rsidRPr="0007445E">
      <w:rPr>
        <w:rFonts w:ascii="Times New Roman" w:hAnsi="Times New Roman"/>
        <w:sz w:val="20"/>
        <w:szCs w:val="20"/>
      </w:rPr>
      <w:t xml:space="preserve"> SOLID ACID COMPOSITE VIA THE TAGUCHI METHOD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BA7D4B">
      <w:rPr>
        <w:rFonts w:ascii="Times New Roman" w:hAnsi="Times New Roman"/>
        <w:i/>
        <w:lang w:val="en-US"/>
      </w:rPr>
      <w:t>3</w:t>
    </w:r>
    <w:r>
      <w:rPr>
        <w:rFonts w:ascii="Times New Roman" w:hAnsi="Times New Roman"/>
        <w:i/>
      </w:rPr>
      <w:t xml:space="preserve"> </w:t>
    </w:r>
    <w:r w:rsidR="0047088F">
      <w:rPr>
        <w:rFonts w:ascii="Times New Roman" w:hAnsi="Times New Roman"/>
        <w:i/>
        <w:lang w:val="en-US"/>
      </w:rPr>
      <w:t>No 1</w:t>
    </w:r>
    <w:r>
      <w:rPr>
        <w:rFonts w:ascii="Times New Roman" w:hAnsi="Times New Roman"/>
        <w:i/>
      </w:rPr>
      <w:t xml:space="preserve"> (201</w:t>
    </w:r>
    <w:r w:rsidR="00BA7D4B">
      <w:rPr>
        <w:rFonts w:ascii="Times New Roman" w:hAnsi="Times New Roman"/>
        <w:i/>
        <w:lang w:val="en-US"/>
      </w:rPr>
      <w:t>9</w:t>
    </w:r>
    <w:r w:rsidRPr="00D75B35">
      <w:rPr>
        <w:rFonts w:ascii="Times New Roman" w:hAnsi="Times New Roman"/>
        <w:i/>
      </w:rPr>
      <w:t xml:space="preserve">): </w:t>
    </w:r>
    <w:r w:rsidR="000611FC">
      <w:rPr>
        <w:rFonts w:ascii="Times New Roman" w:hAnsi="Times New Roman"/>
        <w:i/>
        <w:lang w:val="en-US"/>
      </w:rPr>
      <w:t>109</w:t>
    </w:r>
    <w:r>
      <w:rPr>
        <w:rFonts w:ascii="Times New Roman" w:hAnsi="Times New Roman"/>
        <w:i/>
        <w:lang w:val="en-US"/>
      </w:rPr>
      <w:t xml:space="preserve"> </w:t>
    </w:r>
    <w:r w:rsidR="007A0583">
      <w:rPr>
        <w:rFonts w:ascii="Times New Roman" w:hAnsi="Times New Roman"/>
        <w:i/>
        <w:lang w:val="en-US"/>
      </w:rPr>
      <w:t>-</w:t>
    </w:r>
    <w:r w:rsidR="000611FC">
      <w:rPr>
        <w:rFonts w:ascii="Times New Roman" w:hAnsi="Times New Roman"/>
        <w:i/>
        <w:lang w:val="en-US"/>
      </w:rPr>
      <w:t xml:space="preserve"> 115</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BA7D4B">
      <w:rPr>
        <w:rFonts w:ascii="Times New Roman" w:hAnsi="Times New Roman"/>
        <w:i/>
        <w:lang w:val="en-US"/>
      </w:rPr>
      <w:t>doi.org/10.17576/mjas-2019-23</w:t>
    </w:r>
    <w:r w:rsidR="00B91DE7">
      <w:rPr>
        <w:rFonts w:ascii="Times New Roman" w:hAnsi="Times New Roman"/>
        <w:i/>
        <w:lang w:val="en-US"/>
      </w:rPr>
      <w:t>0</w:t>
    </w:r>
    <w:r w:rsidR="0047088F">
      <w:rPr>
        <w:rFonts w:ascii="Times New Roman" w:hAnsi="Times New Roman"/>
        <w:i/>
        <w:lang w:val="en-US"/>
      </w:rPr>
      <w:t>1</w:t>
    </w:r>
    <w:r w:rsidR="000611FC">
      <w:rPr>
        <w:rFonts w:ascii="Times New Roman" w:hAnsi="Times New Roman"/>
        <w:i/>
        <w:lang w:val="en-US"/>
      </w:rPr>
      <w:t>-1</w:t>
    </w:r>
    <w:r w:rsidR="00E87429">
      <w:rPr>
        <w:rFonts w:ascii="Times New Roman" w:hAnsi="Times New Roman"/>
        <w:i/>
        <w:lang w:val="en-US"/>
      </w:rPr>
      <w:t>3</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38A6754"/>
    <w:multiLevelType w:val="hybridMultilevel"/>
    <w:tmpl w:val="F9909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11FC"/>
    <w:rsid w:val="00067E6B"/>
    <w:rsid w:val="00070F31"/>
    <w:rsid w:val="0007445E"/>
    <w:rsid w:val="00084936"/>
    <w:rsid w:val="000875CD"/>
    <w:rsid w:val="000C49FF"/>
    <w:rsid w:val="000D16A1"/>
    <w:rsid w:val="000D2B0C"/>
    <w:rsid w:val="000F77DA"/>
    <w:rsid w:val="001068E8"/>
    <w:rsid w:val="001106D8"/>
    <w:rsid w:val="00117BCD"/>
    <w:rsid w:val="0014365E"/>
    <w:rsid w:val="00157B55"/>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7088F"/>
    <w:rsid w:val="004760D4"/>
    <w:rsid w:val="00494C46"/>
    <w:rsid w:val="004B43FF"/>
    <w:rsid w:val="004D7E25"/>
    <w:rsid w:val="004E5FE3"/>
    <w:rsid w:val="00502641"/>
    <w:rsid w:val="005C6768"/>
    <w:rsid w:val="005E4871"/>
    <w:rsid w:val="00601C8A"/>
    <w:rsid w:val="00623CB8"/>
    <w:rsid w:val="006257E5"/>
    <w:rsid w:val="00634C25"/>
    <w:rsid w:val="006416AB"/>
    <w:rsid w:val="0065447F"/>
    <w:rsid w:val="006768E9"/>
    <w:rsid w:val="00687982"/>
    <w:rsid w:val="0069647A"/>
    <w:rsid w:val="006B3EC8"/>
    <w:rsid w:val="006B72B0"/>
    <w:rsid w:val="006D286E"/>
    <w:rsid w:val="006D695E"/>
    <w:rsid w:val="00725A6A"/>
    <w:rsid w:val="007943F3"/>
    <w:rsid w:val="007A0583"/>
    <w:rsid w:val="007A738C"/>
    <w:rsid w:val="007B1349"/>
    <w:rsid w:val="007D45AC"/>
    <w:rsid w:val="007E25BD"/>
    <w:rsid w:val="00802C35"/>
    <w:rsid w:val="00815B2B"/>
    <w:rsid w:val="0082181A"/>
    <w:rsid w:val="00825624"/>
    <w:rsid w:val="0083587A"/>
    <w:rsid w:val="00883CC3"/>
    <w:rsid w:val="008B470E"/>
    <w:rsid w:val="008B5904"/>
    <w:rsid w:val="008D29BF"/>
    <w:rsid w:val="008E1211"/>
    <w:rsid w:val="008E5BBF"/>
    <w:rsid w:val="008E6968"/>
    <w:rsid w:val="009211AF"/>
    <w:rsid w:val="009357B8"/>
    <w:rsid w:val="009866F6"/>
    <w:rsid w:val="009B69C4"/>
    <w:rsid w:val="009D030D"/>
    <w:rsid w:val="00A11B27"/>
    <w:rsid w:val="00A14DB9"/>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6A3"/>
    <w:rsid w:val="00BA1F7B"/>
    <w:rsid w:val="00BA7D4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855B4"/>
    <w:rsid w:val="00D9736F"/>
    <w:rsid w:val="00D9792A"/>
    <w:rsid w:val="00DD377F"/>
    <w:rsid w:val="00E16130"/>
    <w:rsid w:val="00E25547"/>
    <w:rsid w:val="00E3287E"/>
    <w:rsid w:val="00E54D12"/>
    <w:rsid w:val="00E66197"/>
    <w:rsid w:val="00E87429"/>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customStyle="1" w:styleId="PlainTable2">
    <w:name w:val="Plain Table 2"/>
    <w:basedOn w:val="TableNormal"/>
    <w:uiPriority w:val="42"/>
    <w:rsid w:val="00A11B27"/>
    <w:rPr>
      <w:rFonts w:ascii="Calibri" w:hAnsi="Calibri" w:cs="Calibri"/>
      <w:sz w:val="22"/>
      <w:szCs w:val="22"/>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customStyle="1" w:styleId="PlainTable2">
    <w:name w:val="Plain Table 2"/>
    <w:basedOn w:val="TableNormal"/>
    <w:uiPriority w:val="42"/>
    <w:rsid w:val="00A11B27"/>
    <w:rPr>
      <w:rFonts w:ascii="Calibri" w:hAnsi="Calibri" w:cs="Calibri"/>
      <w:sz w:val="22"/>
      <w:szCs w:val="22"/>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image" Target="media/image7.jpg"/><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EB342-2464-458A-B6D6-459ADDF85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2835</Words>
  <Characters>15485</Characters>
  <Application>Microsoft Office Word</Application>
  <DocSecurity>0</DocSecurity>
  <Lines>407</Lines>
  <Paragraphs>231</Paragraphs>
  <ScaleCrop>false</ScaleCrop>
  <HeadingPairs>
    <vt:vector size="2" baseType="variant">
      <vt:variant>
        <vt:lpstr>Title</vt:lpstr>
      </vt:variant>
      <vt:variant>
        <vt:i4>1</vt:i4>
      </vt:variant>
    </vt:vector>
  </HeadingPairs>
  <TitlesOfParts>
    <vt:vector size="1" baseType="lpstr">
      <vt:lpstr>MJAS Vol 23 No 1 (2019)</vt:lpstr>
    </vt:vector>
  </TitlesOfParts>
  <Company>UKM</Company>
  <LinksUpToDate>false</LinksUpToDate>
  <CharactersWithSpaces>18089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1 (2019)</dc:title>
  <dc:creator>Harun Hj Hamzah</dc:creator>
  <cp:lastModifiedBy>Harun Hamzah</cp:lastModifiedBy>
  <cp:revision>11</cp:revision>
  <cp:lastPrinted>2019-02-11T14:02:00Z</cp:lastPrinted>
  <dcterms:created xsi:type="dcterms:W3CDTF">2019-01-29T08:13:00Z</dcterms:created>
  <dcterms:modified xsi:type="dcterms:W3CDTF">2019-02-11T14:02:00Z</dcterms:modified>
</cp:coreProperties>
</file>