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B373D7" w:rsidRPr="004B6185" w:rsidRDefault="00B373D7" w:rsidP="00B373D7">
      <w:pPr>
        <w:spacing w:after="0" w:line="240" w:lineRule="auto"/>
        <w:jc w:val="center"/>
        <w:rPr>
          <w:rFonts w:ascii="Times New Roman" w:hAnsi="Times New Roman"/>
          <w:sz w:val="28"/>
        </w:rPr>
      </w:pPr>
      <w:r w:rsidRPr="004B6185">
        <w:rPr>
          <w:rFonts w:ascii="Times New Roman" w:hAnsi="Times New Roman"/>
          <w:sz w:val="28"/>
        </w:rPr>
        <w:t>METHOD DEVELOPMENT AND VALIDATION FOR QUANTIFICATION OF CORTISOL AND CORTISONE USING ULTRA-HIGH PERFORMANCE LIQUID CHROMATOGRAPHY-TANDEM MASS SPECTROMETRY</w:t>
      </w:r>
    </w:p>
    <w:p w:rsidR="00B373D7" w:rsidRDefault="00B373D7" w:rsidP="00B373D7">
      <w:pPr>
        <w:spacing w:after="0" w:line="240" w:lineRule="auto"/>
        <w:jc w:val="center"/>
        <w:rPr>
          <w:rFonts w:ascii="Times New Roman" w:hAnsi="Times New Roman"/>
          <w:sz w:val="24"/>
          <w:szCs w:val="24"/>
        </w:rPr>
      </w:pPr>
    </w:p>
    <w:p w:rsidR="00B373D7" w:rsidRPr="00B373D7" w:rsidRDefault="00B373D7" w:rsidP="00B373D7">
      <w:pPr>
        <w:spacing w:after="0" w:line="240" w:lineRule="auto"/>
        <w:jc w:val="center"/>
        <w:rPr>
          <w:rFonts w:ascii="Times New Roman" w:hAnsi="Times New Roman"/>
          <w:sz w:val="24"/>
          <w:szCs w:val="24"/>
          <w:shd w:val="clear" w:color="auto" w:fill="FFFFFF"/>
        </w:rPr>
      </w:pPr>
      <w:r w:rsidRPr="00B373D7">
        <w:rPr>
          <w:rFonts w:ascii="Times New Roman" w:hAnsi="Times New Roman"/>
          <w:sz w:val="24"/>
          <w:szCs w:val="24"/>
        </w:rPr>
        <w:t>(</w:t>
      </w:r>
      <w:r w:rsidRPr="00B373D7">
        <w:rPr>
          <w:rFonts w:ascii="Times New Roman" w:hAnsi="Times New Roman"/>
          <w:sz w:val="24"/>
          <w:szCs w:val="24"/>
          <w:shd w:val="clear" w:color="auto" w:fill="FFFFFF"/>
          <w:lang w:val="ms-MY"/>
        </w:rPr>
        <w:t xml:space="preserve">Pembangunan dan Pengesahan Kaedah untuk Kuantifikasi Kortisol dan Kortison Menggunakan </w:t>
      </w:r>
      <w:bookmarkStart w:id="0" w:name="_Hlk526932592"/>
      <w:r w:rsidRPr="00B373D7">
        <w:rPr>
          <w:rFonts w:ascii="Times New Roman" w:hAnsi="Times New Roman"/>
          <w:sz w:val="24"/>
          <w:szCs w:val="24"/>
          <w:shd w:val="clear" w:color="auto" w:fill="FFFFFF"/>
          <w:lang w:val="ms-MY"/>
        </w:rPr>
        <w:t>Kromatografi Cecair Berprestasi Ultra Tinggi</w:t>
      </w:r>
      <w:r>
        <w:rPr>
          <w:rFonts w:ascii="Times New Roman" w:hAnsi="Times New Roman"/>
          <w:sz w:val="24"/>
          <w:szCs w:val="24"/>
          <w:shd w:val="clear" w:color="auto" w:fill="FFFFFF"/>
          <w:lang w:val="ms-MY"/>
        </w:rPr>
        <w:t>-</w:t>
      </w:r>
      <w:r w:rsidRPr="00B373D7">
        <w:rPr>
          <w:rFonts w:ascii="Times New Roman" w:hAnsi="Times New Roman"/>
          <w:sz w:val="24"/>
          <w:szCs w:val="24"/>
          <w:shd w:val="clear" w:color="auto" w:fill="FFFFFF"/>
          <w:lang w:val="ms-MY"/>
        </w:rPr>
        <w:t xml:space="preserve">Spektrometri Jisim </w:t>
      </w:r>
      <w:bookmarkEnd w:id="0"/>
      <w:r w:rsidRPr="00B373D7">
        <w:rPr>
          <w:rFonts w:ascii="Times New Roman" w:hAnsi="Times New Roman"/>
          <w:sz w:val="24"/>
          <w:szCs w:val="24"/>
          <w:shd w:val="clear" w:color="auto" w:fill="FFFFFF"/>
          <w:lang w:val="ms-MY"/>
        </w:rPr>
        <w:t>Gabungan</w:t>
      </w:r>
      <w:r w:rsidRPr="00B373D7">
        <w:rPr>
          <w:rFonts w:ascii="Times New Roman" w:hAnsi="Times New Roman"/>
          <w:sz w:val="24"/>
          <w:szCs w:val="24"/>
          <w:shd w:val="clear" w:color="auto" w:fill="FFFFFF"/>
        </w:rPr>
        <w:t>)</w:t>
      </w:r>
    </w:p>
    <w:p w:rsidR="00B373D7" w:rsidRPr="004B6185" w:rsidRDefault="00B373D7" w:rsidP="00B373D7">
      <w:pPr>
        <w:spacing w:after="0" w:line="240" w:lineRule="auto"/>
        <w:jc w:val="center"/>
        <w:rPr>
          <w:rFonts w:ascii="Times New Roman" w:hAnsi="Times New Roman"/>
          <w:sz w:val="20"/>
          <w:szCs w:val="20"/>
          <w:shd w:val="clear" w:color="auto" w:fill="FFFFFF"/>
        </w:rPr>
      </w:pPr>
    </w:p>
    <w:p w:rsidR="00FA1BDF" w:rsidRDefault="00B373D7" w:rsidP="00B373D7">
      <w:pPr>
        <w:spacing w:after="0" w:line="240" w:lineRule="auto"/>
        <w:jc w:val="center"/>
        <w:rPr>
          <w:rFonts w:ascii="Times New Roman" w:hAnsi="Times New Roman"/>
        </w:rPr>
      </w:pPr>
      <w:r w:rsidRPr="004B6185">
        <w:rPr>
          <w:rFonts w:ascii="Times New Roman" w:hAnsi="Times New Roman"/>
          <w:sz w:val="20"/>
          <w:szCs w:val="20"/>
        </w:rPr>
        <w:t>Hazirah Abd Azhar</w:t>
      </w:r>
      <w:r w:rsidRPr="004B6185">
        <w:rPr>
          <w:rFonts w:ascii="Times New Roman" w:hAnsi="Times New Roman"/>
          <w:sz w:val="20"/>
          <w:szCs w:val="20"/>
          <w:vertAlign w:val="superscript"/>
        </w:rPr>
        <w:t>1,2</w:t>
      </w:r>
      <w:r w:rsidRPr="004B6185">
        <w:rPr>
          <w:rFonts w:ascii="Times New Roman" w:hAnsi="Times New Roman"/>
          <w:sz w:val="20"/>
          <w:szCs w:val="20"/>
        </w:rPr>
        <w:t>, Mohd Salleh Rofiee</w:t>
      </w:r>
      <w:r w:rsidRPr="004B6185">
        <w:rPr>
          <w:rFonts w:ascii="Times New Roman" w:hAnsi="Times New Roman"/>
          <w:sz w:val="20"/>
          <w:szCs w:val="20"/>
          <w:vertAlign w:val="superscript"/>
        </w:rPr>
        <w:t>1</w:t>
      </w:r>
      <w:r w:rsidRPr="004B6185">
        <w:rPr>
          <w:rFonts w:ascii="Times New Roman" w:hAnsi="Times New Roman"/>
          <w:sz w:val="20"/>
          <w:szCs w:val="20"/>
        </w:rPr>
        <w:t>, Mohammad Zulfadhly Jan Jam</w:t>
      </w:r>
      <w:r w:rsidRPr="004B6185">
        <w:rPr>
          <w:rFonts w:ascii="Times New Roman" w:hAnsi="Times New Roman"/>
          <w:sz w:val="20"/>
          <w:szCs w:val="20"/>
          <w:vertAlign w:val="superscript"/>
        </w:rPr>
        <w:t>1</w:t>
      </w:r>
      <w:r w:rsidR="009A0922" w:rsidRPr="009A0922">
        <w:rPr>
          <w:rFonts w:ascii="Times New Roman" w:hAnsi="Times New Roman"/>
          <w:sz w:val="20"/>
          <w:szCs w:val="20"/>
        </w:rPr>
        <w:t>,</w:t>
      </w:r>
      <w:r w:rsidRPr="004B6185">
        <w:rPr>
          <w:rFonts w:ascii="Times New Roman" w:hAnsi="Times New Roman"/>
          <w:sz w:val="20"/>
          <w:szCs w:val="20"/>
        </w:rPr>
        <w:t xml:space="preserve"> Muhammad Hisyam Jamari</w:t>
      </w:r>
      <w:r w:rsidRPr="004B6185">
        <w:rPr>
          <w:rFonts w:ascii="Times New Roman" w:hAnsi="Times New Roman"/>
          <w:sz w:val="20"/>
          <w:szCs w:val="20"/>
          <w:vertAlign w:val="superscript"/>
        </w:rPr>
        <w:t>1</w:t>
      </w:r>
      <w:r w:rsidRPr="004B6185">
        <w:rPr>
          <w:rFonts w:ascii="Times New Roman" w:hAnsi="Times New Roman"/>
          <w:sz w:val="20"/>
          <w:szCs w:val="20"/>
        </w:rPr>
        <w:t>,</w:t>
      </w:r>
      <w:r w:rsidRPr="004B6185">
        <w:rPr>
          <w:rFonts w:ascii="Times New Roman" w:hAnsi="Times New Roman"/>
        </w:rPr>
        <w:t xml:space="preserve"> </w:t>
      </w:r>
    </w:p>
    <w:p w:rsidR="00B373D7" w:rsidRPr="004B6185" w:rsidRDefault="00B373D7" w:rsidP="00B373D7">
      <w:pPr>
        <w:spacing w:after="0" w:line="240" w:lineRule="auto"/>
        <w:jc w:val="center"/>
        <w:rPr>
          <w:rFonts w:ascii="Times New Roman" w:hAnsi="Times New Roman"/>
          <w:sz w:val="20"/>
          <w:szCs w:val="20"/>
        </w:rPr>
      </w:pPr>
      <w:r w:rsidRPr="004B6185">
        <w:rPr>
          <w:rFonts w:ascii="Times New Roman" w:hAnsi="Times New Roman"/>
          <w:sz w:val="20"/>
          <w:szCs w:val="20"/>
        </w:rPr>
        <w:t>Roziah Mohd Janor</w:t>
      </w:r>
      <w:r w:rsidRPr="004B6185">
        <w:rPr>
          <w:rFonts w:ascii="Times New Roman" w:hAnsi="Times New Roman"/>
          <w:sz w:val="20"/>
          <w:szCs w:val="20"/>
          <w:vertAlign w:val="superscript"/>
        </w:rPr>
        <w:t>1,3</w:t>
      </w:r>
      <w:r w:rsidRPr="004B6185">
        <w:rPr>
          <w:rFonts w:ascii="Times New Roman" w:hAnsi="Times New Roman"/>
          <w:sz w:val="20"/>
          <w:szCs w:val="20"/>
        </w:rPr>
        <w:t>, Richard Johari James</w:t>
      </w:r>
      <w:r w:rsidRPr="004B6185">
        <w:rPr>
          <w:rFonts w:ascii="Times New Roman" w:hAnsi="Times New Roman"/>
          <w:sz w:val="20"/>
          <w:szCs w:val="20"/>
          <w:vertAlign w:val="superscript"/>
        </w:rPr>
        <w:t>1,2</w:t>
      </w:r>
      <w:r w:rsidRPr="00B373D7">
        <w:rPr>
          <w:rFonts w:ascii="Times New Roman" w:hAnsi="Times New Roman"/>
          <w:sz w:val="20"/>
          <w:szCs w:val="20"/>
        </w:rPr>
        <w:t>*</w:t>
      </w:r>
      <w:r w:rsidRPr="004B6185">
        <w:rPr>
          <w:rFonts w:ascii="Times New Roman" w:hAnsi="Times New Roman"/>
          <w:sz w:val="20"/>
          <w:szCs w:val="20"/>
        </w:rPr>
        <w:t>, Teh Lay Kek</w:t>
      </w:r>
      <w:r w:rsidRPr="004B6185">
        <w:rPr>
          <w:rFonts w:ascii="Times New Roman" w:hAnsi="Times New Roman"/>
          <w:sz w:val="20"/>
          <w:szCs w:val="20"/>
          <w:vertAlign w:val="superscript"/>
        </w:rPr>
        <w:t>1,2</w:t>
      </w:r>
      <w:r w:rsidRPr="004B6185">
        <w:rPr>
          <w:rFonts w:ascii="Times New Roman" w:hAnsi="Times New Roman"/>
          <w:sz w:val="20"/>
          <w:szCs w:val="20"/>
        </w:rPr>
        <w:t>, Mohd Zaki Salleh</w:t>
      </w:r>
      <w:r w:rsidRPr="004B6185">
        <w:rPr>
          <w:rFonts w:ascii="Times New Roman" w:hAnsi="Times New Roman"/>
          <w:sz w:val="20"/>
          <w:szCs w:val="20"/>
          <w:vertAlign w:val="superscript"/>
        </w:rPr>
        <w:t>1,2</w:t>
      </w:r>
    </w:p>
    <w:p w:rsidR="00B373D7" w:rsidRPr="004B6185" w:rsidRDefault="00B373D7" w:rsidP="00B373D7">
      <w:pPr>
        <w:spacing w:after="0" w:line="240" w:lineRule="auto"/>
        <w:jc w:val="center"/>
        <w:rPr>
          <w:rFonts w:ascii="Times New Roman" w:hAnsi="Times New Roman"/>
          <w:sz w:val="18"/>
          <w:szCs w:val="18"/>
        </w:rPr>
      </w:pPr>
    </w:p>
    <w:p w:rsidR="00B373D7" w:rsidRDefault="00B373D7" w:rsidP="00B373D7">
      <w:pPr>
        <w:spacing w:after="0" w:line="240" w:lineRule="auto"/>
        <w:jc w:val="center"/>
        <w:rPr>
          <w:rFonts w:ascii="Times New Roman" w:hAnsi="Times New Roman"/>
          <w:i/>
          <w:iCs/>
          <w:sz w:val="18"/>
          <w:szCs w:val="18"/>
        </w:rPr>
      </w:pPr>
      <w:r w:rsidRPr="004B6185">
        <w:rPr>
          <w:rFonts w:ascii="Times New Roman" w:hAnsi="Times New Roman"/>
          <w:i/>
          <w:iCs/>
          <w:sz w:val="18"/>
          <w:szCs w:val="18"/>
          <w:vertAlign w:val="superscript"/>
        </w:rPr>
        <w:t>1</w:t>
      </w:r>
      <w:r w:rsidRPr="004B6185">
        <w:rPr>
          <w:rFonts w:ascii="Times New Roman" w:hAnsi="Times New Roman"/>
          <w:i/>
          <w:iCs/>
          <w:sz w:val="18"/>
          <w:szCs w:val="18"/>
        </w:rPr>
        <w:t>Integrative Pharmac</w:t>
      </w:r>
      <w:r>
        <w:rPr>
          <w:rFonts w:ascii="Times New Roman" w:hAnsi="Times New Roman"/>
          <w:i/>
          <w:iCs/>
          <w:sz w:val="18"/>
          <w:szCs w:val="18"/>
        </w:rPr>
        <w:t>ogenomics Institute (iPROMISE)</w:t>
      </w:r>
      <w:bookmarkStart w:id="1" w:name="_GoBack"/>
      <w:bookmarkEnd w:id="1"/>
    </w:p>
    <w:p w:rsidR="00B373D7" w:rsidRDefault="00B373D7" w:rsidP="00B373D7">
      <w:pPr>
        <w:spacing w:after="0" w:line="240" w:lineRule="auto"/>
        <w:jc w:val="center"/>
        <w:rPr>
          <w:rFonts w:ascii="Times New Roman" w:hAnsi="Times New Roman"/>
          <w:i/>
          <w:iCs/>
          <w:sz w:val="18"/>
          <w:szCs w:val="18"/>
        </w:rPr>
      </w:pPr>
      <w:r w:rsidRPr="004B6185">
        <w:rPr>
          <w:rFonts w:ascii="Times New Roman" w:hAnsi="Times New Roman"/>
          <w:i/>
          <w:iCs/>
          <w:sz w:val="18"/>
          <w:szCs w:val="18"/>
          <w:vertAlign w:val="superscript"/>
        </w:rPr>
        <w:t>2</w:t>
      </w:r>
      <w:r>
        <w:rPr>
          <w:rFonts w:ascii="Times New Roman" w:hAnsi="Times New Roman"/>
          <w:i/>
          <w:iCs/>
          <w:sz w:val="18"/>
          <w:szCs w:val="18"/>
        </w:rPr>
        <w:t>Faculty of Pharmacy</w:t>
      </w:r>
    </w:p>
    <w:p w:rsidR="00B373D7" w:rsidRPr="004B6185" w:rsidRDefault="00B373D7" w:rsidP="00B373D7">
      <w:pPr>
        <w:spacing w:after="0" w:line="240" w:lineRule="auto"/>
        <w:jc w:val="center"/>
        <w:rPr>
          <w:rFonts w:ascii="Times New Roman" w:hAnsi="Times New Roman"/>
          <w:i/>
          <w:iCs/>
          <w:sz w:val="18"/>
          <w:szCs w:val="18"/>
        </w:rPr>
      </w:pPr>
      <w:r w:rsidRPr="004B6185">
        <w:rPr>
          <w:rFonts w:ascii="Times New Roman" w:hAnsi="Times New Roman"/>
          <w:i/>
          <w:iCs/>
          <w:sz w:val="18"/>
          <w:szCs w:val="18"/>
        </w:rPr>
        <w:t>Universiti Teknologi MARA Puncak Alam Campus, 42300 Bandar Puncak Alam, Selangor, Malaysia</w:t>
      </w:r>
    </w:p>
    <w:p w:rsidR="00B373D7" w:rsidRDefault="00B373D7" w:rsidP="00B373D7">
      <w:pPr>
        <w:spacing w:after="0" w:line="240" w:lineRule="auto"/>
        <w:jc w:val="center"/>
        <w:rPr>
          <w:rFonts w:ascii="Times New Roman" w:hAnsi="Times New Roman"/>
          <w:i/>
          <w:iCs/>
          <w:sz w:val="18"/>
          <w:szCs w:val="18"/>
        </w:rPr>
      </w:pPr>
      <w:r w:rsidRPr="004B6185">
        <w:rPr>
          <w:rFonts w:ascii="Times New Roman" w:hAnsi="Times New Roman"/>
          <w:i/>
          <w:iCs/>
          <w:sz w:val="18"/>
          <w:szCs w:val="18"/>
          <w:vertAlign w:val="superscript"/>
        </w:rPr>
        <w:t>3</w:t>
      </w:r>
      <w:r w:rsidRPr="004B6185">
        <w:rPr>
          <w:rFonts w:ascii="Times New Roman" w:hAnsi="Times New Roman"/>
          <w:i/>
          <w:iCs/>
          <w:sz w:val="18"/>
          <w:szCs w:val="18"/>
        </w:rPr>
        <w:t xml:space="preserve">Faculty of Computer &amp; Mathematical Sciences, </w:t>
      </w:r>
    </w:p>
    <w:p w:rsidR="00B373D7" w:rsidRPr="004B6185" w:rsidRDefault="00B373D7" w:rsidP="00B373D7">
      <w:pPr>
        <w:spacing w:after="0" w:line="240" w:lineRule="auto"/>
        <w:jc w:val="center"/>
        <w:rPr>
          <w:rFonts w:ascii="Times New Roman" w:hAnsi="Times New Roman"/>
          <w:i/>
          <w:iCs/>
          <w:sz w:val="18"/>
          <w:szCs w:val="18"/>
        </w:rPr>
      </w:pPr>
      <w:r w:rsidRPr="004B6185">
        <w:rPr>
          <w:rFonts w:ascii="Times New Roman" w:hAnsi="Times New Roman"/>
          <w:i/>
          <w:iCs/>
          <w:sz w:val="18"/>
          <w:szCs w:val="18"/>
        </w:rPr>
        <w:t>Universiti Teknologi MARA Shah Alam Campus,</w:t>
      </w:r>
      <w:r>
        <w:rPr>
          <w:rFonts w:ascii="Times New Roman" w:hAnsi="Times New Roman"/>
          <w:i/>
          <w:iCs/>
          <w:sz w:val="18"/>
          <w:szCs w:val="18"/>
        </w:rPr>
        <w:t xml:space="preserve"> </w:t>
      </w:r>
      <w:r w:rsidRPr="004B6185">
        <w:rPr>
          <w:rFonts w:ascii="Times New Roman" w:hAnsi="Times New Roman"/>
          <w:i/>
          <w:iCs/>
          <w:sz w:val="18"/>
          <w:szCs w:val="18"/>
        </w:rPr>
        <w:t xml:space="preserve">40450 Shah Alam, Selangor, Malaysia </w:t>
      </w:r>
      <w:r w:rsidRPr="004B6185">
        <w:rPr>
          <w:rFonts w:ascii="Times New Roman" w:hAnsi="Times New Roman"/>
          <w:i/>
          <w:iCs/>
          <w:sz w:val="18"/>
          <w:szCs w:val="18"/>
        </w:rPr>
        <w:br/>
      </w:r>
    </w:p>
    <w:p w:rsidR="00B373D7" w:rsidRPr="004B6185" w:rsidRDefault="00B373D7" w:rsidP="00B373D7">
      <w:pPr>
        <w:spacing w:after="0" w:line="240" w:lineRule="auto"/>
        <w:jc w:val="center"/>
        <w:rPr>
          <w:rFonts w:ascii="Times New Roman" w:hAnsi="Times New Roman"/>
          <w:i/>
          <w:iCs/>
          <w:sz w:val="18"/>
          <w:szCs w:val="18"/>
        </w:rPr>
      </w:pPr>
      <w:r w:rsidRPr="004B6185">
        <w:rPr>
          <w:rFonts w:ascii="Times New Roman" w:hAnsi="Times New Roman"/>
          <w:i/>
          <w:sz w:val="18"/>
          <w:szCs w:val="18"/>
        </w:rPr>
        <w:t xml:space="preserve">*Corresponding author: </w:t>
      </w:r>
      <w:r>
        <w:rPr>
          <w:rFonts w:ascii="Times New Roman" w:hAnsi="Times New Roman"/>
          <w:i/>
          <w:sz w:val="18"/>
          <w:szCs w:val="18"/>
        </w:rPr>
        <w:t xml:space="preserve"> </w:t>
      </w:r>
      <w:r w:rsidR="00FA1BDF">
        <w:rPr>
          <w:rFonts w:ascii="Times New Roman" w:hAnsi="Times New Roman"/>
          <w:i/>
          <w:iCs/>
          <w:sz w:val="18"/>
          <w:szCs w:val="18"/>
        </w:rPr>
        <w:t>richard@</w:t>
      </w:r>
      <w:r w:rsidRPr="004B6185">
        <w:rPr>
          <w:rFonts w:ascii="Times New Roman" w:hAnsi="Times New Roman"/>
          <w:i/>
          <w:iCs/>
          <w:sz w:val="18"/>
          <w:szCs w:val="18"/>
        </w:rPr>
        <w:t>uitm.edu.my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373D7">
        <w:rPr>
          <w:rFonts w:ascii="Times New Roman" w:hAnsi="Times New Roman"/>
          <w:noProof/>
          <w:sz w:val="18"/>
          <w:szCs w:val="18"/>
          <w:lang w:bidi="ar-SA"/>
        </w:rPr>
        <w:t>30 May 2018</w:t>
      </w:r>
      <w:r>
        <w:rPr>
          <w:rFonts w:ascii="Times New Roman" w:hAnsi="Times New Roman"/>
          <w:noProof/>
          <w:sz w:val="18"/>
          <w:szCs w:val="18"/>
          <w:lang w:bidi="ar-SA"/>
        </w:rPr>
        <w:t xml:space="preserve">; Accepted: </w:t>
      </w:r>
      <w:r w:rsidR="00B373D7">
        <w:rPr>
          <w:rFonts w:ascii="Times New Roman" w:hAnsi="Times New Roman"/>
          <w:noProof/>
          <w:sz w:val="18"/>
          <w:szCs w:val="18"/>
          <w:lang w:bidi="ar-SA"/>
        </w:rPr>
        <w:t>14 April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8C2AD5" w:rsidRPr="004B6185" w:rsidRDefault="008C2AD5" w:rsidP="008C2AD5">
      <w:pPr>
        <w:spacing w:after="0" w:line="240" w:lineRule="auto"/>
        <w:jc w:val="both"/>
        <w:rPr>
          <w:rFonts w:ascii="Times New Roman" w:hAnsi="Times New Roman"/>
          <w:sz w:val="18"/>
          <w:szCs w:val="18"/>
        </w:rPr>
      </w:pPr>
      <w:r w:rsidRPr="004B6185">
        <w:rPr>
          <w:rFonts w:ascii="Times New Roman" w:hAnsi="Times New Roman"/>
          <w:sz w:val="18"/>
          <w:szCs w:val="18"/>
        </w:rPr>
        <w:t xml:space="preserve">Cortisol and its metabolite cortisone </w:t>
      </w:r>
      <w:r w:rsidRPr="004B6185">
        <w:rPr>
          <w:rFonts w:ascii="Times New Roman" w:hAnsi="Times New Roman"/>
          <w:noProof/>
          <w:sz w:val="18"/>
          <w:szCs w:val="18"/>
        </w:rPr>
        <w:t>have</w:t>
      </w:r>
      <w:r w:rsidRPr="004B6185">
        <w:rPr>
          <w:rFonts w:ascii="Times New Roman" w:hAnsi="Times New Roman"/>
          <w:sz w:val="18"/>
          <w:szCs w:val="18"/>
        </w:rPr>
        <w:t xml:space="preserve"> been used as a biological marker of stress in human psychobiological studies. Cortisol and cortisone quantitation may help to examine physiological responses towards stress. A highly sensitive and selective ultra-high performance liquid </w:t>
      </w:r>
      <w:r w:rsidRPr="004B6185">
        <w:rPr>
          <w:rFonts w:ascii="Times New Roman" w:hAnsi="Times New Roman"/>
          <w:noProof/>
          <w:sz w:val="18"/>
          <w:szCs w:val="18"/>
        </w:rPr>
        <w:t>chromatography tandem mass</w:t>
      </w:r>
      <w:r w:rsidRPr="004B6185">
        <w:rPr>
          <w:rFonts w:ascii="Times New Roman" w:hAnsi="Times New Roman"/>
          <w:sz w:val="18"/>
          <w:szCs w:val="18"/>
        </w:rPr>
        <w:t xml:space="preserve"> spectrometry (UHPLC-MS/MS) method was developed for simultaneous quantitation of cortisol and cortisone in human serum. These two compounds were chromatographically separated using Agilent ZORBAX Eclipse Plus C</w:t>
      </w:r>
      <w:r w:rsidRPr="004B6185">
        <w:rPr>
          <w:rFonts w:ascii="Times New Roman" w:hAnsi="Times New Roman"/>
          <w:sz w:val="18"/>
          <w:szCs w:val="18"/>
          <w:vertAlign w:val="subscript"/>
        </w:rPr>
        <w:t>18</w:t>
      </w:r>
      <w:r w:rsidRPr="004B6185">
        <w:rPr>
          <w:rFonts w:ascii="Times New Roman" w:hAnsi="Times New Roman"/>
          <w:sz w:val="18"/>
          <w:szCs w:val="18"/>
        </w:rPr>
        <w:t xml:space="preserve"> Rapid Resolution HD column (2.1 mm × 50 mm, 1.8 </w:t>
      </w:r>
      <w:r>
        <w:rPr>
          <w:rFonts w:ascii="Times New Roman" w:hAnsi="Times New Roman"/>
          <w:sz w:val="18"/>
          <w:szCs w:val="18"/>
        </w:rPr>
        <w:t>µ</w:t>
      </w:r>
      <w:r w:rsidRPr="004B6185">
        <w:rPr>
          <w:rFonts w:ascii="Times New Roman" w:hAnsi="Times New Roman"/>
          <w:sz w:val="18"/>
          <w:szCs w:val="18"/>
        </w:rPr>
        <w:t>m) and were eluted with (A) 0.1% formic acid in water and (B) methanol mobile phase. The sample injection volume was 2 µ</w:t>
      </w:r>
      <w:r>
        <w:rPr>
          <w:rFonts w:ascii="Times New Roman" w:hAnsi="Times New Roman"/>
          <w:sz w:val="18"/>
          <w:szCs w:val="18"/>
        </w:rPr>
        <w:t>L</w:t>
      </w:r>
      <w:r w:rsidRPr="004B6185">
        <w:rPr>
          <w:rFonts w:ascii="Times New Roman" w:hAnsi="Times New Roman"/>
          <w:sz w:val="18"/>
          <w:szCs w:val="18"/>
        </w:rPr>
        <w:t xml:space="preserve"> and the flow rate was set at 0.3 mL/min. The analytes were determined in positive ionization mode and quantitated by multiple-reaction monitoring (MRM) mode. The method was linear from 7.8 to 500 ng/mL for cortisol (</w:t>
      </w:r>
      <w:r w:rsidRPr="004B6185">
        <w:rPr>
          <w:rFonts w:ascii="Times New Roman" w:eastAsia="Malgun Gothic" w:hAnsi="Times New Roman"/>
          <w:sz w:val="18"/>
          <w:szCs w:val="18"/>
        </w:rPr>
        <w:t>r</w:t>
      </w:r>
      <w:r w:rsidRPr="004B6185">
        <w:rPr>
          <w:rFonts w:ascii="Times New Roman" w:hAnsi="Times New Roman"/>
          <w:sz w:val="18"/>
          <w:szCs w:val="18"/>
          <w:vertAlign w:val="superscript"/>
        </w:rPr>
        <w:t>2</w:t>
      </w:r>
      <w:r w:rsidRPr="004B6185">
        <w:rPr>
          <w:rFonts w:ascii="Times New Roman" w:hAnsi="Times New Roman"/>
          <w:sz w:val="18"/>
          <w:szCs w:val="18"/>
        </w:rPr>
        <w:t xml:space="preserve"> = 0.986) and cortisone (</w:t>
      </w:r>
      <w:r w:rsidRPr="004B6185">
        <w:rPr>
          <w:rFonts w:ascii="Times New Roman" w:eastAsia="Malgun Gothic" w:hAnsi="Times New Roman"/>
          <w:sz w:val="18"/>
          <w:szCs w:val="18"/>
        </w:rPr>
        <w:t>r</w:t>
      </w:r>
      <w:r w:rsidRPr="004B6185">
        <w:rPr>
          <w:rFonts w:ascii="Times New Roman" w:hAnsi="Times New Roman"/>
          <w:sz w:val="18"/>
          <w:szCs w:val="18"/>
          <w:vertAlign w:val="superscript"/>
        </w:rPr>
        <w:t>2</w:t>
      </w:r>
      <w:r w:rsidRPr="004B6185">
        <w:rPr>
          <w:rFonts w:ascii="Times New Roman" w:hAnsi="Times New Roman"/>
          <w:sz w:val="18"/>
          <w:szCs w:val="18"/>
        </w:rPr>
        <w:t xml:space="preserve"> = 0.990). The precision, accuracy, and recovery of the method for cortisol ranged from 1.98-10.46%, 90.68-91.94%, 90.38-93.88%, and cortisone ranged from 1.01-11.36%, 93.12-94.79% and 90.48-95.90%, respectively. The developed method has met the quality standards of European Medicines Agency (EMA).</w:t>
      </w:r>
    </w:p>
    <w:p w:rsidR="008C2AD5" w:rsidRPr="004B6185" w:rsidRDefault="008C2AD5" w:rsidP="008C2AD5">
      <w:pPr>
        <w:spacing w:after="0" w:line="240" w:lineRule="auto"/>
        <w:jc w:val="both"/>
        <w:rPr>
          <w:rFonts w:ascii="Times New Roman" w:hAnsi="Times New Roman"/>
          <w:sz w:val="18"/>
          <w:szCs w:val="18"/>
        </w:rPr>
      </w:pPr>
    </w:p>
    <w:p w:rsidR="008C2AD5" w:rsidRPr="004B6185" w:rsidRDefault="008C2AD5" w:rsidP="008C2AD5">
      <w:pPr>
        <w:spacing w:after="0" w:line="240" w:lineRule="auto"/>
        <w:jc w:val="both"/>
        <w:rPr>
          <w:rFonts w:ascii="Times New Roman" w:hAnsi="Times New Roman"/>
          <w:sz w:val="18"/>
          <w:szCs w:val="18"/>
        </w:rPr>
      </w:pPr>
      <w:r w:rsidRPr="004B6185">
        <w:rPr>
          <w:rFonts w:ascii="Times New Roman" w:hAnsi="Times New Roman"/>
          <w:b/>
          <w:bCs/>
          <w:iCs/>
          <w:sz w:val="18"/>
          <w:szCs w:val="18"/>
        </w:rPr>
        <w:t>Keywords</w:t>
      </w:r>
      <w:r w:rsidRPr="004B6185">
        <w:rPr>
          <w:rFonts w:ascii="Times New Roman" w:hAnsi="Times New Roman"/>
          <w:b/>
          <w:iCs/>
          <w:sz w:val="18"/>
          <w:szCs w:val="18"/>
        </w:rPr>
        <w:t>:</w:t>
      </w:r>
      <w:r>
        <w:rPr>
          <w:rFonts w:ascii="Times New Roman" w:hAnsi="Times New Roman"/>
          <w:b/>
          <w:iCs/>
          <w:sz w:val="18"/>
          <w:szCs w:val="18"/>
        </w:rPr>
        <w:t xml:space="preserve"> </w:t>
      </w:r>
      <w:r w:rsidRPr="004B6185">
        <w:rPr>
          <w:rFonts w:ascii="Times New Roman" w:hAnsi="Times New Roman"/>
          <w:iCs/>
          <w:sz w:val="18"/>
          <w:szCs w:val="18"/>
        </w:rPr>
        <w:t xml:space="preserve"> cortisol, cortisone, serum, </w:t>
      </w:r>
      <w:r w:rsidRPr="004B6185">
        <w:rPr>
          <w:rFonts w:ascii="Times New Roman" w:hAnsi="Times New Roman"/>
          <w:sz w:val="18"/>
          <w:szCs w:val="18"/>
        </w:rPr>
        <w:t xml:space="preserve">ultra-high performance liquid </w:t>
      </w:r>
      <w:r w:rsidRPr="004B6185">
        <w:rPr>
          <w:rFonts w:ascii="Times New Roman" w:hAnsi="Times New Roman"/>
          <w:noProof/>
          <w:sz w:val="18"/>
          <w:szCs w:val="18"/>
        </w:rPr>
        <w:t>chromatography-tandem mass</w:t>
      </w:r>
      <w:r w:rsidRPr="004B6185">
        <w:rPr>
          <w:rFonts w:ascii="Times New Roman" w:hAnsi="Times New Roman"/>
          <w:sz w:val="18"/>
          <w:szCs w:val="18"/>
        </w:rPr>
        <w:t xml:space="preserve"> spectrometry</w:t>
      </w:r>
    </w:p>
    <w:p w:rsidR="008C2AD5" w:rsidRPr="004B6185" w:rsidRDefault="008C2AD5" w:rsidP="008C2AD5">
      <w:pPr>
        <w:spacing w:after="0" w:line="240" w:lineRule="auto"/>
        <w:jc w:val="center"/>
        <w:rPr>
          <w:rFonts w:ascii="Times New Roman" w:hAnsi="Times New Roman"/>
          <w:iCs/>
          <w:sz w:val="18"/>
          <w:szCs w:val="18"/>
        </w:rPr>
      </w:pPr>
    </w:p>
    <w:p w:rsidR="008C2AD5" w:rsidRPr="004B6185" w:rsidRDefault="008C2AD5" w:rsidP="008C2AD5">
      <w:pPr>
        <w:spacing w:after="0" w:line="240" w:lineRule="auto"/>
        <w:jc w:val="center"/>
        <w:rPr>
          <w:rFonts w:ascii="Times New Roman" w:hAnsi="Times New Roman"/>
          <w:b/>
          <w:bCs/>
          <w:sz w:val="18"/>
          <w:szCs w:val="18"/>
          <w:lang w:val="ms-MY"/>
        </w:rPr>
      </w:pPr>
      <w:r w:rsidRPr="004B6185">
        <w:rPr>
          <w:rFonts w:ascii="Times New Roman" w:hAnsi="Times New Roman"/>
          <w:b/>
          <w:bCs/>
          <w:sz w:val="18"/>
          <w:szCs w:val="18"/>
          <w:lang w:val="ms-MY"/>
        </w:rPr>
        <w:t>Abstrak</w:t>
      </w:r>
    </w:p>
    <w:p w:rsidR="008C2AD5" w:rsidRPr="004B6185" w:rsidRDefault="008C2AD5" w:rsidP="008C2AD5">
      <w:pPr>
        <w:spacing w:after="0" w:line="240" w:lineRule="auto"/>
        <w:jc w:val="both"/>
        <w:rPr>
          <w:rFonts w:ascii="Times New Roman" w:hAnsi="Times New Roman"/>
          <w:sz w:val="18"/>
          <w:szCs w:val="18"/>
          <w:lang w:val="ms-MY"/>
        </w:rPr>
      </w:pPr>
      <w:r w:rsidRPr="004B6185">
        <w:rPr>
          <w:rFonts w:ascii="Times New Roman" w:hAnsi="Times New Roman"/>
          <w:sz w:val="18"/>
          <w:szCs w:val="18"/>
          <w:lang w:val="ms-MY"/>
        </w:rPr>
        <w:t xml:space="preserve">Kortisol dan metabolitnya kortison telah digunakan sebagai penanda </w:t>
      </w:r>
      <w:r>
        <w:rPr>
          <w:rFonts w:ascii="Times New Roman" w:hAnsi="Times New Roman"/>
          <w:sz w:val="18"/>
          <w:szCs w:val="18"/>
          <w:lang w:val="ms-MY"/>
        </w:rPr>
        <w:t xml:space="preserve">tekanan </w:t>
      </w:r>
      <w:r w:rsidRPr="004B6185">
        <w:rPr>
          <w:rFonts w:ascii="Times New Roman" w:hAnsi="Times New Roman"/>
          <w:sz w:val="18"/>
          <w:szCs w:val="18"/>
          <w:lang w:val="ms-MY"/>
        </w:rPr>
        <w:t>biologi  untuk mengkaji psikobiologi manusia. Pengkuantitian kortisol dan kortison boleh membantu untuk menilai tindak balas fisologi terhadap tekanan.</w:t>
      </w:r>
      <w:r>
        <w:rPr>
          <w:rFonts w:ascii="Times New Roman" w:hAnsi="Times New Roman"/>
          <w:sz w:val="18"/>
          <w:szCs w:val="18"/>
          <w:lang w:val="ms-MY"/>
        </w:rPr>
        <w:t xml:space="preserve"> </w:t>
      </w:r>
      <w:r w:rsidRPr="004B6185">
        <w:rPr>
          <w:rFonts w:ascii="Times New Roman" w:hAnsi="Times New Roman"/>
          <w:sz w:val="18"/>
          <w:szCs w:val="18"/>
          <w:lang w:val="ms-MY"/>
        </w:rPr>
        <w:t xml:space="preserve">Kaedah kromatografi cecair berprestasi ultra tinggi -spektrometri jisim </w:t>
      </w:r>
      <w:r>
        <w:rPr>
          <w:rFonts w:ascii="Times New Roman" w:hAnsi="Times New Roman"/>
          <w:sz w:val="18"/>
          <w:szCs w:val="18"/>
          <w:lang w:val="ms-MY"/>
        </w:rPr>
        <w:t>gabungan</w:t>
      </w:r>
      <w:r w:rsidRPr="004B6185">
        <w:rPr>
          <w:rFonts w:ascii="Times New Roman" w:hAnsi="Times New Roman"/>
          <w:sz w:val="18"/>
          <w:szCs w:val="18"/>
          <w:lang w:val="ms-MY"/>
        </w:rPr>
        <w:t xml:space="preserve"> yang sangat sensitif dan selektif telah dibangunkan untuk pengkuantitian kortisol dan kortison secara serentak di dalam serum manusia. Kedua-dua sebatian ini telah dipisahkan secara kromatografi menggunakan turus Agilent ZORBAX Eclipse Plus C</w:t>
      </w:r>
      <w:r w:rsidRPr="004B6185">
        <w:rPr>
          <w:rFonts w:ascii="Times New Roman" w:hAnsi="Times New Roman"/>
          <w:sz w:val="18"/>
          <w:szCs w:val="18"/>
          <w:vertAlign w:val="subscript"/>
          <w:lang w:val="ms-MY"/>
        </w:rPr>
        <w:t>18</w:t>
      </w:r>
      <w:r w:rsidRPr="004B6185">
        <w:rPr>
          <w:rFonts w:ascii="Times New Roman" w:hAnsi="Times New Roman"/>
          <w:sz w:val="18"/>
          <w:szCs w:val="18"/>
          <w:lang w:val="ms-MY"/>
        </w:rPr>
        <w:t xml:space="preserve"> Resolusi Pantas HD (2.1 mm × 50 mm, 1.8 μm) dengan campuran fasa bergerak (A) 0.1% asid formik dalam air dan (B) metanol. Jumlah suntikan sampel adalah 2 μ</w:t>
      </w:r>
      <w:r>
        <w:rPr>
          <w:rFonts w:ascii="Times New Roman" w:hAnsi="Times New Roman"/>
          <w:sz w:val="18"/>
          <w:szCs w:val="18"/>
          <w:lang w:val="ms-MY"/>
        </w:rPr>
        <w:t>L</w:t>
      </w:r>
      <w:r w:rsidRPr="004B6185">
        <w:rPr>
          <w:rFonts w:ascii="Times New Roman" w:hAnsi="Times New Roman"/>
          <w:sz w:val="18"/>
          <w:szCs w:val="18"/>
          <w:lang w:val="ms-MY"/>
        </w:rPr>
        <w:t xml:space="preserve"> dan kadar aliran ditetapkan pada 0.3 mL/min. Analisis ini telah ditentukan dalam mod pengionan positif dan dikira oleh mod pemantauan pelbagai tindak balas. Kaedah ini adalah linear dari 7.8 hingga 500 ng/mL untuk kortisol (r</w:t>
      </w:r>
      <w:r w:rsidRPr="004B6185">
        <w:rPr>
          <w:rFonts w:ascii="Times New Roman" w:hAnsi="Times New Roman"/>
          <w:sz w:val="18"/>
          <w:szCs w:val="18"/>
          <w:vertAlign w:val="superscript"/>
          <w:lang w:val="ms-MY"/>
        </w:rPr>
        <w:t>2</w:t>
      </w:r>
      <w:r w:rsidRPr="004B6185">
        <w:rPr>
          <w:rFonts w:ascii="Times New Roman" w:hAnsi="Times New Roman"/>
          <w:sz w:val="18"/>
          <w:szCs w:val="18"/>
          <w:lang w:val="ms-MY"/>
        </w:rPr>
        <w:t xml:space="preserve"> = 0.986) dan kortison (r</w:t>
      </w:r>
      <w:r w:rsidRPr="004B6185">
        <w:rPr>
          <w:rFonts w:ascii="Times New Roman" w:hAnsi="Times New Roman"/>
          <w:sz w:val="18"/>
          <w:szCs w:val="18"/>
          <w:vertAlign w:val="superscript"/>
          <w:lang w:val="ms-MY"/>
        </w:rPr>
        <w:t>2</w:t>
      </w:r>
      <w:r w:rsidRPr="004B6185">
        <w:rPr>
          <w:rFonts w:ascii="Times New Roman" w:hAnsi="Times New Roman"/>
          <w:sz w:val="18"/>
          <w:szCs w:val="18"/>
          <w:lang w:val="ms-MY"/>
        </w:rPr>
        <w:t xml:space="preserve"> = 0.990). Ketepatan, kejituan dan kadar pemulihan untuk kortisol adalah antara 1.98-10.46%, 90.68-91.94%, 90.38-93.88%, dan kortison terdiri daripada 1.01-11.36%, 93.12-94.79% dan 90.48-95.90%. Kaedah yang dibangunkan telah memenuhi piawaian kualiti </w:t>
      </w:r>
      <w:r>
        <w:rPr>
          <w:rFonts w:ascii="Times New Roman" w:hAnsi="Times New Roman"/>
          <w:sz w:val="18"/>
          <w:szCs w:val="18"/>
          <w:lang w:val="ms-MY"/>
        </w:rPr>
        <w:t>agensi perubatan eropah</w:t>
      </w:r>
      <w:r w:rsidRPr="004B6185">
        <w:rPr>
          <w:rFonts w:ascii="Times New Roman" w:hAnsi="Times New Roman"/>
          <w:sz w:val="18"/>
          <w:szCs w:val="18"/>
          <w:lang w:val="ms-MY"/>
        </w:rPr>
        <w:t xml:space="preserve"> (EMA).</w:t>
      </w:r>
    </w:p>
    <w:p w:rsidR="008C2AD5" w:rsidRPr="004B6185" w:rsidRDefault="008C2AD5" w:rsidP="008C2AD5">
      <w:pPr>
        <w:spacing w:after="0" w:line="240" w:lineRule="auto"/>
        <w:jc w:val="both"/>
        <w:rPr>
          <w:rFonts w:ascii="Times New Roman" w:hAnsi="Times New Roman"/>
          <w:sz w:val="18"/>
          <w:szCs w:val="18"/>
          <w:lang w:val="ms-MY"/>
        </w:rPr>
      </w:pPr>
    </w:p>
    <w:p w:rsidR="008C2AD5" w:rsidRPr="004B6185" w:rsidRDefault="008C2AD5" w:rsidP="008C2AD5">
      <w:pPr>
        <w:spacing w:after="0" w:line="240" w:lineRule="auto"/>
        <w:jc w:val="both"/>
        <w:rPr>
          <w:rFonts w:ascii="Times New Roman" w:hAnsi="Times New Roman"/>
          <w:sz w:val="18"/>
          <w:szCs w:val="18"/>
          <w:lang w:val="ms-MY"/>
        </w:rPr>
      </w:pPr>
      <w:r w:rsidRPr="004B6185">
        <w:rPr>
          <w:rFonts w:ascii="Times New Roman" w:hAnsi="Times New Roman"/>
          <w:b/>
          <w:bCs/>
          <w:iCs/>
          <w:sz w:val="18"/>
          <w:szCs w:val="18"/>
          <w:lang w:val="ms-MY"/>
        </w:rPr>
        <w:t xml:space="preserve">Kata </w:t>
      </w:r>
      <w:r w:rsidRPr="004B6185">
        <w:rPr>
          <w:rFonts w:ascii="Times New Roman" w:hAnsi="Times New Roman"/>
          <w:b/>
          <w:bCs/>
          <w:iCs/>
          <w:noProof/>
          <w:sz w:val="18"/>
          <w:szCs w:val="18"/>
          <w:lang w:val="ms-MY"/>
        </w:rPr>
        <w:t>kunci</w:t>
      </w:r>
      <w:r w:rsidRPr="004B6185">
        <w:rPr>
          <w:rFonts w:ascii="Times New Roman" w:hAnsi="Times New Roman"/>
          <w:b/>
          <w:iCs/>
          <w:sz w:val="18"/>
          <w:szCs w:val="18"/>
          <w:lang w:val="ms-MY"/>
        </w:rPr>
        <w:t>:</w:t>
      </w:r>
      <w:r w:rsidRPr="004B6185">
        <w:rPr>
          <w:rFonts w:ascii="Times New Roman" w:hAnsi="Times New Roman"/>
          <w:iCs/>
          <w:sz w:val="18"/>
          <w:szCs w:val="18"/>
          <w:lang w:val="ms-MY"/>
        </w:rPr>
        <w:t xml:space="preserve"> </w:t>
      </w:r>
      <w:r>
        <w:rPr>
          <w:rFonts w:ascii="Times New Roman" w:hAnsi="Times New Roman"/>
          <w:iCs/>
          <w:sz w:val="18"/>
          <w:szCs w:val="18"/>
          <w:lang w:val="ms-MY"/>
        </w:rPr>
        <w:t xml:space="preserve"> </w:t>
      </w:r>
      <w:r w:rsidRPr="004B6185">
        <w:rPr>
          <w:rFonts w:ascii="Times New Roman" w:hAnsi="Times New Roman"/>
          <w:iCs/>
          <w:noProof/>
          <w:sz w:val="18"/>
          <w:szCs w:val="18"/>
          <w:lang w:val="ms-MY"/>
        </w:rPr>
        <w:t>kortisol</w:t>
      </w:r>
      <w:r w:rsidRPr="004B6185">
        <w:rPr>
          <w:rFonts w:ascii="Times New Roman" w:hAnsi="Times New Roman"/>
          <w:iCs/>
          <w:sz w:val="18"/>
          <w:szCs w:val="18"/>
          <w:lang w:val="ms-MY"/>
        </w:rPr>
        <w:t xml:space="preserve">, </w:t>
      </w:r>
      <w:r w:rsidRPr="004B6185">
        <w:rPr>
          <w:rFonts w:ascii="Times New Roman" w:hAnsi="Times New Roman"/>
          <w:iCs/>
          <w:noProof/>
          <w:sz w:val="18"/>
          <w:szCs w:val="18"/>
          <w:lang w:val="ms-MY"/>
        </w:rPr>
        <w:t>kortison</w:t>
      </w:r>
      <w:r w:rsidRPr="004B6185">
        <w:rPr>
          <w:rFonts w:ascii="Times New Roman" w:hAnsi="Times New Roman"/>
          <w:iCs/>
          <w:sz w:val="18"/>
          <w:szCs w:val="18"/>
          <w:lang w:val="ms-MY"/>
        </w:rPr>
        <w:t xml:space="preserve">, serum, </w:t>
      </w:r>
      <w:r w:rsidRPr="004B6185">
        <w:rPr>
          <w:rFonts w:ascii="Times New Roman" w:hAnsi="Times New Roman"/>
          <w:sz w:val="18"/>
          <w:szCs w:val="18"/>
          <w:lang w:val="ms-MY"/>
        </w:rPr>
        <w:t xml:space="preserve">kromatografi cecair berprestasi ultra tinggi - spektrometri jisim </w:t>
      </w:r>
      <w:r>
        <w:rPr>
          <w:rFonts w:ascii="Times New Roman" w:hAnsi="Times New Roman"/>
          <w:sz w:val="18"/>
          <w:szCs w:val="18"/>
          <w:lang w:val="ms-MY"/>
        </w:rPr>
        <w:t>gabungan</w:t>
      </w:r>
    </w:p>
    <w:p w:rsidR="006768E9" w:rsidRDefault="006768E9" w:rsidP="008C2AD5">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8C2AD5" w:rsidRPr="004B6185" w:rsidRDefault="008C2AD5" w:rsidP="008C2AD5">
      <w:pPr>
        <w:spacing w:after="0" w:line="240" w:lineRule="auto"/>
        <w:jc w:val="both"/>
        <w:rPr>
          <w:rFonts w:ascii="Times New Roman" w:hAnsi="Times New Roman"/>
          <w:sz w:val="20"/>
          <w:szCs w:val="20"/>
        </w:rPr>
      </w:pPr>
      <w:r w:rsidRPr="004B6185">
        <w:rPr>
          <w:rFonts w:ascii="Times New Roman" w:hAnsi="Times New Roman"/>
          <w:sz w:val="20"/>
          <w:szCs w:val="20"/>
        </w:rPr>
        <w:t xml:space="preserve">Cortisol is the main glucocorticoid hormone produced by the </w:t>
      </w:r>
      <w:r w:rsidRPr="004B6185">
        <w:rPr>
          <w:rFonts w:ascii="Times New Roman" w:hAnsi="Times New Roman"/>
          <w:noProof/>
          <w:sz w:val="20"/>
          <w:szCs w:val="20"/>
        </w:rPr>
        <w:t>adrenal</w:t>
      </w:r>
      <w:r w:rsidRPr="004B6185">
        <w:rPr>
          <w:rFonts w:ascii="Times New Roman" w:hAnsi="Times New Roman"/>
          <w:sz w:val="20"/>
          <w:szCs w:val="20"/>
        </w:rPr>
        <w:t xml:space="preserve"> cortex that regulates the metabolism of carbohydrates, proteins and lipids.  Its synthesis is stimulated through a </w:t>
      </w:r>
      <w:r w:rsidRPr="004B6185">
        <w:rPr>
          <w:rFonts w:ascii="Times New Roman" w:hAnsi="Times New Roman"/>
          <w:noProof/>
          <w:sz w:val="20"/>
          <w:szCs w:val="20"/>
        </w:rPr>
        <w:t>hypothalamic-adrenal-pituitary</w:t>
      </w:r>
      <w:r w:rsidRPr="004B6185">
        <w:rPr>
          <w:rFonts w:ascii="Times New Roman" w:hAnsi="Times New Roman"/>
          <w:sz w:val="20"/>
          <w:szCs w:val="20"/>
        </w:rPr>
        <w:t xml:space="preserve"> feedback system. Cortisol hormone in human body undergoes diurnal variation where the level is high early in the morning and reaches its lowest level at midnight [1</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{"citationItems":[{"id":"ITEM-1","itemData":{"DOI":"10.1053/rmed.2002.1366","ISSN":"09546111","author":[{"dropping-particle":"","family":"Aube","given":"B L L","non-dropping-particle":"","parse-names":false,"suffix":""},{"dropping-particle":"","family":"Urbow","given":"B Arbara A C","non-dropping-particle":"","parse-names":false,"suffix":""},{"dropping-particle":"","family":"Ostello","given":"R Ichard W C","non-dropping-particle":"","parse-names":false,"suffix":""},{"dropping-particle":"","family":"Heila","given":"S T","non-dropping-particle":"","parse-names":false,"suffix":""},{"dropping-particle":"","family":"Itzgerald","given":"F","non-dropping-particle":"","parse-names":false,"suffix":""}],"container-title":"Respiratory Medecine","id":"ITEM-1","issued":{"date-parts":[["2002"]]},"page":"823-828","title":"A pilot study examining the relationship between stress and serum cortisol concentrations in women with asthma","type":"article-journal","volume":"96"},"uris":["http://www.mendeley.com/documents/?uuid=97f31e40-1831-4728-8334-018108cb1a3f"]}],"mendeley":{"formattedCitation":"(Aube, Urbow, Ostello, Heila, &amp; Itzgerald, 2002)","manualFormatting":",2","plainTextFormattedCitation":"(Aube, Urbow, Ostello, Heila, &amp; Itzgerald, 2002)","previouslyFormattedCitation":"(Aube, Urbow, Ostello, Heila, &amp; Itzgerald, 2002)"},"properties":{"noteIndex":0},"schema":"https://github.com/citation-style-language/schema/raw/master/csl-citation.json"}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w:t>
      </w:r>
      <w:r>
        <w:rPr>
          <w:rFonts w:ascii="Times New Roman" w:hAnsi="Times New Roman"/>
          <w:noProof/>
          <w:sz w:val="20"/>
          <w:szCs w:val="20"/>
        </w:rPr>
        <w:t xml:space="preserve"> </w:t>
      </w:r>
      <w:r w:rsidRPr="004B6185">
        <w:rPr>
          <w:rFonts w:ascii="Times New Roman" w:hAnsi="Times New Roman"/>
          <w:noProof/>
          <w:sz w:val="20"/>
          <w:szCs w:val="20"/>
        </w:rPr>
        <w:t>2</w:t>
      </w:r>
      <w:r w:rsidRPr="004B6185">
        <w:rPr>
          <w:rFonts w:ascii="Times New Roman" w:hAnsi="Times New Roman"/>
          <w:sz w:val="20"/>
          <w:szCs w:val="20"/>
        </w:rPr>
        <w:fldChar w:fldCharType="end"/>
      </w:r>
      <w:r w:rsidRPr="004B6185">
        <w:rPr>
          <w:rFonts w:ascii="Times New Roman" w:hAnsi="Times New Roman"/>
          <w:sz w:val="20"/>
          <w:szCs w:val="20"/>
        </w:rPr>
        <w:t xml:space="preserve">]. Cortisol is involved in the feedback mechanism of the immune system that </w:t>
      </w:r>
      <w:r w:rsidRPr="004B6185">
        <w:rPr>
          <w:rFonts w:ascii="Times New Roman" w:hAnsi="Times New Roman"/>
          <w:noProof/>
          <w:sz w:val="20"/>
          <w:szCs w:val="20"/>
        </w:rPr>
        <w:t>suppresses</w:t>
      </w:r>
      <w:r w:rsidRPr="004B6185">
        <w:rPr>
          <w:rFonts w:ascii="Times New Roman" w:hAnsi="Times New Roman"/>
          <w:sz w:val="20"/>
          <w:szCs w:val="20"/>
        </w:rPr>
        <w:t xml:space="preserve"> immune activity, thus it is used to treat overactive immune diseases such as allergies, asthma, inflammatory disorder and autoimmune disease </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{"citationItems":[{"id":"ITEM-1","itemData":{"DOI":"10.1016/j.cca.2011.03.016","ISBN":"0009-8981","ISSN":"00098981","PMID":"21420944","abstract":"Background: We developed a high sensitivity method for simultaneous measurement of cortisol, cortisone and dexamethasone. Using this method, we compared concentrations of cortisol, cortisone and their ratios in samples from intensive care unit (ICU) and non-ICU patients, and cortisol and dexamethasone concentrations in patients with Cushing's and suspected Cushing's syndrome. Methods: Two hundred microliters of human serum aliquots were extracted using solid phase extraction and analyzed using liquid chromatography-tandem mass spectrometry. Primary mass transitions monitored for cortisol, cortisone and dexamethasone were m/z 363/121, 361/163 and 393/373 respectively. Results: The limits of quantification for cortisol and cortisone were 0.3 ??g/l (0.8. nmol/l) and for dexamethasone it was 0.5 ??g/l (1.2. nmol/l). Total imprecision was &lt; 10.9%. Median cortisol to cortisone ratio of ICU patient samples was found to be 2 times higher than non-ICU samples. 54.2% of patients after 1. mg dose of overnight dexamethasone could be categorized as consistent with Cushing's syndrome. Conclusions: The method has high sensitivity and specificity. High cortisol to cortisone ratios in samples from ICU patients suggest change in activity of 11??-hydroxysteroid dehydrogenase in modulation of systemically available cortisol. Simultaneous measurement of dexamethasone and cortisol can be used to differentially diagnose diseases causing increased concentrations of cortisol. ?? 2011 Elsevier B.V.","author":[{"dropping-particle":"","family":"Ray","given":"Julie A.","non-dropping-particle":"","parse-names":false,"suffix":""},{"dropping-particle":"","family":"Kushnir","given":"Mark M.","non-dropping-particle":"","parse-names":false,"suffix":""},{"dropping-particle":"","family":"Rockwood","given":"Alan L.","non-dropping-particle":"","parse-names":false,"suffix":""},{"dropping-particle":"","family":"Meikle","given":"A. Wayne","non-dropping-particle":"","parse-names":false,"suffix":""}],"container-title":"Clinica Chimica Acta","id":"ITEM-1","issue":"13-14","issued":{"date-parts":[["2011"]]},"page":"1221-1228","publisher":"Elsevier B.V.","title":"Analysis of cortisol, cortisone and dexamethasone in human serum using liquid chromatography tandem mass spectrometry and assessment of cortisol: Cortisone ratios in patients with impaired kidney function","type":"article-journal","volume":"412"},"uris":["http://www.mendeley.com/documents/?uuid=ee265f62-4287-4b50-8572-e1c1f2de9ec0"]}],"mendeley":{"formattedCitation":"(Ray, Kushnir, Rockwood, &amp; Meikle, 2011)","manualFormatting":"[3]","plainTextFormattedCitation":"(Ray, Kushnir, Rockwood, &amp; Meikle, 2011)","previouslyFormattedCitation":"(Ray, Kushnir, Rockwood, &amp; Meikle, 2011)"},"properties":{"noteIndex":0},"schema":"https://github.com/citation-style-language/schema/raw/master/csl-citation.json"}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[3]</w:t>
      </w:r>
      <w:r w:rsidRPr="004B6185">
        <w:rPr>
          <w:rFonts w:ascii="Times New Roman" w:hAnsi="Times New Roman"/>
          <w:sz w:val="20"/>
          <w:szCs w:val="20"/>
        </w:rPr>
        <w:fldChar w:fldCharType="end"/>
      </w:r>
      <w:r w:rsidRPr="004B6185">
        <w:rPr>
          <w:rFonts w:ascii="Times New Roman" w:hAnsi="Times New Roman"/>
          <w:sz w:val="20"/>
          <w:szCs w:val="20"/>
        </w:rPr>
        <w:t xml:space="preserve">. </w:t>
      </w:r>
      <w:r w:rsidRPr="004B6185">
        <w:rPr>
          <w:rFonts w:ascii="Times New Roman" w:hAnsi="Times New Roman"/>
          <w:noProof/>
          <w:sz w:val="20"/>
          <w:szCs w:val="20"/>
        </w:rPr>
        <w:t>Cortisone</w:t>
      </w:r>
      <w:r w:rsidRPr="004B6185">
        <w:rPr>
          <w:rFonts w:ascii="Times New Roman" w:hAnsi="Times New Roman"/>
          <w:sz w:val="20"/>
          <w:szCs w:val="20"/>
        </w:rPr>
        <w:t xml:space="preserve"> is interconverted to the inactive metabolite of cortisol by enzymes 11β-hydroxysteroid dehydrogenase (11βHSD) </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{"citationItems":[{"id":"ITEM-1","itemData":{"DOI":"10.1016/j.jpba.2015.01.041","ISSN":"1873264X","PMID":"25668797","abstract":"Chronic stress as well as major depressive disorders is associated with cortisol metabolism. Two enzymes modulate cortisol (F) and cortisone (E) interconversion: 11β-hydroxysteroid dehydrogenase type 1 and type 2 (11β-HSD1 and 11β-HSD2). Furthermore, F and E were inactivated by 5α and 5β reductases to their tetrahydro-metabolites: tetrahydrocortisol (THF), allo-tetrahydrocortisol (5α-THF) and tetrahydrocortisone (THE). To better understand depression a LC-MS/MS method for simultaneous determination of F, E THF, 5α-THF and THE in human urine has been developed and validated. The quantification range was 0.1-160ngmL-1 for F and E, and 0.2-160ngmL-1 for the tetrahydro-metabolites, with &gt;86.1% recovery for all analytes. The nocturnal urine concentrations of F, E and tetrahydro-metabolites in 12 apparently healthy male adult volunteers and 12 drug-free male patients (age range, 20-50 years) with a diagnosis of depression were analyzed. A series of significant changes in glucocorticoid metabolism can be detected: F/E ratios and (THF+5α-THF)/THE ratios as well as F and THF concentrations were significantly higher in depression patients than in healthy subjects (p&lt;0.05); 5α-THF/F ratios, 5α-THF/THF ratios as well as 5α-THF concentrations were significantly lower in depression patients (p&lt;0.05). The results pointed to the decreased 11β-HSD2 activity and a dysfunction in the 5α-reductase pathway in depressed patients. This method allows the assessment of 11β-HSD1/2 and 5α/β-reductase activities in a single analytical run providing an innovative tool to explain the potential etiology of depression.","author":[{"dropping-particle":"","family":"Zhai","given":"Xuejia","non-dropping-particle":"","parse-names":false,"suffix":""},{"dropping-particle":"","family":"Chen","given":"Fen","non-dropping-particle":"","parse-names":false,"suffix":""},{"dropping-particle":"","family":"Zhu","given":"Chaoran","non-dropping-particle":"","parse-names":false,"suffix":""},{"dropping-particle":"","family":"Lu","given":"Yongning","non-dropping-particle":"","parse-names":false,"suffix":""}],"container-title":"Journal of Pharmaceutical and Biomedical Analysis","id":"ITEM-1","issued":{"date-parts":[["2015"]]},"page":"450-455","publisher":"Elsevier B.V.","title":"A simple LC-MS/MS method for the determination of cortisol, cortisone and tetrahydro-metabolites in human urine: Assay development, validation and application in depression patients","type":"article-journal","volume":"107"},"uris":["http://www.mendeley.com/documents/?uuid=e7c77b77-3ce5-47ac-a365-368090b7b846"]}],"mendeley":{"formattedCitation":"(Zhai, Chen, Zhu, &amp; Lu, 2015)","manualFormatting":"[","plainTextFormattedCitation":"(Zhai, Chen, Zhu, &amp; Lu, 2015)","previouslyFormattedCitation":"(Zhai, Chen, Zhu, &amp; Lu, 2015)"},"properties":{"noteIndex":0},"schema":"https://github.com/citation-style-language/schema/raw/master/csl-citation.json"}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w:t>
      </w:r>
      <w:r w:rsidRPr="004B6185">
        <w:rPr>
          <w:rFonts w:ascii="Times New Roman" w:hAnsi="Times New Roman"/>
          <w:sz w:val="20"/>
          <w:szCs w:val="20"/>
        </w:rPr>
        <w:fldChar w:fldCharType="end"/>
      </w:r>
      <w:r w:rsidRPr="004B6185">
        <w:rPr>
          <w:rFonts w:ascii="Times New Roman" w:hAnsi="Times New Roman"/>
          <w:sz w:val="20"/>
          <w:szCs w:val="20"/>
        </w:rPr>
        <w:t>4-6</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{"citationItems":[{"id":"ITEM-1","itemData":{"ISBN":"8270711586","ISSN":"1976-670X","PMID":"20663413","abstract":"The levels of salivary cortisol and cortisone in Korean adults were measured for the first time using liquid chromatography-tandem mass spectrometry (LC-MS/MS). The salivary cortisol and cortisone were separated within 10 min. The regression coefficients (r) of the calibration curves were greater than 0.999 for the two steroids. The limits of quantitation (LOQ) were 0.2 ng/ml for cortisol and 1 ng/ml for cortisone. The intra-day precisions of the assay were &lt;3.9% and 8.6% for cortisol and cortisone respectively, and the inter-day precisions were &lt;1.9% and 4.3% for cortisol and cortisone, respectively. The salivary cortisone concentrations were approximately 4-9 times higher than those of salivary cortisol during the daytime. Diurnal rhythms, during which the cortisol and cortisone concentrations were higher in the morning than in the afternoon, were also observed. The present assay may be useful for the diagnosis of several adrenal dysfunctions in clinical biochemistry.","author":[{"dropping-particle":"","family":"Lee","given":"Sanghoo","non-dropping-particle":"","parse-names":false,"suffix":""},{"dropping-particle":"","family":"Kwon","given":"Soonho","non-dropping-particle":"","parse-names":false,"suffix":""},{"dropping-particle":"","family":"Shin","given":"Hye-Jin","non-dropping-particle":"","parse-names":false,"suffix":""},{"dropping-particle":"","family":"Lim","given":"Hwan-Sub","non-dropping-particle":"","parse-names":false,"suffix":""},{"dropping-particle":"","family":"Singh","given":"Ravinder J","non-dropping-particle":"","parse-names":false,"suffix":""},{"dropping-particle":"","family":"Lee","given":"Kyoung-Ryul","non-dropping-particle":"","parse-names":false,"suffix":""},{"dropping-particle":"","family":"Kim","given":"Young-Jin","non-dropping-particle":"","parse-names":false,"suffix":""}],"container-title":"BMB reports","id":"ITEM-1","issue":"7","issued":{"date-parts":[["2010"]]},"page":"506-11","title":"Simultaneous quantitative analysis of salivary cortisol and cortisone in Korean adults using LC-MS/MS.","type":"article-journal","volume":"43"},"uris":["http://www.mendeley.com/documents/?uuid=daa6b9e0-f343-41bd-b1b7-6d35c6631d20"]}],"mendeley":{"formattedCitation":"(Lee et al., 2010)","manualFormatting":"]","plainTextFormattedCitation":"(Lee et al., 2010)","previouslyFormattedCitation":"(Lee et al., 2010)"},"properties":{"noteIndex":0},"schema":"https://github.com/citation-style-language/schema/raw/master/csl-citation.json"}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w:t>
      </w:r>
      <w:r w:rsidRPr="004B6185">
        <w:rPr>
          <w:rFonts w:ascii="Times New Roman" w:hAnsi="Times New Roman"/>
          <w:sz w:val="20"/>
          <w:szCs w:val="20"/>
        </w:rPr>
        <w:fldChar w:fldCharType="end"/>
      </w:r>
      <w:r w:rsidRPr="004B6185">
        <w:rPr>
          <w:rFonts w:ascii="Times New Roman" w:hAnsi="Times New Roman"/>
          <w:sz w:val="20"/>
          <w:szCs w:val="20"/>
        </w:rPr>
        <w:t>.</w:t>
      </w:r>
    </w:p>
    <w:p w:rsidR="008C2AD5" w:rsidRPr="004B6185" w:rsidRDefault="008C2AD5" w:rsidP="008C2AD5">
      <w:pPr>
        <w:spacing w:after="0" w:line="240" w:lineRule="auto"/>
        <w:jc w:val="both"/>
        <w:rPr>
          <w:rFonts w:ascii="Times New Roman" w:hAnsi="Times New Roman"/>
          <w:sz w:val="20"/>
          <w:szCs w:val="20"/>
        </w:rPr>
      </w:pPr>
    </w:p>
    <w:p w:rsidR="008C2AD5" w:rsidRPr="004B6185" w:rsidRDefault="008C2AD5" w:rsidP="008C2AD5">
      <w:pPr>
        <w:spacing w:after="0" w:line="240" w:lineRule="auto"/>
        <w:jc w:val="both"/>
        <w:rPr>
          <w:rFonts w:ascii="Times New Roman" w:hAnsi="Times New Roman"/>
          <w:sz w:val="20"/>
          <w:szCs w:val="20"/>
        </w:rPr>
      </w:pPr>
      <w:r w:rsidRPr="004B6185">
        <w:rPr>
          <w:rFonts w:ascii="Times New Roman" w:hAnsi="Times New Roman"/>
          <w:sz w:val="20"/>
          <w:szCs w:val="20"/>
        </w:rPr>
        <w:t xml:space="preserve">Cortisol has been associated with physiological response towards depression, anxiety and stress [7-9]. Stress has been reported to increase the activity of the </w:t>
      </w:r>
      <w:r w:rsidRPr="004B6185">
        <w:rPr>
          <w:rFonts w:ascii="Times New Roman" w:hAnsi="Times New Roman"/>
          <w:noProof/>
          <w:sz w:val="20"/>
          <w:szCs w:val="20"/>
        </w:rPr>
        <w:t>hypothalamus-pituitary-adrenal</w:t>
      </w:r>
      <w:r w:rsidRPr="004B6185">
        <w:rPr>
          <w:rFonts w:ascii="Times New Roman" w:hAnsi="Times New Roman"/>
          <w:sz w:val="20"/>
          <w:szCs w:val="20"/>
        </w:rPr>
        <w:t xml:space="preserve"> (HPA) axis with a subsequent rise in cortisol level [10,</w:t>
      </w:r>
      <w:r>
        <w:rPr>
          <w:rFonts w:ascii="Times New Roman" w:hAnsi="Times New Roman"/>
          <w:sz w:val="20"/>
          <w:szCs w:val="20"/>
        </w:rPr>
        <w:t xml:space="preserve"> </w:t>
      </w:r>
      <w:r w:rsidRPr="004B6185">
        <w:rPr>
          <w:rFonts w:ascii="Times New Roman" w:hAnsi="Times New Roman"/>
          <w:sz w:val="20"/>
          <w:szCs w:val="20"/>
        </w:rPr>
        <w:t>11]. Thus, serum cortisol concentration may serve as a diagnostic tool for depressive disorder and stress. Low levels of cortisol are seen in patients with rare adrenal enzyme defects and after long-lasting stress. Uncontrolled stress has been associated with increased risk of several health complications such as heart disease, diabetes, immunosuppression and cognitive impairment</w:t>
      </w:r>
      <w:r>
        <w:rPr>
          <w:rFonts w:ascii="Times New Roman" w:hAnsi="Times New Roman"/>
          <w:sz w:val="20"/>
          <w:szCs w:val="20"/>
        </w:rPr>
        <w:t xml:space="preserve"> </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{"citationItems":[{"id":"ITEM-1","itemData":{"DOI":"10.1016/j.psyneuen.2005.03.014","ISBN":"0306-4530","ISSN":"03064530","PMID":"15963652","abstract":"Two neuroendocrine systems are of specific interest in the study of stress and health; the sympathetic adrenomedullary system with the secretion of epinephrine and norepinephrine, and the hypothalamic pituitary adrenocortical (HPA) system with the secretion of cortisol. These hormones have often been used as objective indicators of stress in the individual. However, through their bodily effects, they are also a link between the psychosocial environment and various health outcomes. From a series of studies of women and men, it was concluded that gender roles and psychological factors are more important than biological factors for the sex differences in stress responses. The stress responses have been important for human and animal survival and for protection of the body. However, in modern society, some of these bodily responses may cause harm rather than protection. The catecholamines have been linked to cardiovascular disorders such as hypertension, myocardial infarction and stroke, cortisol to cardiovascular disease, Type 2 diabetes, reduced immune function and cognitive impairment. An adequate balance between catabolic (mobilization of energy) and anabolic processes (growth, healing) is considered necessary for long term health and survival. In modern society, which is characterized by a rapid pace of life, high demands, efficiency and competitiveness in a global economy, it is likely that lack of rest, recovery and restitution is a greater health problem than the absolute level of stress. ?? 2005 Elsevier Ltd. All rights reserved.","author":[{"dropping-particle":"","family":"Lundberg","given":"Ulf","non-dropping-particle":"","parse-names":false,"suffix":""}],"container-title":"Psychoneuroendocrinology","id":"ITEM-1","issue":"10","issued":{"date-parts":[["2005"]]},"page":"1017-1021","title":"Stress hormones in health and illness: The roles of work and gender","type":"article-journal","volume":"30"},"uris":["http://www.mendeley.com/documents/?uuid=a0fd4a2f-5e96-483e-8444-42f7798dc5e9"]}],"mendeley":{"formattedCitation":"(Lundberg, 2005)","manualFormatting":"[12]","plainTextFormattedCitation":"(Lundberg, 2005)","previouslyFormattedCitation":"(Lundberg, 2005)"},"properties":{"noteIndex":0},"schema":"https://github.com/citation-style-language/schema/raw/master/csl-citation.json"}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[12]</w:t>
      </w:r>
      <w:r w:rsidRPr="004B6185">
        <w:rPr>
          <w:rFonts w:ascii="Times New Roman" w:hAnsi="Times New Roman"/>
          <w:sz w:val="20"/>
          <w:szCs w:val="20"/>
        </w:rPr>
        <w:fldChar w:fldCharType="end"/>
      </w:r>
      <w:r w:rsidRPr="004B6185">
        <w:rPr>
          <w:rFonts w:ascii="Times New Roman" w:hAnsi="Times New Roman"/>
          <w:sz w:val="20"/>
          <w:szCs w:val="20"/>
        </w:rPr>
        <w:t>. Research by the Institute for Public Health reported that estimated 29.9% of adults in Malaysia are experiencing mental health problems such as depression and anxiety. The increasing trend of mental health problems from the prevalence of 10.7% estimated in 1996 demands close attention towards this issue</w:t>
      </w:r>
      <w:r>
        <w:rPr>
          <w:rFonts w:ascii="Times New Roman" w:hAnsi="Times New Roman"/>
          <w:sz w:val="20"/>
          <w:szCs w:val="20"/>
        </w:rPr>
        <w:t xml:space="preserve"> </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{"citationItems":[{"id":"ITEM-1","itemData":{"DOI":"10.1017/CBO9781107415324.004","ISBN":"9788578110796","ISSN":"1098-6596","PMID":"25246403","abstract":"applicability for this approach.","author":[{"dropping-particle":"","family":"Institute for Public Health","given":"","non-dropping-particle":"","parse-names":false,"suffix":""}],"container-title":"Ministry of health","id":"ITEM-1","issued":{"date-parts":[["2015"]]},"number-of-pages":"1-291","title":"National Health and Morbidity Survey 2015 (NHMS 2015). Vol. II: Non-Communicable Diseases, Risk Factors &amp; Other Health Problems","type":"book","volume":"II"},"uris":["http://www.mendeley.com/documents/?uuid=f6803d92-3120-4049-8bc1-b4d3ab243ca1"]}],"mendeley":{"formattedCitation":"(Institute for Public Health, 2015)","manualFormatting":"[13]","plainTextFormattedCitation":"(Institute for Public Health, 2015)","previouslyFormattedCitation":"(Institute for Public Health, 2015)"},"properties":{"noteIndex":0},"schema":"https://github.com/citation-style-language/schema/raw/master/csl-citation.json"}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[13]</w:t>
      </w:r>
      <w:r w:rsidRPr="004B6185">
        <w:rPr>
          <w:rFonts w:ascii="Times New Roman" w:hAnsi="Times New Roman"/>
          <w:sz w:val="20"/>
          <w:szCs w:val="20"/>
        </w:rPr>
        <w:fldChar w:fldCharType="end"/>
      </w:r>
      <w:r w:rsidRPr="004B6185">
        <w:rPr>
          <w:rFonts w:ascii="Times New Roman" w:hAnsi="Times New Roman"/>
          <w:sz w:val="20"/>
          <w:szCs w:val="20"/>
        </w:rPr>
        <w:t>. Besides, a study by Armitage et al., stated that the prevalence of suicide in Malaysia was six to eight per 100000 population per year</w:t>
      </w:r>
      <w:r>
        <w:rPr>
          <w:rFonts w:ascii="Times New Roman" w:hAnsi="Times New Roman"/>
          <w:sz w:val="20"/>
          <w:szCs w:val="20"/>
        </w:rPr>
        <w:t xml:space="preserve"> </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{"citationItems":[{"id":"ITEM-1","itemData":{"id":"ITEM-1","issue":"2","issued":{"date-parts":[["2015"]]},"page":"153-165","title":"Completed suicides and self-harm in Malaysia: A systemic review","type":"article-journal","volume":"37"},"uris":["http://www.mendeley.com/documents/?uuid=a648e0c9-d76c-476a-8637-402e295dbdfe"]}],"mendeley":{"formattedCitation":"(“Completed suicides and self-harm in Malaysia: A systemic review,” 2015)","manualFormatting":"[14]","plainTextFormattedCitation":"(“Completed suicides and self-harm in Malaysia: A systemic review,” 2015)","previouslyFormattedCitation":"(“Completed suicides and self-harm in Malaysia: A systemic review,” 2015)"},"properties":{"noteIndex":0},"schema":"https://github.com/citation-style-language/schema/raw/master/csl-citation.json"}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[14]</w:t>
      </w:r>
      <w:r w:rsidRPr="004B6185">
        <w:rPr>
          <w:rFonts w:ascii="Times New Roman" w:hAnsi="Times New Roman"/>
          <w:sz w:val="20"/>
          <w:szCs w:val="20"/>
        </w:rPr>
        <w:fldChar w:fldCharType="end"/>
      </w:r>
      <w:r w:rsidRPr="004B6185">
        <w:rPr>
          <w:rFonts w:ascii="Times New Roman" w:hAnsi="Times New Roman"/>
          <w:sz w:val="20"/>
          <w:szCs w:val="20"/>
        </w:rPr>
        <w:t>.</w:t>
      </w:r>
      <w:r>
        <w:rPr>
          <w:rFonts w:ascii="Times New Roman" w:hAnsi="Times New Roman"/>
          <w:sz w:val="20"/>
          <w:szCs w:val="20"/>
        </w:rPr>
        <w:t xml:space="preserve"> </w:t>
      </w:r>
      <w:r w:rsidRPr="004B6185">
        <w:rPr>
          <w:rFonts w:ascii="Times New Roman" w:hAnsi="Times New Roman"/>
          <w:sz w:val="20"/>
          <w:szCs w:val="20"/>
        </w:rPr>
        <w:t xml:space="preserve">This figure indicates a </w:t>
      </w:r>
      <w:r w:rsidRPr="004B6185">
        <w:rPr>
          <w:rFonts w:ascii="Times New Roman" w:hAnsi="Times New Roman"/>
          <w:noProof/>
          <w:sz w:val="20"/>
          <w:szCs w:val="20"/>
        </w:rPr>
        <w:t>high</w:t>
      </w:r>
      <w:r w:rsidRPr="004B6185">
        <w:rPr>
          <w:rFonts w:ascii="Times New Roman" w:hAnsi="Times New Roman"/>
          <w:sz w:val="20"/>
          <w:szCs w:val="20"/>
        </w:rPr>
        <w:t xml:space="preserve"> prevalence of psychiatric morbidity among Malaysian. Thus, proper intervention to monitor stress level in the Malaysian context </w:t>
      </w:r>
      <w:r w:rsidRPr="004B6185">
        <w:rPr>
          <w:rFonts w:ascii="Times New Roman" w:hAnsi="Times New Roman"/>
          <w:noProof/>
          <w:sz w:val="20"/>
          <w:szCs w:val="20"/>
        </w:rPr>
        <w:t>is</w:t>
      </w:r>
      <w:r w:rsidRPr="004B6185">
        <w:rPr>
          <w:rFonts w:ascii="Times New Roman" w:hAnsi="Times New Roman"/>
          <w:sz w:val="20"/>
          <w:szCs w:val="20"/>
        </w:rPr>
        <w:t xml:space="preserve"> required. </w:t>
      </w:r>
    </w:p>
    <w:p w:rsidR="008C2AD5" w:rsidRPr="004B6185" w:rsidRDefault="008C2AD5" w:rsidP="008C2AD5">
      <w:pPr>
        <w:spacing w:after="0" w:line="240" w:lineRule="auto"/>
        <w:jc w:val="both"/>
        <w:rPr>
          <w:rFonts w:ascii="Times New Roman" w:hAnsi="Times New Roman"/>
          <w:sz w:val="20"/>
          <w:szCs w:val="20"/>
        </w:rPr>
      </w:pPr>
    </w:p>
    <w:p w:rsidR="008C2AD5" w:rsidRPr="004B6185" w:rsidRDefault="008C2AD5" w:rsidP="008C2AD5">
      <w:pPr>
        <w:spacing w:after="0" w:line="240" w:lineRule="auto"/>
        <w:jc w:val="both"/>
        <w:rPr>
          <w:rFonts w:ascii="Times New Roman" w:hAnsi="Times New Roman"/>
          <w:sz w:val="20"/>
          <w:szCs w:val="20"/>
        </w:rPr>
      </w:pPr>
      <w:r w:rsidRPr="004B6185">
        <w:rPr>
          <w:rFonts w:ascii="Times New Roman" w:hAnsi="Times New Roman"/>
          <w:sz w:val="20"/>
          <w:szCs w:val="20"/>
        </w:rPr>
        <w:t>Clinically, cortisol is measured directly from biological samples using immunoassays. However, this method has been known to have disadvantages such as sample matrix effect and cross-reactivity with endogenous steroid, lipids or metabolites which affect the method specificity [15-</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{"citationItems":[{"id":"ITEM-1","itemData":{"DOI":"10.1007/s11154-013-9240-1","ISBN":"1573-2606","ISSN":"1573-2606","PMID":"23494459","abstract":"Liquid chromatography coupled to tandem mass spectrometry (LC-MS/MS) is becoming a standard analytical tool in the clinical laboratory for the measurement of small molecules, including steroid hormones. Endocrinologists are coming to acknowledge the superior quality of measurement that is achievable by LC-MS/MS through the enhanced analytical specificity and high sensitivity that this technique offers over conventional immunoassay (IA) methodologies. Additionally, LC-MS/MS overcomes many of the problems encountered in immunoassays, such as anti-reagent antibody interferences and cross-reactivity with structurally related compounds. The potential benefits of applying LC-MS/MS for the assessment of the hypothalamic-pituitary-adrenal (HPA) axis are beginning to be realised. This review critically evaluates recent developments in the application of LC-MS/MS for measurement of glucocorticoids and mineralocorticoids towards the diagnosis and management of HPA axis disorders and aims to address the current unmet need in this expanding field of endocrinology for which future studies into the potential applications of LC-MS/MS should be directed.","author":[{"dropping-particle":"","family":"Monaghan","given":"Phillip J","non-dropping-particle":"","parse-names":false,"suffix":""},{"dropping-particle":"","family":"Keevil","given":"Brian G","non-dropping-particle":"","parse-names":false,"suffix":""},{"dropping-particle":"","family":"Trainer","given":"Peter J","non-dropping-particle":"","parse-names":false,"suffix":""}],"container-title":"Reviews in endocrine &amp; metabolic disorders","id":"ITEM-1","issue":"2","issued":{"date-parts":[["2013"]]},"page":"143-57","title":"The use of mass spectrometry to improve the diagnosis and the management of the HPA axis.","type":"article-journal","volume":"14"},"uris":["http://www.mendeley.com/documents/?uuid=fb596043-23f0-49b8-98c4-8a4ddd9f26c4"]}],"mendeley":{"formattedCitation":"(Monaghan, Keevil, &amp; Trainer, 2013)","manualFormatting":"17]","plainTextFormattedCitation":"(Monaghan, Keevil, &amp; Trainer, 2013)","previouslyFormattedCitation":"(Monaghan, Keevil, &amp; Trainer, 2013)"},"properties":{"noteIndex":0},"schema":"https://github.com/citation-style-language/schema/raw/master/csl-citation.json"}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17]</w:t>
      </w:r>
      <w:r w:rsidRPr="004B6185">
        <w:rPr>
          <w:rFonts w:ascii="Times New Roman" w:hAnsi="Times New Roman"/>
          <w:sz w:val="20"/>
          <w:szCs w:val="20"/>
        </w:rPr>
        <w:fldChar w:fldCharType="end"/>
      </w:r>
      <w:r w:rsidRPr="004B6185">
        <w:rPr>
          <w:rFonts w:ascii="Times New Roman" w:hAnsi="Times New Roman"/>
          <w:sz w:val="20"/>
          <w:szCs w:val="20"/>
        </w:rPr>
        <w:t xml:space="preserve">. Furthermore, low levels of serum cortisol and cortisone and similarity in their chemical structure, make this analysis a challenge </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{"citationItems":[{"id":"ITEM-1","itemData":{"DOI":"10.4172/2469-9861.1000107","ISSN":"24699861","author":[{"dropping-particle":"","family":"Lopes Alves","given":"Atecla Nunciata","non-dropping-particle":"","parse-names":false,"suffix":""}],"container-title":"Mass Spectrometry &amp; Purification Techniques","id":"ITEM-1","issue":"02","issued":{"date-parts":[["2015"]]},"page":"1-5","title":"Analytical Performance of LC-MS/MS Method for Simultaneous Determination of Five Steroids in Serum","type":"article-journal","volume":"01"},"uris":["http://www.mendeley.com/documents/?uuid=9eda3641-bcef-47b6-bb5e-48726d57f17a"]}],"mendeley":{"formattedCitation":"(Lopes Alves, 2015)","manualFormatting":"[18]","plainTextFormattedCitation":"(Lopes Alves, 2015)","previouslyFormattedCitation":"(Lopes Alves, 2015)"},"properties":{"noteIndex":0},"schema":"https://github.com/citation-style-language/schema/raw/master/csl-citation.json"}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[18]</w:t>
      </w:r>
      <w:r w:rsidRPr="004B6185">
        <w:rPr>
          <w:rFonts w:ascii="Times New Roman" w:hAnsi="Times New Roman"/>
          <w:sz w:val="20"/>
          <w:szCs w:val="20"/>
        </w:rPr>
        <w:fldChar w:fldCharType="end"/>
      </w:r>
      <w:r w:rsidRPr="004B6185">
        <w:rPr>
          <w:rFonts w:ascii="Times New Roman" w:hAnsi="Times New Roman"/>
          <w:sz w:val="20"/>
          <w:szCs w:val="20"/>
        </w:rPr>
        <w:t xml:space="preserve">. Therefore, a highly specific and sensitive analytical tool is needed to quantitate the concentration of the two closely identical molecules such as cortisol and cortisone in biological samples. In this respect, quantitative analysis of low-concentration </w:t>
      </w:r>
      <w:r w:rsidRPr="004B6185">
        <w:rPr>
          <w:rFonts w:ascii="Times New Roman" w:hAnsi="Times New Roman"/>
          <w:noProof/>
          <w:sz w:val="20"/>
          <w:szCs w:val="20"/>
        </w:rPr>
        <w:t>analytes is</w:t>
      </w:r>
      <w:r w:rsidRPr="004B6185">
        <w:rPr>
          <w:rFonts w:ascii="Times New Roman" w:hAnsi="Times New Roman"/>
          <w:sz w:val="20"/>
          <w:szCs w:val="20"/>
        </w:rPr>
        <w:t xml:space="preserve"> possible by using a highly reproducible, selective, and sensitive liquid chromatography-tandem mass spectrometry (LC/MS-MS) methods </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{"citationItems":[{"id":"ITEM-1","itemData":{"DOI":"10.1016/j.clinbiochem.2010.07.008","ISSN":"0009-9120","author":[{"dropping-particle":"","family":"Kushnir","given":"Mark M","non-dropping-particle":"","parse-names":false,"suffix":""},{"dropping-particle":"","family":"Rockwood","given":"Alan L","non-dropping-particle":"","parse-names":false,"suffix":""},{"dropping-particle":"","family":"Roberts","given":"William L","non-dropping-particle":"","parse-names":false,"suffix":""},{"dropping-particle":"","family":"Yue","given":"Bingfang","non-dropping-particle":"","parse-names":false,"suffix":""},{"dropping-particle":"","family":"Bergquist","given":"Jonas","non-dropping-particle":"","parse-names":false,"suffix":""},{"dropping-particle":"","family":"Meikle","given":"A Wayne","non-dropping-particle":"","parse-names":false,"suffix":""}],"container-title":"Clinical Biochemistry","id":"ITEM-1","issue":"1","issued":{"date-parts":[["2011"]]},"page":"77-88","publisher":"The Canadian Society of Clinical Chemists","title":"Liquid chromatography tandem mass spectrometry for analysis of steroids in clinical laboratories","type":"article-journal","volume":"44"},"uris":["http://www.mendeley.com/documents/?uuid=bfd7f49f-4c50-4d29-a5ad-69995fa29e34"]}],"mendeley":{"formattedCitation":"(Kushnir et al., 2011)","manualFormatting":"[1","plainTextFormattedCitation":"(Kushnir et al., 2011)","previouslyFormattedCitation":"(Kushnir et al., 2011)"},"properties":{"noteIndex":0},"schema":"https://github.com/citation-style-language/schema/raw/master/csl-citation.json"}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[1</w:t>
      </w:r>
      <w:r w:rsidRPr="004B6185">
        <w:rPr>
          <w:rFonts w:ascii="Times New Roman" w:hAnsi="Times New Roman"/>
          <w:sz w:val="20"/>
          <w:szCs w:val="20"/>
        </w:rPr>
        <w:fldChar w:fldCharType="end"/>
      </w:r>
      <w:r w:rsidRPr="004B6185">
        <w:rPr>
          <w:rFonts w:ascii="Times New Roman" w:hAnsi="Times New Roman"/>
          <w:sz w:val="20"/>
          <w:szCs w:val="20"/>
        </w:rPr>
        <w:t>9-2</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{"citationItems":[{"id":"ITEM-1","itemData":{"DOI":"10.1097/FTD.0b013e31803d14c0","ISSN":"01634356","abstract":"Cortisol is an important adrenal steroid hormone involved in the regulation of metabolic homeostasis. A new liquid chromatography-mass spectrometry/mass spectrometry (LC-MS/MS) multiple reactant monitoring (MRM) procedure for the measurement of cortisol concentration in plasma ultrafiltrate, whole plasma, and urine was developed and validated. Plasma, plasma ultrafiltrate, or urine was extracted by ethyl acetate. The extract was subjected to liquid chromatography with an Inertsil ODS-3 column with an aqueous NH4Cl (1 mM, pH 9.0):methanol mobile phase. The presence of NH4Cl in the mobile phase induced the formation of [M+Cl] in the first quadrupole at m/z 397 and 409 for cortisol and 6α-methylprednisolone (internal standard), respectively. In the collision cell, the complex dissociated to the neutral parent and the chloride ion at m/z 35; the latter ion was used for quantification. The calibration curve was linear from 0.5 to 100 ng/mL. The lower limit of quantification was 0.50 ng/mL and the limit of detection was 0.25 ng/mL. For quality control samples prepared in water, the intrabatch assay precision was 5.6%, 9.6%, and 9.9% at 50, 10, and 1 ng/mL, respectively. The interbatch assay precision was 4.2%, 6.3%, and 7.5% at 50, 10, and 1 ng/mL, respectively. For measurement of endogenous cortisol in plasma and urine samples, the intra-assay and interassay precision was 10.8% and 4.8% for total plasma cortisol, 13.1% and 5.2% for free plasma cortisol, 10.9% and 13.1% for cortisol protein-binding free fraction, and 8.9% and 14.4% for urine cortisol, respectively. A simple procedure of ultrafiltration coupled with the highly sensitive LC-MS/MS quantification offered a rapid and reproducible assay for plasma free cortisol, which may be useful in the assessment of adrenal function in patients, especially critically ill patients with abnormal protein binding. It may also be useful for plasma and urinary cortisol measurements in pharmacodynamic studies of adrenocorticoid response. © 2007 Lippincott Williams &amp; Wilkins, Inc.","author":[{"dropping-particle":"","family":"Huang","given":"Weili","non-dropping-particle":"","parse-names":false,"suffix":""},{"dropping-particle":"","family":"Kalhorn","given":"Thomas F.","non-dropping-particle":"","parse-names":false,"suffix":""},{"dropping-particle":"","family":"Baillie","given":"Mark","non-dropping-particle":"","parse-names":false,"suffix":""},{"dropping-particle":"","family":"Shen","given":"Danny D.","non-dropping-particle":"","parse-names":false,"suffix":""},{"dropping-particle":"","family":"Thummel","given":"Kenneth E.","non-dropping-particle":"","parse-names":false,"suffix":""}],"container-title":"Therapeutic Drug Monitoring","id":"ITEM-1","issue":"2","issued":{"date-parts":[["2007"]]},"page":"215-224","title":"Determination of free and total cortisol in plasma and urine by liquid chromatography-tandem mass spectrometry","type":"article-journal","volume":"29"},"uris":["http://www.mendeley.com/documents/?uuid=41521b8a-89df-4359-a138-bbc86754ac74"]}],"mendeley":{"formattedCitation":"(Huang, Kalhorn, Baillie, Shen, &amp; Thummel, 2007)","manualFormatting":"1]","plainTextFormattedCitation":"(Huang, Kalhorn, Baillie, Shen, &amp; Thummel, 2007)","previouslyFormattedCitation":"(Huang, Kalhorn, Baillie, Shen, &amp; Thummel, 2007)"},"properties":{"noteIndex":0},"schema":"https://github.com/citation-style-language/schema/raw/master/csl-citation.json"}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1]</w:t>
      </w:r>
      <w:r w:rsidRPr="004B6185">
        <w:rPr>
          <w:rFonts w:ascii="Times New Roman" w:hAnsi="Times New Roman"/>
          <w:sz w:val="20"/>
          <w:szCs w:val="20"/>
        </w:rPr>
        <w:fldChar w:fldCharType="end"/>
      </w:r>
      <w:r w:rsidRPr="004B6185">
        <w:rPr>
          <w:rFonts w:ascii="Times New Roman" w:hAnsi="Times New Roman"/>
          <w:sz w:val="20"/>
          <w:szCs w:val="20"/>
        </w:rPr>
        <w:t>. The validated method is useful for investigation of hormone status for the diagnosis and treatment of clinical disorders.</w:t>
      </w:r>
    </w:p>
    <w:p w:rsidR="008C2AD5" w:rsidRPr="004B6185" w:rsidRDefault="008C2AD5" w:rsidP="008C2AD5">
      <w:pPr>
        <w:spacing w:after="0" w:line="240" w:lineRule="auto"/>
        <w:jc w:val="both"/>
        <w:rPr>
          <w:rFonts w:ascii="Times New Roman" w:hAnsi="Times New Roman"/>
          <w:sz w:val="20"/>
          <w:szCs w:val="20"/>
        </w:rPr>
      </w:pPr>
    </w:p>
    <w:p w:rsidR="008C2AD5" w:rsidRPr="004B6185" w:rsidRDefault="008C2AD5" w:rsidP="008C2AD5">
      <w:pPr>
        <w:spacing w:after="0" w:line="240" w:lineRule="auto"/>
        <w:jc w:val="both"/>
        <w:rPr>
          <w:rFonts w:ascii="Times New Roman" w:hAnsi="Times New Roman"/>
          <w:sz w:val="20"/>
          <w:szCs w:val="20"/>
        </w:rPr>
      </w:pPr>
      <w:r w:rsidRPr="004B6185">
        <w:rPr>
          <w:rFonts w:ascii="Times New Roman" w:hAnsi="Times New Roman"/>
          <w:noProof/>
          <w:sz w:val="20"/>
          <w:szCs w:val="20"/>
        </w:rPr>
        <w:t>The charcoal-stripped</w:t>
      </w:r>
      <w:r w:rsidRPr="004B6185">
        <w:rPr>
          <w:rFonts w:ascii="Times New Roman" w:hAnsi="Times New Roman"/>
          <w:sz w:val="20"/>
          <w:szCs w:val="20"/>
        </w:rPr>
        <w:t xml:space="preserve"> serum has been widely used in biological and cellular studies. Charcoal-stripping of serum is intended to remove a variety of endogenous compounds, including hormones </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{"citationItems":[{"id":"ITEM-1","itemData":{"DOI":"10.3109/07435800903204082","ISSN":"07435800","PMID":"19878070","abstract":"INTRODUCTION: Charcoal- or resin-stripping of fetal bovine serum (FBS) or bovine calf serum (BCS) intended for supplementation of cell culture media is widely practiced to remove a variety of endogenous compounds, including steroid, peptide, and thyroid hormones. The possibility that stripping removes other biologically relevant factors from serum may not be appreciated. METHODS: In this report, standardized clinical laboratory testing methods were used to assess the effects of resin- and charcoal-stripping on content in FBS and BCS of more than 25 analytes in the sera. RESULTS AND CONCLUSION: In addition to hormones, the serum constituents affected by stripping are certain vitamins, electrolytes, enzyme activities, and metabolites.","author":[{"dropping-particle":"","family":"Cao","given":"Zhimin","non-dropping-particle":"","parse-names":false,"suffix":""},{"dropping-particle":"","family":"West","given":"Clint","non-dropping-particle":"","parse-names":false,"suffix":""},{"dropping-particle":"","family":"Norton-Wenzel","given":"Carol S.","non-dropping-particle":"","parse-names":false,"suffix":""},{"dropping-particle":"","family":"Rej","given":"Robert","non-dropping-particle":"","parse-names":false,"suffix":""},{"dropping-particle":"","family":"Davis","given":"Faith B.","non-dropping-particle":"","parse-names":false,"suffix":""},{"dropping-particle":"","family":"Davis","given":"Paul J.","non-dropping-particle":"","parse-names":false,"suffix":""}],"container-title":"Endocrine Research","id":"ITEM-1","issue":"4","issued":{"date-parts":[["2009"]]},"page":"101-108","title":"Effects of resin or charcoal treatment on fetal bovine serum and bovine calf serum","type":"article-journal","volume":"34"},"uris":["http://www.mendeley.com/documents/?uuid=0e9e3578-40f6-4170-8590-073d3fc70a59"]}],"mendeley":{"formattedCitation":"(Cao et al., 2009)","manualFormatting":"[22]","plainTextFormattedCitation":"(Cao et al., 2009)","previouslyFormattedCitation":"(Cao et al., 2009)"},"properties":{"noteIndex":0},"schema":"https://github.com/citation-style-language/schema/raw/master/csl-citation.json"}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[22]</w:t>
      </w:r>
      <w:r w:rsidRPr="004B6185">
        <w:rPr>
          <w:rFonts w:ascii="Times New Roman" w:hAnsi="Times New Roman"/>
          <w:sz w:val="20"/>
          <w:szCs w:val="20"/>
        </w:rPr>
        <w:fldChar w:fldCharType="end"/>
      </w:r>
      <w:r w:rsidRPr="004B6185">
        <w:rPr>
          <w:rFonts w:ascii="Times New Roman" w:hAnsi="Times New Roman"/>
          <w:sz w:val="20"/>
          <w:szCs w:val="20"/>
        </w:rPr>
        <w:t xml:space="preserve">. Since cortisol and cortisone are endogenous steroids, charcoal-stripped serum was used as a </w:t>
      </w:r>
      <w:r w:rsidRPr="004B6185">
        <w:rPr>
          <w:rFonts w:ascii="Times New Roman" w:hAnsi="Times New Roman"/>
          <w:noProof/>
          <w:sz w:val="20"/>
          <w:szCs w:val="20"/>
        </w:rPr>
        <w:t>blank</w:t>
      </w:r>
      <w:r w:rsidRPr="004B6185">
        <w:rPr>
          <w:rFonts w:ascii="Times New Roman" w:hAnsi="Times New Roman"/>
          <w:sz w:val="20"/>
          <w:szCs w:val="20"/>
        </w:rPr>
        <w:t xml:space="preserve"> sample. Several factors contribute to the efficiency of removing hormones using activated charcoal which includes the </w:t>
      </w:r>
      <w:r w:rsidRPr="004B6185">
        <w:rPr>
          <w:rFonts w:ascii="Times New Roman" w:hAnsi="Times New Roman"/>
          <w:noProof/>
          <w:sz w:val="20"/>
          <w:szCs w:val="20"/>
        </w:rPr>
        <w:t>amount</w:t>
      </w:r>
      <w:r w:rsidRPr="004B6185">
        <w:rPr>
          <w:rFonts w:ascii="Times New Roman" w:hAnsi="Times New Roman"/>
          <w:sz w:val="20"/>
          <w:szCs w:val="20"/>
        </w:rPr>
        <w:t xml:space="preserve"> of charcoal and temperature </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{"citationItems":[{"id":"ITEM-1","itemData":{"DOI":"10.4236/jep.2012.36057","ISBN":"2152-2197\\r2152-2219","ISSN":"2152-2197","abstract":"The mechanism, isotherms and kinetics of removal of two endocrine disrupting chemicals, 17β-estradiol (E2) and 17α-ethinyloestradiol (EE2) by activated carbon adsorption were investigated in an agitated non-flow batch adsorption studies. Mathematical models were used to describe the adsorption phenomenon with the kinetic and thermodynamic parameters evaluated using the adsorption equilibrium data at varying temperatures. Higher adsorption rates were achieved at acidic to neutral pH ranges, with the sorption kinetic data showing a good fit to the pseudo second order rate equation and the Langmuir adsorption isotherm model for both E2 and EE2. The Gibbs free energy were –16.68 kJ/mol and –17.34 kJ/mol for E2 and EE2 respectively. The values of enthalpy for both E2 (84.50 kJ/mol) and EE2 (90 kJ/mol) indicated a chemical nature of the sorption process. Both the isotherm and thermodynamic data obtained all supported the mechanism of adsorption of E2 and EE2 to be mainly chemisorptions supported by some physical attractions.","author":[{"dropping-particle":"","family":"O. Ifelebuegu","given":"Augustine","non-dropping-particle":"","parse-names":false,"suffix":""}],"container-title":"Journal of Environmental Protection","id":"ITEM-1","issue":"06","issued":{"date-parts":[["2012"]]},"page":"469-475","title":"Removal of Steriod Hormones by Activated Carbon Adsorption—Kinetic and Thermodynamic Studies","type":"article-journal","volume":"03"},"uris":["http://www.mendeley.com/documents/?uuid=85bb04a2-9c1e-4dc5-a7ec-cb4742e6d216"]}],"mendeley":{"formattedCitation":"(O. Ifelebuegu, 2012)","manualFormatting":"[23]","plainTextFormattedCitation":"(O. Ifelebuegu, 2012)","previouslyFormattedCitation":"(O. Ifelebuegu, 2012)"},"properties":{"noteIndex":0},"schema":"https://github.com/citation-style-language/schema/raw/master/csl-citation.json"}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[23]</w:t>
      </w:r>
      <w:r w:rsidRPr="004B6185">
        <w:rPr>
          <w:rFonts w:ascii="Times New Roman" w:hAnsi="Times New Roman"/>
          <w:sz w:val="20"/>
          <w:szCs w:val="20"/>
        </w:rPr>
        <w:fldChar w:fldCharType="end"/>
      </w:r>
      <w:r w:rsidRPr="004B6185">
        <w:rPr>
          <w:rFonts w:ascii="Times New Roman" w:hAnsi="Times New Roman"/>
          <w:sz w:val="20"/>
          <w:szCs w:val="20"/>
        </w:rPr>
        <w:t xml:space="preserve">. Pre-treated serum with charcoal powder may reduce matrix effect </w:t>
      </w:r>
      <w:r w:rsidRPr="004B6185">
        <w:rPr>
          <w:rFonts w:ascii="Times New Roman" w:hAnsi="Times New Roman"/>
          <w:noProof/>
          <w:sz w:val="20"/>
          <w:szCs w:val="20"/>
        </w:rPr>
        <w:t>and increase</w:t>
      </w:r>
      <w:r w:rsidRPr="004B6185">
        <w:rPr>
          <w:rFonts w:ascii="Times New Roman" w:hAnsi="Times New Roman"/>
          <w:sz w:val="20"/>
          <w:szCs w:val="20"/>
        </w:rPr>
        <w:t xml:space="preserve"> method selectivity due to the </w:t>
      </w:r>
      <w:r w:rsidRPr="004B6185">
        <w:rPr>
          <w:rFonts w:ascii="Times New Roman" w:hAnsi="Times New Roman"/>
          <w:noProof/>
          <w:sz w:val="20"/>
          <w:szCs w:val="20"/>
        </w:rPr>
        <w:t>removal</w:t>
      </w:r>
      <w:r w:rsidRPr="004B6185">
        <w:rPr>
          <w:rFonts w:ascii="Times New Roman" w:hAnsi="Times New Roman"/>
          <w:sz w:val="20"/>
          <w:szCs w:val="20"/>
        </w:rPr>
        <w:t xml:space="preserve"> of </w:t>
      </w:r>
      <w:r w:rsidRPr="004B6185">
        <w:rPr>
          <w:rFonts w:ascii="Times New Roman" w:hAnsi="Times New Roman"/>
          <w:noProof/>
          <w:sz w:val="20"/>
          <w:szCs w:val="20"/>
        </w:rPr>
        <w:t>endogenous</w:t>
      </w:r>
      <w:r w:rsidRPr="004B6185">
        <w:rPr>
          <w:rFonts w:ascii="Times New Roman" w:hAnsi="Times New Roman"/>
          <w:sz w:val="20"/>
          <w:szCs w:val="20"/>
        </w:rPr>
        <w:t xml:space="preserve"> compounds that might interfere with the target compound </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{"citationItems":[{"id":"ITEM-1","itemData":{"DOI":"10.1016/j.jchromb.2006.02.060","ISBN":"1570-0232","ISSN":"15700232","PMID":"16631418","abstract":"A simple HPLC method was developed and validated for the determination of uric acid (UA), xanthine (X) and hypoxanthine (HX) concentrations in human serum to support pharmacodynamic (PD) studies of a novel xanthine oxidase inhibitor during its clinical development. Serum proteins were removed by ultrafiltration. The hydrophilic analytes and the I.S. were eluted by 100% aqueous phosphate buffer mobile phase. The hydrophobic matrix components (late peaks) were eluted with a step gradient of a higher organic mobile phase. Validation on linearity, sensitivity, precision, accuracy, stability, and robustness of the method for PD biomarkers (UA, X, and HX) was carried out in a similar manner to that for pharmacokinetic (PK) data where applicable. Issues of selectivity for endogenous biomarker analytes and individual concentration variations were addressed during method validation. Standards were prepared in analyte-free phosphate buffer. Quality control samples were prepared in control serum from individuals not dosed with the xanthine oxidase inhibitor. The method was simple and robust with good accuracy and precision for the measurement of serum UA, X, and HX concentrations. © 2006 Elsevier B.V. All rights reserved.","author":[{"dropping-particle":"","family":"Cooper","given":"Nancy","non-dropping-particle":"","parse-names":false,"suffix":""},{"dropping-particle":"","family":"Khosravan","given":"Reza","non-dropping-particle":"","parse-names":false,"suffix":""},{"dropping-particle":"","family":"Erdmann","given":"Carol","non-dropping-particle":"","parse-names":false,"suffix":""},{"dropping-particle":"","family":"Fiene","given":"John","non-dropping-particle":"","parse-names":false,"suffix":""},{"dropping-particle":"","family":"Lee","given":"Jean W.","non-dropping-particle":"","parse-names":false,"suffix":""}],"container-title":"Journal of Chromatography B: Analytical Technologies in the Biomedical and Life Sciences","id":"ITEM-1","issue":"1-2","issued":{"date-parts":[["2006"]]},"page":"1-10","title":"Quantification of uric acid, xanthine and hypoxanthine in human serum by HPLC for pharmacodynamic studies","type":"article-journal","volume":"837"},"uris":["http://www.mendeley.com/documents/?uuid=00ba8ab3-b151-40a2-bf2a-5b074805e100"]}],"mendeley":{"formattedCitation":"(Cooper, Khosravan, Erdmann, Fiene, &amp; Lee, 2006)","manualFormatting":"[2","plainTextFormattedCitation":"(Cooper, Khosravan, Erdmann, Fiene, &amp; Lee, 2006)","previouslyFormattedCitation":"(Cooper, Khosravan, Erdmann, Fiene, &amp; Lee, 2006)"},"properties":{"noteIndex":0},"schema":"https://github.com/citation-style-language/schema/raw/master/csl-citation.json"}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[2</w:t>
      </w:r>
      <w:r w:rsidRPr="004B6185">
        <w:rPr>
          <w:rFonts w:ascii="Times New Roman" w:hAnsi="Times New Roman"/>
          <w:sz w:val="20"/>
          <w:szCs w:val="20"/>
        </w:rPr>
        <w:fldChar w:fldCharType="end"/>
      </w:r>
      <w:r w:rsidRPr="004B6185">
        <w:rPr>
          <w:rFonts w:ascii="Times New Roman" w:hAnsi="Times New Roman"/>
          <w:sz w:val="20"/>
          <w:szCs w:val="20"/>
        </w:rPr>
        <w:t>4</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{"citationItems":[{"id":"ITEM-1","itemData":{"DOI":"10.1194/jlr.D061499","ISBN":"0022-2275","ISSN":"0022-2275","PMID":"26239050","abstract":"Steroids are primarily present in human fluids in their sulfated forms. Profiling of these compounds is important from both diagnostic and physiological points of view. Here, we present a novel method for the quantification of 11 intact steroid sulfates in human serum by LC-MS/MS. The compounds analyzed carin our method, some of which are quantified for the first time in blood, include cholesterol sulfate, pregnenolone sulfate, 17-hydroxy-pregnenolone sulfate, 16-α-hydroxy-dehydroepiandrosterone sulfate, dehydroepiandrosterone sulfate, androstenediol sulfate, androsterone sulfate, epiandrosterone sulfate, testosterone sulfate, epitestosterone sulfate, and dihydrotestosterone sulfate. The assay was conceived to quantify sulfated steroids in a broad range of concentrations, requiring only 300 μl of serum. The method has been validated and its performance was studied at three quality controls, selected for each compound according to its physiological concentration. The assay showed good linearity (R2 &gt; 0.99) and recovery for all the compounds, with limits of quantification ranging between 1 and 80 ng/ml. Averaged intra-day and between-day precisions (coefficient of variation) and accuracies (relative errors) were below 10%. The method has been successfully applied to study the sulfated steroidome in diseases such as steroid sulfatase deficiency, proving its diagnostic value. This is, to our best knowledge, the most comprehensive method available for the quantification of sulfated steroids in human blood.","author":[{"dropping-particle":"","family":"Sánchez-Guijo","given":"Alberto","non-dropping-particle":"","parse-names":false,"suffix":""},{"dropping-particle":"","family":"Oji","given":"Vinzenz","non-dropping-particle":"","parse-names":false,"suffix":""},{"dropping-particle":"","family":"Hartmann","given":"Michaela F.","non-dropping-particle":"","parse-names":false,"suffix":""},{"dropping-particle":"","family":"Traupe","given":"Heiko","non-dropping-particle":"","parse-names":false,"suffix":""},{"dropping-particle":"","family":"Wudy","given":"Stefan A.","non-dropping-particle":"","parse-names":false,"suffix":""}],"container-title":"Journal of Lipid Research","id":"ITEM-1","issue":"9","issued":{"date-parts":[["2015"]]},"page":"1843-1851","title":"Simultaneous quantification of cholesterol sulfate, androgen sulfates, and progestagen sulfates in human serum by LC-MS/MS","type":"article-journal","volume":"56"},"uris":["http://www.mendeley.com/documents/?uuid=ab0c21d0-7bcb-4100-b252-af84ce25bdfa"]}],"mendeley":{"formattedCitation":"(Sánchez-Guijo, Oji, Hartmann, Traupe, &amp; Wudy, 2015)","manualFormatting":"-26]","plainTextFormattedCitation":"(Sánchez-Guijo, Oji, Hartmann, Traupe, &amp; Wudy, 2015)","previouslyFormattedCitation":"(Sánchez-Guijo, Oji, Hartmann, Traupe, &amp; Wudy, 2015)"},"properties":{"noteIndex":0},"schema":"https://github.com/citation-style-language/schema/raw/master/csl-citation.json"}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-26]</w:t>
      </w:r>
      <w:r w:rsidRPr="004B6185">
        <w:rPr>
          <w:rFonts w:ascii="Times New Roman" w:hAnsi="Times New Roman"/>
          <w:sz w:val="20"/>
          <w:szCs w:val="20"/>
        </w:rPr>
        <w:fldChar w:fldCharType="end"/>
      </w:r>
      <w:r w:rsidRPr="004B6185">
        <w:rPr>
          <w:rFonts w:ascii="Times New Roman" w:hAnsi="Times New Roman"/>
          <w:sz w:val="20"/>
          <w:szCs w:val="20"/>
        </w:rPr>
        <w:t xml:space="preserve">.  </w:t>
      </w:r>
    </w:p>
    <w:p w:rsidR="008C2AD5" w:rsidRPr="004B6185" w:rsidRDefault="008C2AD5" w:rsidP="008C2AD5">
      <w:pPr>
        <w:spacing w:after="0" w:line="240" w:lineRule="auto"/>
        <w:jc w:val="both"/>
        <w:rPr>
          <w:rFonts w:ascii="Times New Roman" w:hAnsi="Times New Roman"/>
          <w:sz w:val="20"/>
          <w:szCs w:val="20"/>
        </w:rPr>
      </w:pPr>
      <w:r w:rsidRPr="004B6185">
        <w:rPr>
          <w:rFonts w:ascii="Times New Roman" w:hAnsi="Times New Roman"/>
          <w:sz w:val="20"/>
          <w:szCs w:val="20"/>
        </w:rPr>
        <w:t xml:space="preserve"> </w:t>
      </w:r>
    </w:p>
    <w:p w:rsidR="008C2AD5" w:rsidRPr="004B6185" w:rsidRDefault="008C2AD5" w:rsidP="008C2AD5">
      <w:pPr>
        <w:spacing w:after="0" w:line="240" w:lineRule="auto"/>
        <w:jc w:val="both"/>
        <w:rPr>
          <w:rFonts w:ascii="Times New Roman" w:hAnsi="Times New Roman"/>
          <w:sz w:val="20"/>
          <w:szCs w:val="20"/>
        </w:rPr>
      </w:pPr>
      <w:r w:rsidRPr="004B6185">
        <w:rPr>
          <w:rFonts w:ascii="Times New Roman" w:hAnsi="Times New Roman"/>
          <w:sz w:val="20"/>
          <w:szCs w:val="20"/>
        </w:rPr>
        <w:t xml:space="preserve">The aim of this study was to develop and validate a method for simultaneous quantification of serum cortisol and cortisone using UHPLC-MS/MS according to the guideline outlined by </w:t>
      </w:r>
      <w:bookmarkStart w:id="2" w:name="_Hlk500859005"/>
      <w:r w:rsidRPr="004B6185">
        <w:rPr>
          <w:rFonts w:ascii="Times New Roman" w:hAnsi="Times New Roman"/>
          <w:sz w:val="20"/>
          <w:szCs w:val="20"/>
        </w:rPr>
        <w:t xml:space="preserve">European Medicines Agency </w:t>
      </w:r>
      <w:bookmarkEnd w:id="2"/>
      <w:r w:rsidRPr="004B6185">
        <w:rPr>
          <w:rFonts w:ascii="Times New Roman" w:hAnsi="Times New Roman"/>
          <w:sz w:val="20"/>
          <w:szCs w:val="20"/>
        </w:rPr>
        <w:t xml:space="preserve">(EMA) </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{"citationItems":[{"id":"ITEM-1","itemData":{"author":[{"dropping-particle":"","family":"International Conference on Harmonisation","given":"","non-dropping-particle":"","parse-names":false,"suffix":""}],"id":"ITEM-1","issue":"November 1996","issued":{"date-parts":[["2007"]]},"number-of-pages":"1-13","title":"ICH H ARMONISED T RIPARTITE G UIDELINE V ALIDATION OF A NALYTICAL P ROCEDURES : VALIDATION OF ANALYTICAL PROCEDURES","type":"report","volume":"1994"},"uris":["http://www.mendeley.com/documents/?uuid=cf855ddd-adad-4532-bd9e-dd94a843411c"]}],"mendeley":{"formattedCitation":"(International Conference on Harmonisation, 2007)","manualFormatting":"[27]","plainTextFormattedCitation":"(International Conference on Harmonisation, 2007)","previouslyFormattedCitation":"(International Conference on Harmonisation, 2007)"},"properties":{"noteIndex":0},"schema":"https://github.com/citation-style-language/schema/raw/master/csl-citation.json"}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[27]</w:t>
      </w:r>
      <w:r w:rsidRPr="004B6185">
        <w:rPr>
          <w:rFonts w:ascii="Times New Roman" w:hAnsi="Times New Roman"/>
          <w:sz w:val="20"/>
          <w:szCs w:val="20"/>
        </w:rPr>
        <w:fldChar w:fldCharType="end"/>
      </w:r>
      <w:r w:rsidRPr="004B6185">
        <w:rPr>
          <w:rFonts w:ascii="Times New Roman" w:hAnsi="Times New Roman"/>
          <w:sz w:val="20"/>
          <w:szCs w:val="20"/>
        </w:rPr>
        <w:t xml:space="preserve">. Evaluation of the performance of the method </w:t>
      </w:r>
      <w:r w:rsidRPr="004B6185">
        <w:rPr>
          <w:rFonts w:ascii="Times New Roman" w:hAnsi="Times New Roman"/>
          <w:noProof/>
          <w:sz w:val="20"/>
          <w:szCs w:val="20"/>
        </w:rPr>
        <w:t>includes</w:t>
      </w:r>
      <w:r w:rsidRPr="004B6185">
        <w:rPr>
          <w:rFonts w:ascii="Times New Roman" w:hAnsi="Times New Roman"/>
          <w:sz w:val="20"/>
          <w:szCs w:val="20"/>
        </w:rPr>
        <w:t xml:space="preserve"> linearity, accuracy, precision, recovery, matrix effect and stability.</w:t>
      </w:r>
    </w:p>
    <w:p w:rsidR="006768E9" w:rsidRPr="00F447A7" w:rsidRDefault="006768E9" w:rsidP="008C2AD5">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8C2AD5" w:rsidRPr="004B6185" w:rsidRDefault="008C2AD5" w:rsidP="008C2AD5">
      <w:pPr>
        <w:tabs>
          <w:tab w:val="left" w:pos="2674"/>
          <w:tab w:val="center" w:pos="4709"/>
        </w:tabs>
        <w:spacing w:after="0" w:line="240" w:lineRule="auto"/>
        <w:jc w:val="both"/>
        <w:rPr>
          <w:rFonts w:ascii="Times New Roman" w:hAnsi="Times New Roman"/>
          <w:b/>
          <w:bCs/>
          <w:sz w:val="20"/>
          <w:szCs w:val="20"/>
        </w:rPr>
      </w:pPr>
      <w:r w:rsidRPr="004B6185">
        <w:rPr>
          <w:rFonts w:ascii="Times New Roman" w:hAnsi="Times New Roman"/>
          <w:b/>
          <w:bCs/>
          <w:sz w:val="20"/>
          <w:szCs w:val="20"/>
        </w:rPr>
        <w:t>Materials and reagents</w:t>
      </w:r>
    </w:p>
    <w:p w:rsidR="008C2AD5" w:rsidRDefault="008C2AD5" w:rsidP="008C2AD5">
      <w:pPr>
        <w:spacing w:after="0" w:line="240" w:lineRule="auto"/>
        <w:jc w:val="both"/>
        <w:rPr>
          <w:rFonts w:ascii="Times New Roman" w:hAnsi="Times New Roman"/>
          <w:sz w:val="20"/>
          <w:szCs w:val="20"/>
        </w:rPr>
      </w:pPr>
      <w:r w:rsidRPr="004B6185">
        <w:rPr>
          <w:rFonts w:ascii="Times New Roman" w:hAnsi="Times New Roman"/>
          <w:sz w:val="20"/>
          <w:szCs w:val="20"/>
        </w:rPr>
        <w:t xml:space="preserve">Standards of cortisol (98%) and cortisone (98%) were purchased from Sigma-Aldrich Co. (St. Louis, MO, USA). Fluconazole (98%) as an internal standard (IS) was purchased from Sigma-Aldrich Co. (St. Louis, MO, USA). All the liquid chromatography grade of methanol, acetonitrile and formic acid were purchased from Merck (Darmstadt, </w:t>
      </w:r>
      <w:r w:rsidRPr="004B6185">
        <w:rPr>
          <w:rFonts w:ascii="Times New Roman" w:hAnsi="Times New Roman"/>
          <w:sz w:val="20"/>
          <w:szCs w:val="20"/>
        </w:rPr>
        <w:lastRenderedPageBreak/>
        <w:t>Germany) and water used in the experiment was purified by using an ELGA PURELAB ultra purification system (Wycombe, Buckinghamshire, UK).</w:t>
      </w:r>
    </w:p>
    <w:p w:rsidR="008C2AD5" w:rsidRDefault="008C2AD5" w:rsidP="008C2AD5">
      <w:pPr>
        <w:spacing w:after="0" w:line="240" w:lineRule="auto"/>
        <w:jc w:val="both"/>
        <w:rPr>
          <w:rFonts w:ascii="Times New Roman" w:hAnsi="Times New Roman"/>
          <w:b/>
          <w:bCs/>
          <w:sz w:val="20"/>
          <w:szCs w:val="20"/>
        </w:rPr>
      </w:pPr>
    </w:p>
    <w:p w:rsidR="008C2AD5" w:rsidRPr="004B6185" w:rsidRDefault="008C2AD5" w:rsidP="008C2AD5">
      <w:pPr>
        <w:spacing w:after="0" w:line="240" w:lineRule="auto"/>
        <w:jc w:val="both"/>
        <w:rPr>
          <w:rFonts w:ascii="Times New Roman" w:hAnsi="Times New Roman"/>
          <w:sz w:val="20"/>
          <w:szCs w:val="20"/>
        </w:rPr>
      </w:pPr>
      <w:r w:rsidRPr="004B6185">
        <w:rPr>
          <w:rFonts w:ascii="Times New Roman" w:hAnsi="Times New Roman"/>
          <w:b/>
          <w:bCs/>
          <w:sz w:val="20"/>
          <w:szCs w:val="20"/>
        </w:rPr>
        <w:t xml:space="preserve">LC-MS/MS </w:t>
      </w:r>
      <w:r>
        <w:rPr>
          <w:rFonts w:ascii="Times New Roman" w:hAnsi="Times New Roman"/>
          <w:b/>
          <w:bCs/>
          <w:sz w:val="20"/>
          <w:szCs w:val="20"/>
        </w:rPr>
        <w:t>c</w:t>
      </w:r>
      <w:r w:rsidRPr="004B6185">
        <w:rPr>
          <w:rFonts w:ascii="Times New Roman" w:hAnsi="Times New Roman"/>
          <w:b/>
          <w:bCs/>
          <w:sz w:val="20"/>
          <w:szCs w:val="20"/>
        </w:rPr>
        <w:t>haracteristics</w:t>
      </w:r>
    </w:p>
    <w:p w:rsidR="008C2AD5" w:rsidRPr="004B6185" w:rsidRDefault="008C2AD5" w:rsidP="008C2AD5">
      <w:pPr>
        <w:spacing w:after="0" w:line="240" w:lineRule="auto"/>
        <w:jc w:val="both"/>
        <w:rPr>
          <w:rFonts w:ascii="Times New Roman" w:hAnsi="Times New Roman"/>
          <w:sz w:val="20"/>
          <w:szCs w:val="20"/>
        </w:rPr>
      </w:pPr>
      <w:r w:rsidRPr="004B6185">
        <w:rPr>
          <w:rFonts w:ascii="Times New Roman" w:hAnsi="Times New Roman"/>
          <w:sz w:val="20"/>
          <w:szCs w:val="20"/>
        </w:rPr>
        <w:t>Chromatographic separation was performed using Agilent ZORBAX Eclipse Plus C</w:t>
      </w:r>
      <w:r w:rsidRPr="00FA1BDF">
        <w:rPr>
          <w:rFonts w:ascii="Times New Roman" w:hAnsi="Times New Roman"/>
          <w:sz w:val="20"/>
          <w:szCs w:val="20"/>
          <w:vertAlign w:val="subscript"/>
        </w:rPr>
        <w:t>18</w:t>
      </w:r>
      <w:r w:rsidRPr="004B6185">
        <w:rPr>
          <w:rFonts w:ascii="Times New Roman" w:hAnsi="Times New Roman"/>
          <w:sz w:val="20"/>
          <w:szCs w:val="20"/>
        </w:rPr>
        <w:t xml:space="preserve"> Rapid Resolution HD column (2.1 mm × 50 mm, 1.8 μm) and quantitation was performed on Agilent 6460 triple-quadrupole mass spectrometer equipped with auto-injector and quaternary pump. The injection volume was 2 µL and the column temperature was kept constant at 30 ºC. The mobile phases utilized used were: (A) distilled water with 0.1% formic acid and (B) methanol at a flow rate of 0.3 mL/min. The analytes were separated </w:t>
      </w:r>
      <w:r w:rsidRPr="004B6185">
        <w:rPr>
          <w:rFonts w:ascii="Times New Roman" w:hAnsi="Times New Roman"/>
          <w:noProof/>
          <w:sz w:val="20"/>
          <w:szCs w:val="20"/>
        </w:rPr>
        <w:t>by</w:t>
      </w:r>
      <w:r w:rsidRPr="004B6185">
        <w:rPr>
          <w:rFonts w:ascii="Times New Roman" w:hAnsi="Times New Roman"/>
          <w:sz w:val="20"/>
          <w:szCs w:val="20"/>
        </w:rPr>
        <w:t xml:space="preserve"> a gradient of 0 to 6 minutes with increasing percentage of solvent B from 40 to 70%. Then the solvent ratio was maintained with 70% solvent B for 30 seconds and decrease gradually from 70 to 40% of solvent B over for 1.30 minutes. The LC condition was re-equilibrated to initial condition for 2.5 minutes. The analytes were determined in positive ionization mode and quantitated by multiple-reaction-monitoring (MRM) mode. Mass spectrometry was operated in Electrospray ionization (ESI) with Agilent jet stream technology with the </w:t>
      </w:r>
      <w:r w:rsidRPr="004B6185">
        <w:rPr>
          <w:rFonts w:ascii="Times New Roman" w:hAnsi="Times New Roman"/>
          <w:noProof/>
          <w:sz w:val="20"/>
          <w:szCs w:val="20"/>
        </w:rPr>
        <w:t>optimum</w:t>
      </w:r>
      <w:r w:rsidRPr="004B6185">
        <w:rPr>
          <w:rFonts w:ascii="Times New Roman" w:hAnsi="Times New Roman"/>
          <w:sz w:val="20"/>
          <w:szCs w:val="20"/>
        </w:rPr>
        <w:t xml:space="preserve"> gas temperature at 280 ºC, gas flow at 12 L/min, nebulizer at 35 psi and capillary at 4000 V, respectively. Agilent Mass Hunter Qualitative Analysis (B.06.00) and Agilent Mass Hunter Quantitative Analysis (B.07.00) were used for the collection acquisition and analysis of the data. </w:t>
      </w:r>
    </w:p>
    <w:p w:rsidR="008C2AD5" w:rsidRPr="004B6185" w:rsidRDefault="008C2AD5" w:rsidP="008C2AD5">
      <w:pPr>
        <w:spacing w:after="0" w:line="240" w:lineRule="auto"/>
        <w:jc w:val="both"/>
        <w:rPr>
          <w:rFonts w:ascii="Times New Roman" w:hAnsi="Times New Roman"/>
          <w:sz w:val="20"/>
          <w:szCs w:val="20"/>
        </w:rPr>
      </w:pPr>
    </w:p>
    <w:p w:rsidR="008C2AD5" w:rsidRPr="004B6185" w:rsidRDefault="008C2AD5" w:rsidP="008C2AD5">
      <w:pPr>
        <w:spacing w:after="0" w:line="240" w:lineRule="auto"/>
        <w:jc w:val="both"/>
        <w:rPr>
          <w:rFonts w:ascii="Times New Roman" w:hAnsi="Times New Roman"/>
          <w:b/>
          <w:bCs/>
          <w:sz w:val="20"/>
          <w:szCs w:val="20"/>
        </w:rPr>
      </w:pPr>
      <w:r w:rsidRPr="004B6185">
        <w:rPr>
          <w:rFonts w:ascii="Times New Roman" w:hAnsi="Times New Roman"/>
          <w:b/>
          <w:bCs/>
          <w:sz w:val="20"/>
          <w:szCs w:val="20"/>
        </w:rPr>
        <w:t>Serum charcoal-stripping</w:t>
      </w:r>
    </w:p>
    <w:p w:rsidR="008C2AD5" w:rsidRPr="004B6185" w:rsidRDefault="008C2AD5" w:rsidP="008C2AD5">
      <w:pPr>
        <w:pStyle w:val="NoSpacing"/>
        <w:jc w:val="both"/>
        <w:rPr>
          <w:rFonts w:ascii="Times New Roman" w:hAnsi="Times New Roman"/>
          <w:sz w:val="20"/>
          <w:szCs w:val="20"/>
        </w:rPr>
      </w:pPr>
      <w:r w:rsidRPr="004B6185">
        <w:rPr>
          <w:rFonts w:ascii="Times New Roman" w:hAnsi="Times New Roman"/>
          <w:sz w:val="20"/>
          <w:szCs w:val="20"/>
        </w:rPr>
        <w:t>Cortisol and cortisone are present in human serum at significant levels. A blank matrix which is free of the target analyte is needed for the preparation of calibration standards and quality control samples. Charcoal-stripping of serum was intended to remove a variety of endogenous compounds, including hormones. Serum samples were obtained from 6 healthy volunteers at Integrative Pharmacogenomics Institute (iPROMISE), Universiti Teknologi MARA. The serum was charcoal-stripped using 1g of activated charcoal powder added to 10 mL of pooled serum followed by incubation for 1 hour with agitation at 55</w:t>
      </w:r>
      <w:r>
        <w:rPr>
          <w:rFonts w:ascii="Times New Roman" w:hAnsi="Times New Roman"/>
          <w:sz w:val="20"/>
          <w:szCs w:val="20"/>
        </w:rPr>
        <w:t xml:space="preserve"> </w:t>
      </w:r>
      <w:r w:rsidRPr="004B6185">
        <w:rPr>
          <w:rFonts w:ascii="Times New Roman" w:hAnsi="Times New Roman"/>
          <w:sz w:val="20"/>
          <w:szCs w:val="20"/>
        </w:rPr>
        <w:t>°C. After centrifugation at 14,000 g for 30 minutes, the supernatant was separated leaving the charcoal at the bottom and filtered using a 0.22 µm filter.</w:t>
      </w:r>
    </w:p>
    <w:p w:rsidR="008C2AD5" w:rsidRPr="004B6185" w:rsidRDefault="008C2AD5" w:rsidP="008C2AD5">
      <w:pPr>
        <w:spacing w:after="0" w:line="240" w:lineRule="auto"/>
        <w:jc w:val="both"/>
        <w:rPr>
          <w:rFonts w:ascii="Times New Roman" w:hAnsi="Times New Roman"/>
          <w:sz w:val="20"/>
          <w:szCs w:val="20"/>
        </w:rPr>
      </w:pPr>
    </w:p>
    <w:p w:rsidR="008C2AD5" w:rsidRPr="005F0E03" w:rsidRDefault="008C2AD5" w:rsidP="008C2AD5">
      <w:pPr>
        <w:spacing w:after="0" w:line="240" w:lineRule="auto"/>
        <w:jc w:val="both"/>
        <w:rPr>
          <w:rFonts w:ascii="Times New Roman" w:hAnsi="Times New Roman"/>
          <w:b/>
          <w:bCs/>
          <w:sz w:val="20"/>
          <w:szCs w:val="20"/>
        </w:rPr>
      </w:pPr>
      <w:r w:rsidRPr="004B6185">
        <w:rPr>
          <w:rFonts w:ascii="Times New Roman" w:hAnsi="Times New Roman"/>
          <w:b/>
          <w:bCs/>
          <w:sz w:val="20"/>
          <w:szCs w:val="20"/>
        </w:rPr>
        <w:t xml:space="preserve">Sample </w:t>
      </w:r>
      <w:r>
        <w:rPr>
          <w:rFonts w:ascii="Times New Roman" w:hAnsi="Times New Roman"/>
          <w:b/>
          <w:bCs/>
          <w:sz w:val="20"/>
          <w:szCs w:val="20"/>
        </w:rPr>
        <w:t>e</w:t>
      </w:r>
      <w:r w:rsidRPr="004B6185">
        <w:rPr>
          <w:rFonts w:ascii="Times New Roman" w:hAnsi="Times New Roman"/>
          <w:b/>
          <w:bCs/>
          <w:sz w:val="20"/>
          <w:szCs w:val="20"/>
        </w:rPr>
        <w:t>xtraction</w:t>
      </w:r>
    </w:p>
    <w:p w:rsidR="008C2AD5" w:rsidRPr="004B6185" w:rsidRDefault="008C2AD5" w:rsidP="008C2AD5">
      <w:pPr>
        <w:spacing w:after="0" w:line="240" w:lineRule="auto"/>
        <w:jc w:val="both"/>
        <w:rPr>
          <w:rFonts w:ascii="Times New Roman" w:hAnsi="Times New Roman"/>
          <w:sz w:val="20"/>
          <w:szCs w:val="20"/>
        </w:rPr>
      </w:pPr>
      <w:r w:rsidRPr="004B6185">
        <w:rPr>
          <w:rFonts w:ascii="Times New Roman" w:hAnsi="Times New Roman"/>
          <w:sz w:val="20"/>
          <w:szCs w:val="20"/>
        </w:rPr>
        <w:t xml:space="preserve">Sample extraction was done using a simple protein precipitation in-house method. A 100 µL of serum sample was transferred into a tube, 20 ng/mL of fluconazole as an </w:t>
      </w:r>
      <w:r w:rsidRPr="004B6185">
        <w:rPr>
          <w:rFonts w:ascii="Times New Roman" w:hAnsi="Times New Roman"/>
          <w:noProof/>
          <w:sz w:val="20"/>
          <w:szCs w:val="20"/>
        </w:rPr>
        <w:t>IS</w:t>
      </w:r>
      <w:r w:rsidRPr="004B6185">
        <w:rPr>
          <w:rFonts w:ascii="Times New Roman" w:hAnsi="Times New Roman"/>
          <w:sz w:val="20"/>
          <w:szCs w:val="20"/>
        </w:rPr>
        <w:t xml:space="preserve"> was added followed by 400 µL of ice-cold acetonitrile. The tube was vortexed to mix for 30 seconds and centrifuged at 4,100 rpm for 15 minutes at room temperature. The supernatant was transferred </w:t>
      </w:r>
      <w:r w:rsidRPr="004B6185">
        <w:rPr>
          <w:rFonts w:ascii="Times New Roman" w:hAnsi="Times New Roman"/>
          <w:noProof/>
          <w:sz w:val="20"/>
          <w:szCs w:val="20"/>
        </w:rPr>
        <w:t>to</w:t>
      </w:r>
      <w:r w:rsidRPr="004B6185">
        <w:rPr>
          <w:rFonts w:ascii="Times New Roman" w:hAnsi="Times New Roman"/>
          <w:sz w:val="20"/>
          <w:szCs w:val="20"/>
        </w:rPr>
        <w:t xml:space="preserve"> a clean glass tube and evaporated to dryness using concentrator (5301, </w:t>
      </w:r>
      <w:r w:rsidRPr="004B6185">
        <w:rPr>
          <w:rFonts w:ascii="Times New Roman" w:hAnsi="Times New Roman"/>
          <w:noProof/>
          <w:sz w:val="20"/>
          <w:szCs w:val="20"/>
        </w:rPr>
        <w:t>Eppendorf</w:t>
      </w:r>
      <w:r w:rsidRPr="004B6185">
        <w:rPr>
          <w:rFonts w:ascii="Times New Roman" w:hAnsi="Times New Roman"/>
          <w:sz w:val="20"/>
          <w:szCs w:val="20"/>
        </w:rPr>
        <w:t>, Hamburg).  The dried sample was reconstituted with 50 µ</w:t>
      </w:r>
      <w:r>
        <w:rPr>
          <w:rFonts w:ascii="Times New Roman" w:hAnsi="Times New Roman"/>
          <w:sz w:val="20"/>
          <w:szCs w:val="20"/>
        </w:rPr>
        <w:t>L</w:t>
      </w:r>
      <w:r w:rsidRPr="004B6185">
        <w:rPr>
          <w:rFonts w:ascii="Times New Roman" w:hAnsi="Times New Roman"/>
          <w:sz w:val="20"/>
          <w:szCs w:val="20"/>
        </w:rPr>
        <w:t xml:space="preserve"> of methanol: water (1:1) followed by </w:t>
      </w:r>
      <w:r w:rsidRPr="004B6185">
        <w:rPr>
          <w:rFonts w:ascii="Times New Roman" w:hAnsi="Times New Roman"/>
          <w:noProof/>
          <w:sz w:val="20"/>
          <w:szCs w:val="20"/>
        </w:rPr>
        <w:t>30 seconds</w:t>
      </w:r>
      <w:r w:rsidRPr="004B6185">
        <w:rPr>
          <w:rFonts w:ascii="Times New Roman" w:hAnsi="Times New Roman"/>
          <w:sz w:val="20"/>
          <w:szCs w:val="20"/>
        </w:rPr>
        <w:t xml:space="preserve"> vortex mixing, which was then transferred to screw-capped injection vial.</w:t>
      </w:r>
    </w:p>
    <w:p w:rsidR="008C2AD5" w:rsidRPr="004B6185" w:rsidRDefault="008C2AD5" w:rsidP="008C2AD5">
      <w:pPr>
        <w:spacing w:after="0" w:line="240" w:lineRule="auto"/>
        <w:jc w:val="both"/>
        <w:rPr>
          <w:rFonts w:ascii="Times New Roman" w:hAnsi="Times New Roman"/>
          <w:sz w:val="20"/>
          <w:szCs w:val="20"/>
        </w:rPr>
      </w:pPr>
    </w:p>
    <w:p w:rsidR="008C2AD5" w:rsidRPr="005F0E03" w:rsidRDefault="008C2AD5" w:rsidP="008C2AD5">
      <w:pPr>
        <w:spacing w:after="0" w:line="240" w:lineRule="auto"/>
        <w:jc w:val="both"/>
        <w:rPr>
          <w:rFonts w:ascii="Times New Roman" w:hAnsi="Times New Roman"/>
          <w:b/>
          <w:bCs/>
          <w:sz w:val="20"/>
          <w:szCs w:val="20"/>
        </w:rPr>
      </w:pPr>
      <w:r w:rsidRPr="004B6185">
        <w:rPr>
          <w:rFonts w:ascii="Times New Roman" w:hAnsi="Times New Roman"/>
          <w:b/>
          <w:bCs/>
          <w:sz w:val="20"/>
          <w:szCs w:val="20"/>
        </w:rPr>
        <w:t>Validation</w:t>
      </w:r>
    </w:p>
    <w:p w:rsidR="008C2AD5" w:rsidRPr="004B6185" w:rsidRDefault="008C2AD5" w:rsidP="008C2AD5">
      <w:pPr>
        <w:spacing w:after="0" w:line="240" w:lineRule="auto"/>
        <w:jc w:val="both"/>
        <w:rPr>
          <w:rFonts w:ascii="Times New Roman" w:hAnsi="Times New Roman"/>
          <w:sz w:val="20"/>
          <w:szCs w:val="20"/>
        </w:rPr>
      </w:pPr>
      <w:r w:rsidRPr="004B6185">
        <w:rPr>
          <w:rFonts w:ascii="Times New Roman" w:hAnsi="Times New Roman"/>
          <w:sz w:val="20"/>
          <w:szCs w:val="20"/>
        </w:rPr>
        <w:t xml:space="preserve">The proposed method was validated in accordance </w:t>
      </w:r>
      <w:r w:rsidRPr="004B6185">
        <w:rPr>
          <w:rFonts w:ascii="Times New Roman" w:hAnsi="Times New Roman"/>
          <w:noProof/>
          <w:sz w:val="20"/>
          <w:szCs w:val="20"/>
        </w:rPr>
        <w:t>with</w:t>
      </w:r>
      <w:r w:rsidRPr="004B6185">
        <w:rPr>
          <w:rFonts w:ascii="Times New Roman" w:hAnsi="Times New Roman"/>
          <w:sz w:val="20"/>
          <w:szCs w:val="20"/>
        </w:rPr>
        <w:t xml:space="preserve"> the European Medicines Agency (EMA). The linearity, accuracy, precision, recovery, matrix effect and stability of the method were evaluated. The calibration curves were prepared using charcoal-stripped blank serum spiked with both reference materials using 2-fold serial dilution from 500 ng/mL to 7.8 ng/mL. Each concentration point level was prepared and assayed in triplicates on 3 different days. The linearity was evaluated by analysing the slope, intercept and correlation coefficient, weight (1/x</w:t>
      </w:r>
      <w:r w:rsidRPr="00FA1BDF">
        <w:rPr>
          <w:rFonts w:ascii="Times New Roman" w:hAnsi="Times New Roman"/>
          <w:sz w:val="20"/>
          <w:szCs w:val="20"/>
          <w:vertAlign w:val="superscript"/>
        </w:rPr>
        <w:t>2</w:t>
      </w:r>
      <w:r w:rsidRPr="004B6185">
        <w:rPr>
          <w:rFonts w:ascii="Times New Roman" w:hAnsi="Times New Roman"/>
          <w:sz w:val="20"/>
          <w:szCs w:val="20"/>
        </w:rPr>
        <w:t xml:space="preserve">) linear least-squares regression. Intra-day and inter-day precision and accuracy were done by analysing three replicates samples spiked with both reference material at low, medium and high concentration level (20, 200 and 400 ng/mL) on the same day and on 3 different days for inter-day validation. The accuracy was evaluated by comparing the measured concentration with the true value and the precision was expressed as the relative standard deviation percentage (RSD%). </w:t>
      </w:r>
    </w:p>
    <w:p w:rsidR="008C2AD5" w:rsidRPr="004B6185" w:rsidRDefault="008C2AD5" w:rsidP="008C2AD5">
      <w:pPr>
        <w:spacing w:after="0" w:line="240" w:lineRule="auto"/>
        <w:jc w:val="both"/>
        <w:rPr>
          <w:rFonts w:ascii="Times New Roman" w:hAnsi="Times New Roman"/>
          <w:sz w:val="20"/>
          <w:szCs w:val="20"/>
        </w:rPr>
      </w:pPr>
    </w:p>
    <w:p w:rsidR="008C2AD5" w:rsidRPr="004B6185" w:rsidRDefault="008C2AD5" w:rsidP="008C2AD5">
      <w:pPr>
        <w:spacing w:after="0" w:line="240" w:lineRule="auto"/>
        <w:jc w:val="both"/>
        <w:rPr>
          <w:rFonts w:ascii="Times New Roman" w:hAnsi="Times New Roman"/>
          <w:b/>
          <w:bCs/>
          <w:sz w:val="20"/>
          <w:szCs w:val="20"/>
        </w:rPr>
      </w:pPr>
      <w:r w:rsidRPr="004B6185">
        <w:rPr>
          <w:rFonts w:ascii="Times New Roman" w:hAnsi="Times New Roman"/>
          <w:sz w:val="20"/>
          <w:szCs w:val="20"/>
        </w:rPr>
        <w:t xml:space="preserve">The extraction recovery was determined by comparing the peak areas from serum spiked before extraction with those spiked after extraction. The matrix effect was determined using the ratio of peak areas of the blank serum spiked after extraction with those of pure standard solution containing the same amount of the analyte. Then the coefficient variation of the IS-normalised matrix effect was assessed by dividing the matrix effect of the analyte by the matrix effect of the IS. The stability of the analytes in serum was assessed by analysing the spiked serum samples and kept at room temperature for 24 hours, in </w:t>
      </w:r>
      <w:r w:rsidRPr="004B6185">
        <w:rPr>
          <w:rFonts w:ascii="Times New Roman" w:hAnsi="Times New Roman"/>
          <w:noProof/>
          <w:sz w:val="20"/>
          <w:szCs w:val="20"/>
        </w:rPr>
        <w:t>autosampler</w:t>
      </w:r>
      <w:r w:rsidRPr="004B6185">
        <w:rPr>
          <w:rFonts w:ascii="Times New Roman" w:hAnsi="Times New Roman"/>
          <w:sz w:val="20"/>
          <w:szCs w:val="20"/>
        </w:rPr>
        <w:t xml:space="preserve"> at 10</w:t>
      </w:r>
      <w:r>
        <w:rPr>
          <w:rFonts w:ascii="Times New Roman" w:hAnsi="Times New Roman"/>
          <w:sz w:val="20"/>
          <w:szCs w:val="20"/>
        </w:rPr>
        <w:t xml:space="preserve"> </w:t>
      </w:r>
      <w:r w:rsidRPr="004B6185">
        <w:rPr>
          <w:rFonts w:ascii="Times New Roman" w:hAnsi="Times New Roman"/>
          <w:sz w:val="20"/>
          <w:szCs w:val="20"/>
        </w:rPr>
        <w:t>ºC for overnight and three times freeze-</w:t>
      </w:r>
      <w:r w:rsidRPr="004B6185">
        <w:rPr>
          <w:rFonts w:ascii="Times New Roman" w:hAnsi="Times New Roman"/>
          <w:sz w:val="20"/>
          <w:szCs w:val="20"/>
        </w:rPr>
        <w:lastRenderedPageBreak/>
        <w:t>thaw cycles at -80</w:t>
      </w:r>
      <w:r>
        <w:rPr>
          <w:rFonts w:ascii="Times New Roman" w:hAnsi="Times New Roman"/>
          <w:sz w:val="20"/>
          <w:szCs w:val="20"/>
        </w:rPr>
        <w:t xml:space="preserve"> </w:t>
      </w:r>
      <w:r w:rsidRPr="004B6185">
        <w:rPr>
          <w:rFonts w:ascii="Times New Roman" w:hAnsi="Times New Roman"/>
          <w:sz w:val="20"/>
          <w:szCs w:val="20"/>
        </w:rPr>
        <w:t>ºC</w:t>
      </w:r>
      <w:r w:rsidRPr="004B6185">
        <w:rPr>
          <w:rFonts w:ascii="Times New Roman" w:hAnsi="Times New Roman"/>
        </w:rPr>
        <w:t xml:space="preserve"> </w:t>
      </w:r>
      <w:r w:rsidRPr="004B6185">
        <w:rPr>
          <w:rFonts w:ascii="Times New Roman" w:hAnsi="Times New Roman"/>
          <w:sz w:val="20"/>
          <w:szCs w:val="20"/>
        </w:rPr>
        <w:t>and compare</w:t>
      </w:r>
      <w:r w:rsidRPr="004B6185">
        <w:rPr>
          <w:rFonts w:ascii="Times New Roman" w:hAnsi="Times New Roman"/>
        </w:rPr>
        <w:t xml:space="preserve"> </w:t>
      </w:r>
      <w:r w:rsidRPr="004B6185">
        <w:rPr>
          <w:rFonts w:ascii="Times New Roman" w:hAnsi="Times New Roman"/>
          <w:sz w:val="20"/>
          <w:szCs w:val="20"/>
        </w:rPr>
        <w:t xml:space="preserve">to </w:t>
      </w:r>
      <w:r w:rsidRPr="004B6185">
        <w:rPr>
          <w:rFonts w:ascii="Times New Roman" w:hAnsi="Times New Roman"/>
          <w:noProof/>
          <w:sz w:val="20"/>
          <w:szCs w:val="20"/>
        </w:rPr>
        <w:t>a freshly prepared QC sample</w:t>
      </w:r>
      <w:r w:rsidRPr="004B6185">
        <w:rPr>
          <w:rFonts w:ascii="Times New Roman" w:hAnsi="Times New Roman"/>
          <w:sz w:val="20"/>
          <w:szCs w:val="20"/>
        </w:rPr>
        <w:t>. Three replicates were analysed for each storage condition at low, medium and high concentrations (20, 200 and 400 ng/mL)</w:t>
      </w:r>
      <w:r w:rsidRPr="005F0E03">
        <w:rPr>
          <w:rFonts w:ascii="Times New Roman" w:hAnsi="Times New Roman"/>
          <w:bCs/>
          <w:sz w:val="20"/>
          <w:szCs w:val="20"/>
        </w:rPr>
        <w:t>.</w:t>
      </w:r>
    </w:p>
    <w:p w:rsidR="006768E9" w:rsidRPr="00F447A7" w:rsidRDefault="006768E9" w:rsidP="008C2AD5">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8C2AD5" w:rsidRPr="004B6185" w:rsidRDefault="008C2AD5" w:rsidP="008C2AD5">
      <w:pPr>
        <w:spacing w:after="0" w:line="240" w:lineRule="auto"/>
        <w:jc w:val="both"/>
        <w:rPr>
          <w:rFonts w:ascii="Times New Roman" w:hAnsi="Times New Roman"/>
          <w:sz w:val="20"/>
          <w:szCs w:val="20"/>
        </w:rPr>
      </w:pPr>
      <w:r w:rsidRPr="004B6185">
        <w:rPr>
          <w:rFonts w:ascii="Times New Roman" w:hAnsi="Times New Roman"/>
          <w:noProof/>
          <w:sz w:val="20"/>
          <w:szCs w:val="20"/>
        </w:rPr>
        <w:t>An LC-MS</w:t>
      </w:r>
      <w:r w:rsidRPr="004B6185">
        <w:rPr>
          <w:rFonts w:ascii="Times New Roman" w:hAnsi="Times New Roman"/>
          <w:sz w:val="20"/>
          <w:szCs w:val="20"/>
        </w:rPr>
        <w:t>/MS method for simultaneous quantitation of cortisol and cortisone concentration in human serum</w:t>
      </w:r>
      <w:r w:rsidRPr="004B6185">
        <w:rPr>
          <w:rFonts w:ascii="Times New Roman" w:hAnsi="Times New Roman"/>
        </w:rPr>
        <w:t xml:space="preserve"> </w:t>
      </w:r>
      <w:r w:rsidRPr="004B6185">
        <w:rPr>
          <w:rFonts w:ascii="Times New Roman" w:hAnsi="Times New Roman"/>
          <w:sz w:val="20"/>
          <w:szCs w:val="20"/>
        </w:rPr>
        <w:t xml:space="preserve">was developed and validated. Collision-induced dissociation was performed to produce two </w:t>
      </w:r>
      <w:r w:rsidRPr="004B6185">
        <w:rPr>
          <w:rFonts w:ascii="Times New Roman" w:hAnsi="Times New Roman"/>
          <w:noProof/>
          <w:sz w:val="20"/>
          <w:szCs w:val="20"/>
        </w:rPr>
        <w:t>product ions</w:t>
      </w:r>
      <w:r w:rsidRPr="004B6185">
        <w:rPr>
          <w:rFonts w:ascii="Times New Roman" w:hAnsi="Times New Roman"/>
          <w:sz w:val="20"/>
          <w:szCs w:val="20"/>
        </w:rPr>
        <w:t xml:space="preserve"> that act as quantifier and qualifier. Quantifier and qualifier transitions used are described in Table 1.</w:t>
      </w:r>
    </w:p>
    <w:p w:rsidR="008C2AD5" w:rsidRPr="004B6185" w:rsidRDefault="008C2AD5" w:rsidP="001106F7">
      <w:pPr>
        <w:spacing w:after="120" w:line="240" w:lineRule="auto"/>
        <w:jc w:val="both"/>
        <w:rPr>
          <w:rFonts w:ascii="Times New Roman" w:hAnsi="Times New Roman"/>
          <w:sz w:val="20"/>
          <w:szCs w:val="20"/>
        </w:rPr>
      </w:pPr>
    </w:p>
    <w:p w:rsidR="008C2AD5" w:rsidRPr="004B6185" w:rsidRDefault="008C2AD5" w:rsidP="008C2AD5">
      <w:pPr>
        <w:spacing w:after="0" w:line="240" w:lineRule="auto"/>
        <w:jc w:val="center"/>
        <w:rPr>
          <w:rFonts w:ascii="Times New Roman" w:hAnsi="Times New Roman"/>
          <w:sz w:val="20"/>
          <w:szCs w:val="20"/>
        </w:rPr>
      </w:pPr>
      <w:r w:rsidRPr="004B6185">
        <w:rPr>
          <w:rFonts w:ascii="Times New Roman" w:hAnsi="Times New Roman"/>
          <w:sz w:val="20"/>
          <w:szCs w:val="20"/>
        </w:rPr>
        <w:t xml:space="preserve">Table 1. </w:t>
      </w:r>
      <w:r w:rsidR="001106F7">
        <w:rPr>
          <w:rFonts w:ascii="Times New Roman" w:hAnsi="Times New Roman"/>
          <w:sz w:val="20"/>
          <w:szCs w:val="20"/>
        </w:rPr>
        <w:t xml:space="preserve"> </w:t>
      </w:r>
      <w:r w:rsidRPr="004B6185">
        <w:rPr>
          <w:rFonts w:ascii="Times New Roman" w:hAnsi="Times New Roman"/>
          <w:sz w:val="20"/>
          <w:szCs w:val="20"/>
        </w:rPr>
        <w:t>Quantifier and qualifier transition</w:t>
      </w:r>
    </w:p>
    <w:tbl>
      <w:tblPr>
        <w:tblpPr w:leftFromText="180" w:rightFromText="180" w:vertAnchor="text" w:horzAnchor="margin" w:tblpXSpec="center" w:tblpY="137"/>
        <w:tblW w:w="5698" w:type="dxa"/>
        <w:tblBorders>
          <w:top w:val="single" w:sz="4" w:space="0" w:color="7F7F7F"/>
          <w:bottom w:val="single" w:sz="4" w:space="0" w:color="7F7F7F"/>
        </w:tblBorders>
        <w:tblLook w:val="04A0" w:firstRow="1" w:lastRow="0" w:firstColumn="1" w:lastColumn="0" w:noHBand="0" w:noVBand="1"/>
      </w:tblPr>
      <w:tblGrid>
        <w:gridCol w:w="2020"/>
        <w:gridCol w:w="1918"/>
        <w:gridCol w:w="1760"/>
      </w:tblGrid>
      <w:tr w:rsidR="001106F7" w:rsidRPr="004B6185" w:rsidTr="001106F7">
        <w:trPr>
          <w:trHeight w:val="350"/>
        </w:trPr>
        <w:tc>
          <w:tcPr>
            <w:tcW w:w="0" w:type="auto"/>
            <w:tcBorders>
              <w:top w:val="single" w:sz="4" w:space="0" w:color="auto"/>
              <w:bottom w:val="single" w:sz="4" w:space="0" w:color="auto"/>
            </w:tcBorders>
            <w:shd w:val="clear" w:color="auto" w:fill="auto"/>
            <w:vAlign w:val="center"/>
          </w:tcPr>
          <w:p w:rsidR="001106F7" w:rsidRPr="004B6185" w:rsidRDefault="001106F7" w:rsidP="001106F7">
            <w:pPr>
              <w:spacing w:before="60" w:after="60" w:line="240" w:lineRule="auto"/>
              <w:rPr>
                <w:rFonts w:ascii="Times New Roman" w:hAnsi="Times New Roman"/>
                <w:b/>
                <w:bCs/>
                <w:sz w:val="20"/>
                <w:szCs w:val="20"/>
              </w:rPr>
            </w:pPr>
            <w:r w:rsidRPr="004B6185">
              <w:rPr>
                <w:rFonts w:ascii="Times New Roman" w:hAnsi="Times New Roman"/>
                <w:b/>
                <w:bCs/>
                <w:sz w:val="20"/>
                <w:szCs w:val="20"/>
              </w:rPr>
              <w:t>Compound</w:t>
            </w:r>
          </w:p>
        </w:tc>
        <w:tc>
          <w:tcPr>
            <w:tcW w:w="0" w:type="auto"/>
            <w:tcBorders>
              <w:top w:val="single" w:sz="4" w:space="0" w:color="auto"/>
              <w:bottom w:val="single" w:sz="4" w:space="0" w:color="auto"/>
            </w:tcBorders>
            <w:shd w:val="clear" w:color="auto" w:fill="auto"/>
            <w:vAlign w:val="center"/>
          </w:tcPr>
          <w:p w:rsidR="001106F7" w:rsidRPr="004B6185" w:rsidRDefault="001106F7" w:rsidP="001106F7">
            <w:pPr>
              <w:spacing w:before="60" w:after="60" w:line="240" w:lineRule="auto"/>
              <w:jc w:val="center"/>
              <w:rPr>
                <w:rFonts w:ascii="Times New Roman" w:hAnsi="Times New Roman"/>
                <w:b/>
                <w:bCs/>
                <w:sz w:val="20"/>
                <w:szCs w:val="20"/>
              </w:rPr>
            </w:pPr>
            <w:r w:rsidRPr="004B6185">
              <w:rPr>
                <w:rFonts w:ascii="Times New Roman" w:hAnsi="Times New Roman"/>
                <w:b/>
                <w:bCs/>
                <w:sz w:val="20"/>
                <w:szCs w:val="20"/>
              </w:rPr>
              <w:t>Quantifier m/z</w:t>
            </w:r>
          </w:p>
        </w:tc>
        <w:tc>
          <w:tcPr>
            <w:tcW w:w="0" w:type="auto"/>
            <w:tcBorders>
              <w:top w:val="single" w:sz="4" w:space="0" w:color="auto"/>
              <w:bottom w:val="single" w:sz="4" w:space="0" w:color="auto"/>
            </w:tcBorders>
            <w:shd w:val="clear" w:color="auto" w:fill="auto"/>
            <w:vAlign w:val="center"/>
          </w:tcPr>
          <w:p w:rsidR="001106F7" w:rsidRPr="004B6185" w:rsidRDefault="001106F7" w:rsidP="001106F7">
            <w:pPr>
              <w:spacing w:before="60" w:after="60" w:line="240" w:lineRule="auto"/>
              <w:jc w:val="center"/>
              <w:rPr>
                <w:rFonts w:ascii="Times New Roman" w:hAnsi="Times New Roman"/>
                <w:b/>
                <w:bCs/>
                <w:sz w:val="20"/>
                <w:szCs w:val="20"/>
              </w:rPr>
            </w:pPr>
            <w:r w:rsidRPr="004B6185">
              <w:rPr>
                <w:rFonts w:ascii="Times New Roman" w:hAnsi="Times New Roman"/>
                <w:b/>
                <w:bCs/>
                <w:sz w:val="20"/>
                <w:szCs w:val="20"/>
              </w:rPr>
              <w:t>Qualifier m/z</w:t>
            </w:r>
          </w:p>
        </w:tc>
      </w:tr>
      <w:tr w:rsidR="001106F7" w:rsidRPr="004B6185" w:rsidTr="001106F7">
        <w:trPr>
          <w:trHeight w:val="53"/>
        </w:trPr>
        <w:tc>
          <w:tcPr>
            <w:tcW w:w="0" w:type="auto"/>
            <w:tcBorders>
              <w:top w:val="single" w:sz="4" w:space="0" w:color="auto"/>
              <w:bottom w:val="nil"/>
            </w:tcBorders>
            <w:shd w:val="clear" w:color="auto" w:fill="auto"/>
            <w:vAlign w:val="center"/>
          </w:tcPr>
          <w:p w:rsidR="001106F7" w:rsidRPr="004B6185" w:rsidRDefault="001106F7" w:rsidP="001106F7">
            <w:pPr>
              <w:spacing w:before="60" w:after="0" w:line="240" w:lineRule="auto"/>
              <w:rPr>
                <w:rFonts w:ascii="Times New Roman" w:hAnsi="Times New Roman"/>
                <w:sz w:val="20"/>
                <w:szCs w:val="20"/>
              </w:rPr>
            </w:pPr>
            <w:r w:rsidRPr="004B6185">
              <w:rPr>
                <w:rFonts w:ascii="Times New Roman" w:hAnsi="Times New Roman"/>
                <w:sz w:val="20"/>
                <w:szCs w:val="20"/>
              </w:rPr>
              <w:t>Cortisol</w:t>
            </w:r>
          </w:p>
        </w:tc>
        <w:tc>
          <w:tcPr>
            <w:tcW w:w="0" w:type="auto"/>
            <w:tcBorders>
              <w:top w:val="single" w:sz="4" w:space="0" w:color="auto"/>
              <w:bottom w:val="nil"/>
            </w:tcBorders>
            <w:shd w:val="clear" w:color="auto" w:fill="auto"/>
            <w:vAlign w:val="center"/>
          </w:tcPr>
          <w:p w:rsidR="001106F7" w:rsidRPr="004B6185" w:rsidRDefault="001106F7" w:rsidP="001106F7">
            <w:pPr>
              <w:spacing w:before="60" w:after="0" w:line="240" w:lineRule="auto"/>
              <w:jc w:val="center"/>
              <w:rPr>
                <w:rFonts w:ascii="Times New Roman" w:hAnsi="Times New Roman"/>
                <w:sz w:val="20"/>
                <w:szCs w:val="20"/>
              </w:rPr>
            </w:pPr>
            <w:r w:rsidRPr="004B6185">
              <w:rPr>
                <w:rFonts w:ascii="Times New Roman" w:hAnsi="Times New Roman"/>
                <w:sz w:val="20"/>
                <w:szCs w:val="20"/>
              </w:rPr>
              <w:t>363.2&gt;121.1</w:t>
            </w:r>
          </w:p>
        </w:tc>
        <w:tc>
          <w:tcPr>
            <w:tcW w:w="0" w:type="auto"/>
            <w:tcBorders>
              <w:top w:val="single" w:sz="4" w:space="0" w:color="auto"/>
              <w:bottom w:val="nil"/>
            </w:tcBorders>
            <w:shd w:val="clear" w:color="auto" w:fill="auto"/>
            <w:vAlign w:val="center"/>
          </w:tcPr>
          <w:p w:rsidR="001106F7" w:rsidRPr="004B6185" w:rsidRDefault="001106F7" w:rsidP="001106F7">
            <w:pPr>
              <w:spacing w:before="60" w:after="0" w:line="240" w:lineRule="auto"/>
              <w:jc w:val="center"/>
              <w:rPr>
                <w:rFonts w:ascii="Times New Roman" w:hAnsi="Times New Roman"/>
                <w:sz w:val="20"/>
                <w:szCs w:val="20"/>
              </w:rPr>
            </w:pPr>
            <w:r w:rsidRPr="004B6185">
              <w:rPr>
                <w:rFonts w:ascii="Times New Roman" w:hAnsi="Times New Roman"/>
                <w:sz w:val="20"/>
                <w:szCs w:val="20"/>
              </w:rPr>
              <w:t>363.2&gt;91.1</w:t>
            </w:r>
          </w:p>
        </w:tc>
      </w:tr>
      <w:tr w:rsidR="001106F7" w:rsidRPr="004B6185" w:rsidTr="001106F7">
        <w:trPr>
          <w:trHeight w:val="63"/>
        </w:trPr>
        <w:tc>
          <w:tcPr>
            <w:tcW w:w="0" w:type="auto"/>
            <w:tcBorders>
              <w:top w:val="nil"/>
              <w:bottom w:val="nil"/>
            </w:tcBorders>
            <w:shd w:val="clear" w:color="auto" w:fill="auto"/>
            <w:vAlign w:val="center"/>
          </w:tcPr>
          <w:p w:rsidR="001106F7" w:rsidRPr="004B6185" w:rsidRDefault="001106F7" w:rsidP="001106F7">
            <w:pPr>
              <w:spacing w:before="60" w:after="0" w:line="240" w:lineRule="auto"/>
              <w:rPr>
                <w:rFonts w:ascii="Times New Roman" w:hAnsi="Times New Roman"/>
                <w:sz w:val="20"/>
                <w:szCs w:val="20"/>
              </w:rPr>
            </w:pPr>
            <w:r w:rsidRPr="004B6185">
              <w:rPr>
                <w:rFonts w:ascii="Times New Roman" w:hAnsi="Times New Roman"/>
                <w:sz w:val="20"/>
                <w:szCs w:val="20"/>
              </w:rPr>
              <w:t>Cortisone</w:t>
            </w:r>
          </w:p>
        </w:tc>
        <w:tc>
          <w:tcPr>
            <w:tcW w:w="0" w:type="auto"/>
            <w:tcBorders>
              <w:top w:val="nil"/>
              <w:bottom w:val="nil"/>
            </w:tcBorders>
            <w:shd w:val="clear" w:color="auto" w:fill="auto"/>
            <w:vAlign w:val="center"/>
          </w:tcPr>
          <w:p w:rsidR="001106F7" w:rsidRPr="004B6185" w:rsidRDefault="001106F7" w:rsidP="001106F7">
            <w:pPr>
              <w:spacing w:before="60" w:after="0" w:line="240" w:lineRule="auto"/>
              <w:jc w:val="center"/>
              <w:rPr>
                <w:rFonts w:ascii="Times New Roman" w:hAnsi="Times New Roman"/>
                <w:sz w:val="20"/>
                <w:szCs w:val="20"/>
              </w:rPr>
            </w:pPr>
            <w:r w:rsidRPr="004B6185">
              <w:rPr>
                <w:rFonts w:ascii="Times New Roman" w:hAnsi="Times New Roman"/>
                <w:sz w:val="20"/>
                <w:szCs w:val="20"/>
              </w:rPr>
              <w:t>361.2&gt;163.1</w:t>
            </w:r>
          </w:p>
        </w:tc>
        <w:tc>
          <w:tcPr>
            <w:tcW w:w="0" w:type="auto"/>
            <w:tcBorders>
              <w:top w:val="nil"/>
              <w:bottom w:val="nil"/>
            </w:tcBorders>
            <w:shd w:val="clear" w:color="auto" w:fill="auto"/>
            <w:vAlign w:val="center"/>
          </w:tcPr>
          <w:p w:rsidR="001106F7" w:rsidRPr="004B6185" w:rsidRDefault="001106F7" w:rsidP="001106F7">
            <w:pPr>
              <w:spacing w:before="60" w:after="0" w:line="240" w:lineRule="auto"/>
              <w:jc w:val="center"/>
              <w:rPr>
                <w:rFonts w:ascii="Times New Roman" w:hAnsi="Times New Roman"/>
                <w:sz w:val="20"/>
                <w:szCs w:val="20"/>
              </w:rPr>
            </w:pPr>
            <w:r w:rsidRPr="004B6185">
              <w:rPr>
                <w:rFonts w:ascii="Times New Roman" w:hAnsi="Times New Roman"/>
                <w:sz w:val="20"/>
                <w:szCs w:val="20"/>
              </w:rPr>
              <w:t>361.2&gt;121.1</w:t>
            </w:r>
          </w:p>
        </w:tc>
      </w:tr>
      <w:tr w:rsidR="001106F7" w:rsidRPr="004B6185" w:rsidTr="001106F7">
        <w:trPr>
          <w:trHeight w:val="63"/>
        </w:trPr>
        <w:tc>
          <w:tcPr>
            <w:tcW w:w="0" w:type="auto"/>
            <w:tcBorders>
              <w:top w:val="nil"/>
              <w:bottom w:val="single" w:sz="4" w:space="0" w:color="auto"/>
            </w:tcBorders>
            <w:shd w:val="clear" w:color="auto" w:fill="auto"/>
            <w:vAlign w:val="center"/>
          </w:tcPr>
          <w:p w:rsidR="001106F7" w:rsidRPr="004B6185" w:rsidRDefault="001106F7" w:rsidP="001106F7">
            <w:pPr>
              <w:spacing w:before="60" w:after="60" w:line="240" w:lineRule="auto"/>
              <w:rPr>
                <w:rFonts w:ascii="Times New Roman" w:hAnsi="Times New Roman"/>
                <w:sz w:val="20"/>
                <w:szCs w:val="20"/>
              </w:rPr>
            </w:pPr>
            <w:r w:rsidRPr="004B6185">
              <w:rPr>
                <w:rFonts w:ascii="Times New Roman" w:hAnsi="Times New Roman"/>
                <w:sz w:val="20"/>
                <w:szCs w:val="20"/>
              </w:rPr>
              <w:t>Fluconazole (IS)</w:t>
            </w:r>
          </w:p>
        </w:tc>
        <w:tc>
          <w:tcPr>
            <w:tcW w:w="0" w:type="auto"/>
            <w:tcBorders>
              <w:top w:val="nil"/>
              <w:bottom w:val="single" w:sz="4" w:space="0" w:color="auto"/>
            </w:tcBorders>
            <w:shd w:val="clear" w:color="auto" w:fill="auto"/>
            <w:vAlign w:val="center"/>
          </w:tcPr>
          <w:p w:rsidR="001106F7" w:rsidRPr="004B6185" w:rsidRDefault="001106F7" w:rsidP="001106F7">
            <w:pPr>
              <w:spacing w:before="60" w:after="60" w:line="240" w:lineRule="auto"/>
              <w:jc w:val="center"/>
              <w:rPr>
                <w:rFonts w:ascii="Times New Roman" w:hAnsi="Times New Roman"/>
                <w:sz w:val="20"/>
                <w:szCs w:val="20"/>
              </w:rPr>
            </w:pPr>
            <w:r w:rsidRPr="004B6185">
              <w:rPr>
                <w:rFonts w:ascii="Times New Roman" w:hAnsi="Times New Roman"/>
                <w:sz w:val="20"/>
                <w:szCs w:val="20"/>
              </w:rPr>
              <w:t>307.1&gt;238.1</w:t>
            </w:r>
          </w:p>
        </w:tc>
        <w:tc>
          <w:tcPr>
            <w:tcW w:w="0" w:type="auto"/>
            <w:tcBorders>
              <w:top w:val="nil"/>
              <w:bottom w:val="single" w:sz="4" w:space="0" w:color="auto"/>
            </w:tcBorders>
            <w:shd w:val="clear" w:color="auto" w:fill="auto"/>
            <w:vAlign w:val="center"/>
          </w:tcPr>
          <w:p w:rsidR="001106F7" w:rsidRPr="004B6185" w:rsidRDefault="001106F7" w:rsidP="001106F7">
            <w:pPr>
              <w:spacing w:before="60" w:after="60" w:line="240" w:lineRule="auto"/>
              <w:jc w:val="center"/>
              <w:rPr>
                <w:rFonts w:ascii="Times New Roman" w:hAnsi="Times New Roman"/>
                <w:sz w:val="20"/>
                <w:szCs w:val="20"/>
              </w:rPr>
            </w:pPr>
            <w:r w:rsidRPr="004B6185">
              <w:rPr>
                <w:rFonts w:ascii="Times New Roman" w:hAnsi="Times New Roman"/>
                <w:sz w:val="20"/>
                <w:szCs w:val="20"/>
              </w:rPr>
              <w:t>307.1&gt;220.0</w:t>
            </w:r>
          </w:p>
        </w:tc>
      </w:tr>
    </w:tbl>
    <w:p w:rsidR="008C2AD5" w:rsidRPr="004B6185" w:rsidRDefault="008C2AD5" w:rsidP="008C2AD5">
      <w:pPr>
        <w:spacing w:after="0" w:line="240" w:lineRule="auto"/>
        <w:rPr>
          <w:rFonts w:ascii="Times New Roman" w:hAnsi="Times New Roman"/>
          <w:sz w:val="20"/>
          <w:szCs w:val="20"/>
        </w:rPr>
      </w:pPr>
    </w:p>
    <w:p w:rsidR="008C2AD5" w:rsidRPr="004B6185" w:rsidRDefault="008C2AD5" w:rsidP="008C2AD5">
      <w:pPr>
        <w:spacing w:after="0" w:line="240" w:lineRule="auto"/>
        <w:jc w:val="both"/>
        <w:rPr>
          <w:rFonts w:ascii="Times New Roman" w:hAnsi="Times New Roman"/>
          <w:sz w:val="20"/>
          <w:szCs w:val="20"/>
        </w:rPr>
      </w:pPr>
    </w:p>
    <w:p w:rsidR="008C2AD5" w:rsidRPr="004B6185" w:rsidRDefault="008C2AD5" w:rsidP="008C2AD5">
      <w:pPr>
        <w:spacing w:after="0" w:line="240" w:lineRule="auto"/>
        <w:jc w:val="both"/>
        <w:rPr>
          <w:rFonts w:ascii="Times New Roman" w:hAnsi="Times New Roman"/>
          <w:sz w:val="20"/>
          <w:szCs w:val="20"/>
        </w:rPr>
      </w:pPr>
    </w:p>
    <w:p w:rsidR="008C2AD5" w:rsidRPr="004B6185" w:rsidRDefault="008C2AD5" w:rsidP="008C2AD5">
      <w:pPr>
        <w:spacing w:after="0" w:line="240" w:lineRule="auto"/>
        <w:jc w:val="both"/>
        <w:rPr>
          <w:rFonts w:ascii="Times New Roman" w:hAnsi="Times New Roman"/>
          <w:sz w:val="20"/>
          <w:szCs w:val="20"/>
        </w:rPr>
      </w:pPr>
    </w:p>
    <w:p w:rsidR="008C2AD5" w:rsidRPr="004B6185" w:rsidRDefault="008C2AD5" w:rsidP="008C2AD5">
      <w:pPr>
        <w:spacing w:after="0" w:line="240" w:lineRule="auto"/>
        <w:jc w:val="both"/>
        <w:rPr>
          <w:rFonts w:ascii="Times New Roman" w:hAnsi="Times New Roman"/>
          <w:sz w:val="20"/>
          <w:szCs w:val="20"/>
        </w:rPr>
      </w:pPr>
    </w:p>
    <w:p w:rsidR="008C2AD5" w:rsidRPr="004B6185" w:rsidRDefault="008C2AD5" w:rsidP="008C2AD5">
      <w:pPr>
        <w:spacing w:after="0" w:line="240" w:lineRule="auto"/>
        <w:jc w:val="both"/>
        <w:rPr>
          <w:rFonts w:ascii="Times New Roman" w:hAnsi="Times New Roman"/>
          <w:sz w:val="20"/>
          <w:szCs w:val="20"/>
        </w:rPr>
      </w:pPr>
    </w:p>
    <w:p w:rsidR="008C2AD5" w:rsidRPr="004B6185" w:rsidRDefault="008C2AD5" w:rsidP="001106F7">
      <w:pPr>
        <w:spacing w:after="120" w:line="240" w:lineRule="auto"/>
        <w:rPr>
          <w:rFonts w:ascii="Times New Roman" w:hAnsi="Times New Roman"/>
          <w:b/>
          <w:bCs/>
          <w:sz w:val="20"/>
          <w:szCs w:val="20"/>
        </w:rPr>
      </w:pPr>
    </w:p>
    <w:p w:rsidR="008C2AD5" w:rsidRPr="004B6185" w:rsidRDefault="008C2AD5" w:rsidP="008C2AD5">
      <w:pPr>
        <w:spacing w:after="0" w:line="240" w:lineRule="auto"/>
        <w:jc w:val="both"/>
        <w:rPr>
          <w:rFonts w:ascii="Times New Roman" w:hAnsi="Times New Roman"/>
          <w:sz w:val="20"/>
          <w:szCs w:val="20"/>
        </w:rPr>
      </w:pPr>
      <w:r w:rsidRPr="004B6185">
        <w:rPr>
          <w:rFonts w:ascii="Times New Roman" w:hAnsi="Times New Roman"/>
          <w:sz w:val="20"/>
          <w:szCs w:val="20"/>
        </w:rPr>
        <w:t xml:space="preserve">Gradient elution of mobile phase with 0.3 mL/min flow rate was suggested as a suitable method for complete and rapid separation of cortisol and cortisone. Figure 1 shows typical chromatograms for cortisol, cortisone and IS in serum. The retention times for cortisol, cortisone and IS were 5.46, 4.87 and 1.47 minute, respectively. The chromatograms show good separation with a </w:t>
      </w:r>
      <w:r w:rsidRPr="004B6185">
        <w:rPr>
          <w:rFonts w:ascii="Times New Roman" w:hAnsi="Times New Roman"/>
          <w:noProof/>
          <w:sz w:val="20"/>
          <w:szCs w:val="20"/>
        </w:rPr>
        <w:t>sharp</w:t>
      </w:r>
      <w:r w:rsidRPr="004B6185">
        <w:rPr>
          <w:rFonts w:ascii="Times New Roman" w:hAnsi="Times New Roman"/>
          <w:sz w:val="20"/>
          <w:szCs w:val="20"/>
        </w:rPr>
        <w:t xml:space="preserve"> peak of target analytes, low background noise, and there are no significant interfering peaks from the sample matrix indicated that the method is highly selective to the target analytes. These results also indicated the rapid analytical time and high specificity should facilitate high throughput measurement of both cortisol and cortisone simultaneously in human serum.</w:t>
      </w:r>
    </w:p>
    <w:p w:rsidR="008C2AD5" w:rsidRPr="004B6185" w:rsidRDefault="008C2AD5" w:rsidP="001106F7">
      <w:pPr>
        <w:spacing w:after="120" w:line="240" w:lineRule="auto"/>
        <w:jc w:val="both"/>
        <w:rPr>
          <w:rFonts w:ascii="Times New Roman" w:hAnsi="Times New Roman"/>
        </w:rPr>
      </w:pPr>
    </w:p>
    <w:p w:rsidR="008C2AD5" w:rsidRPr="004B6185" w:rsidRDefault="008C2AD5" w:rsidP="001106F7">
      <w:pPr>
        <w:spacing w:after="120" w:line="240" w:lineRule="auto"/>
        <w:jc w:val="center"/>
        <w:rPr>
          <w:rFonts w:ascii="Times New Roman" w:hAnsi="Times New Roman"/>
        </w:rPr>
      </w:pPr>
      <w:r w:rsidRPr="004B6185">
        <w:rPr>
          <w:rFonts w:ascii="Times New Roman" w:hAnsi="Times New Roman"/>
          <w:noProof/>
          <w:lang w:bidi="ar-SA"/>
        </w:rPr>
        <mc:AlternateContent>
          <mc:Choice Requires="wps">
            <w:drawing>
              <wp:anchor distT="0" distB="0" distL="114300" distR="114300" simplePos="0" relativeHeight="251660800" behindDoc="0" locked="0" layoutInCell="1" allowOverlap="1" wp14:anchorId="7CA9F9ED" wp14:editId="1FE5FF85">
                <wp:simplePos x="0" y="0"/>
                <wp:positionH relativeFrom="column">
                  <wp:posOffset>3168338</wp:posOffset>
                </wp:positionH>
                <wp:positionV relativeFrom="paragraph">
                  <wp:posOffset>362528</wp:posOffset>
                </wp:positionV>
                <wp:extent cx="668216" cy="246185"/>
                <wp:effectExtent l="0" t="0" r="0" b="190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216" cy="246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2AD5" w:rsidRPr="00086A30" w:rsidRDefault="008C2AD5" w:rsidP="008C2AD5">
                            <w:pPr>
                              <w:rPr>
                                <w:rFonts w:ascii="Century Gothic" w:hAnsi="Century Gothic"/>
                                <w:sz w:val="14"/>
                                <w:szCs w:val="12"/>
                              </w:rPr>
                            </w:pPr>
                            <w:r w:rsidRPr="00086A30">
                              <w:rPr>
                                <w:rFonts w:ascii="Century Gothic" w:hAnsi="Century Gothic"/>
                                <w:sz w:val="14"/>
                                <w:szCs w:val="12"/>
                              </w:rPr>
                              <w:t>Cortisol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249.5pt;margin-top:28.55pt;width:52.6pt;height:19.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" filled="f" stroked="f">
                <v:textbox>
                  <w:txbxContent>
                    <w:p w:rsidR="008C2AD5" w:rsidRPr="00086A30" w:rsidRDefault="008C2AD5" w:rsidP="008C2AD5">
                      <w:pPr>
                        <w:rPr>
                          <w:rFonts w:ascii="Century Gothic" w:hAnsi="Century Gothic"/>
                          <w:sz w:val="14"/>
                          <w:szCs w:val="12"/>
                        </w:rPr>
                      </w:pPr>
                      <w:r w:rsidRPr="00086A30">
                        <w:rPr>
                          <w:rFonts w:ascii="Century Gothic" w:hAnsi="Century Gothic"/>
                          <w:sz w:val="14"/>
                          <w:szCs w:val="12"/>
                        </w:rPr>
                        <w:t>Cortisol</w:t>
                      </w:r>
                    </w:p>
                  </w:txbxContent>
                </v:textbox>
              </v:rect>
            </w:pict>
          </mc:Fallback>
        </mc:AlternateContent>
      </w:r>
      <w:r w:rsidRPr="004B6185">
        <w:rPr>
          <w:rFonts w:ascii="Times New Roman" w:hAnsi="Times New Roman"/>
          <w:noProof/>
          <w:lang w:bidi="ar-SA"/>
        </w:rPr>
        <mc:AlternateContent>
          <mc:Choice Requires="wps">
            <w:drawing>
              <wp:anchor distT="0" distB="0" distL="114300" distR="114300" simplePos="0" relativeHeight="251661824" behindDoc="0" locked="0" layoutInCell="1" allowOverlap="1" wp14:anchorId="558865E9" wp14:editId="6CBA7841">
                <wp:simplePos x="0" y="0"/>
                <wp:positionH relativeFrom="column">
                  <wp:posOffset>2696504</wp:posOffset>
                </wp:positionH>
                <wp:positionV relativeFrom="paragraph">
                  <wp:posOffset>101543</wp:posOffset>
                </wp:positionV>
                <wp:extent cx="613459" cy="200025"/>
                <wp:effectExtent l="0" t="0" r="0"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59"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2AD5" w:rsidRPr="00086A30" w:rsidRDefault="008C2AD5" w:rsidP="008C2AD5">
                            <w:pPr>
                              <w:rPr>
                                <w:rFonts w:ascii="Century Gothic" w:hAnsi="Century Gothic"/>
                                <w:sz w:val="14"/>
                                <w:szCs w:val="12"/>
                              </w:rPr>
                            </w:pPr>
                            <w:r w:rsidRPr="00086A30">
                              <w:rPr>
                                <w:rFonts w:ascii="Century Gothic" w:hAnsi="Century Gothic"/>
                                <w:sz w:val="14"/>
                                <w:szCs w:val="12"/>
                              </w:rPr>
                              <w:t>Cortisone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8" style="position:absolute;left:0;text-align:left;margin-left:212.3pt;margin-top:8pt;width:48.3pt;height:15.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" filled="f" stroked="f">
                <v:textbox>
                  <w:txbxContent>
                    <w:p w:rsidR="008C2AD5" w:rsidRPr="00086A30" w:rsidRDefault="008C2AD5" w:rsidP="008C2AD5">
                      <w:pPr>
                        <w:rPr>
                          <w:rFonts w:ascii="Century Gothic" w:hAnsi="Century Gothic"/>
                          <w:sz w:val="14"/>
                          <w:szCs w:val="12"/>
                        </w:rPr>
                      </w:pPr>
                      <w:r w:rsidRPr="00086A30">
                        <w:rPr>
                          <w:rFonts w:ascii="Century Gothic" w:hAnsi="Century Gothic"/>
                          <w:sz w:val="14"/>
                          <w:szCs w:val="12"/>
                        </w:rPr>
                        <w:t>Cortisone</w:t>
                      </w:r>
                    </w:p>
                  </w:txbxContent>
                </v:textbox>
              </v:rect>
            </w:pict>
          </mc:Fallback>
        </mc:AlternateContent>
      </w:r>
      <w:r w:rsidRPr="004B6185">
        <w:rPr>
          <w:rFonts w:ascii="Times New Roman" w:hAnsi="Times New Roman"/>
          <w:noProof/>
          <w:lang w:bidi="ar-SA"/>
        </w:rPr>
        <mc:AlternateContent>
          <mc:Choice Requires="wps">
            <w:drawing>
              <wp:anchor distT="0" distB="0" distL="114300" distR="114300" simplePos="0" relativeHeight="251662848" behindDoc="0" locked="0" layoutInCell="1" allowOverlap="1" wp14:anchorId="48A442EF" wp14:editId="60A8A543">
                <wp:simplePos x="0" y="0"/>
                <wp:positionH relativeFrom="column">
                  <wp:posOffset>1151454</wp:posOffset>
                </wp:positionH>
                <wp:positionV relativeFrom="paragraph">
                  <wp:posOffset>903501</wp:posOffset>
                </wp:positionV>
                <wp:extent cx="738554" cy="336599"/>
                <wp:effectExtent l="0" t="0" r="0" b="63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8554" cy="3365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2AD5" w:rsidRPr="00086A30" w:rsidRDefault="008C2AD5" w:rsidP="008C2AD5">
                            <w:pPr>
                              <w:jc w:val="center"/>
                              <w:rPr>
                                <w:rFonts w:ascii="Century Gothic" w:hAnsi="Century Gothic"/>
                                <w:sz w:val="14"/>
                                <w:szCs w:val="12"/>
                              </w:rPr>
                            </w:pPr>
                            <w:r w:rsidRPr="00086A30">
                              <w:rPr>
                                <w:rFonts w:ascii="Century Gothic" w:hAnsi="Century Gothic"/>
                                <w:sz w:val="14"/>
                                <w:szCs w:val="12"/>
                              </w:rPr>
                              <w:t>Fluconazole (IS)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9" style="position:absolute;left:0;text-align:left;margin-left:90.65pt;margin-top:71.15pt;width:58.15pt;height:2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" filled="f" stroked="f">
                <v:textbox>
                  <w:txbxContent>
                    <w:p w:rsidR="008C2AD5" w:rsidRPr="00086A30" w:rsidRDefault="008C2AD5" w:rsidP="008C2AD5">
                      <w:pPr>
                        <w:jc w:val="center"/>
                        <w:rPr>
                          <w:rFonts w:ascii="Century Gothic" w:hAnsi="Century Gothic"/>
                          <w:sz w:val="14"/>
                          <w:szCs w:val="12"/>
                        </w:rPr>
                      </w:pPr>
                      <w:r w:rsidRPr="00086A30">
                        <w:rPr>
                          <w:rFonts w:ascii="Century Gothic" w:hAnsi="Century Gothic"/>
                          <w:sz w:val="14"/>
                          <w:szCs w:val="12"/>
                        </w:rPr>
                        <w:t>Fluconazole (IS)</w:t>
                      </w:r>
                    </w:p>
                  </w:txbxContent>
                </v:textbox>
              </v:rect>
            </w:pict>
          </mc:Fallback>
        </mc:AlternateContent>
      </w:r>
      <w:r w:rsidRPr="004B6185">
        <w:rPr>
          <w:rFonts w:ascii="Times New Roman" w:hAnsi="Times New Roman"/>
          <w:noProof/>
          <w:sz w:val="20"/>
          <w:szCs w:val="20"/>
          <w:lang w:bidi="ar-SA"/>
        </w:rPr>
        <w:drawing>
          <wp:inline distT="0" distB="0" distL="0" distR="0" wp14:anchorId="40D8DE65" wp14:editId="5AD8A779">
            <wp:extent cx="4482210" cy="2121701"/>
            <wp:effectExtent l="19050" t="19050" r="13970" b="1206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1605"/>
                    <a:stretch/>
                  </pic:blipFill>
                  <pic:spPr bwMode="auto">
                    <a:xfrm>
                      <a:off x="0" y="0"/>
                      <a:ext cx="4503539" cy="213179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8C2AD5" w:rsidRPr="004B6185" w:rsidRDefault="008C2AD5" w:rsidP="008C2AD5">
      <w:pPr>
        <w:spacing w:after="0" w:line="240" w:lineRule="auto"/>
        <w:jc w:val="center"/>
        <w:rPr>
          <w:rFonts w:ascii="Times New Roman" w:hAnsi="Times New Roman"/>
          <w:sz w:val="20"/>
          <w:szCs w:val="20"/>
        </w:rPr>
      </w:pPr>
      <w:r w:rsidRPr="004B6185">
        <w:rPr>
          <w:rFonts w:ascii="Times New Roman" w:hAnsi="Times New Roman"/>
          <w:b/>
          <w:bCs/>
        </w:rPr>
        <w:t xml:space="preserve">   </w:t>
      </w:r>
      <w:r w:rsidRPr="004B6185">
        <w:rPr>
          <w:rFonts w:ascii="Times New Roman" w:hAnsi="Times New Roman"/>
          <w:b/>
          <w:bCs/>
          <w:sz w:val="20"/>
          <w:szCs w:val="20"/>
        </w:rPr>
        <w:t xml:space="preserve"> </w:t>
      </w:r>
      <w:r w:rsidRPr="004B6185">
        <w:rPr>
          <w:rFonts w:ascii="Times New Roman" w:hAnsi="Times New Roman"/>
          <w:sz w:val="20"/>
          <w:szCs w:val="20"/>
        </w:rPr>
        <w:t xml:space="preserve">Figure 1. </w:t>
      </w:r>
      <w:r w:rsidR="001106F7">
        <w:rPr>
          <w:rFonts w:ascii="Times New Roman" w:hAnsi="Times New Roman"/>
          <w:sz w:val="20"/>
          <w:szCs w:val="20"/>
        </w:rPr>
        <w:t xml:space="preserve"> </w:t>
      </w:r>
      <w:r w:rsidRPr="004B6185">
        <w:rPr>
          <w:rFonts w:ascii="Times New Roman" w:hAnsi="Times New Roman"/>
          <w:sz w:val="20"/>
          <w:szCs w:val="20"/>
        </w:rPr>
        <w:t>Chromatograms of cortisol, cortisone and fluconazole</w:t>
      </w:r>
    </w:p>
    <w:p w:rsidR="008C2AD5" w:rsidRPr="004B6185" w:rsidRDefault="008C2AD5" w:rsidP="001106F7">
      <w:pPr>
        <w:spacing w:after="120" w:line="240" w:lineRule="auto"/>
        <w:rPr>
          <w:rFonts w:ascii="Times New Roman" w:hAnsi="Times New Roman"/>
          <w:b/>
          <w:bCs/>
          <w:sz w:val="20"/>
          <w:szCs w:val="20"/>
        </w:rPr>
      </w:pPr>
    </w:p>
    <w:p w:rsidR="008C2AD5" w:rsidRPr="004B6185" w:rsidRDefault="008C2AD5" w:rsidP="008C2AD5">
      <w:pPr>
        <w:spacing w:after="0" w:line="240" w:lineRule="auto"/>
        <w:jc w:val="both"/>
        <w:rPr>
          <w:rFonts w:ascii="Times New Roman" w:hAnsi="Times New Roman"/>
          <w:sz w:val="20"/>
          <w:szCs w:val="20"/>
        </w:rPr>
      </w:pPr>
      <w:r w:rsidRPr="004B6185">
        <w:rPr>
          <w:rFonts w:ascii="Times New Roman" w:hAnsi="Times New Roman"/>
          <w:sz w:val="20"/>
          <w:szCs w:val="20"/>
        </w:rPr>
        <w:t>The presence of endogenous cortisol and cortisone in the serum makes it difficult for method validation analysis. Several studies have used pooled human serum as a blank matrix [19,</w:t>
      </w:r>
      <w:r>
        <w:rPr>
          <w:rFonts w:ascii="Times New Roman" w:hAnsi="Times New Roman"/>
          <w:sz w:val="20"/>
          <w:szCs w:val="20"/>
        </w:rPr>
        <w:t xml:space="preserve"> </w:t>
      </w:r>
      <w:r w:rsidRPr="004B6185">
        <w:rPr>
          <w:rFonts w:ascii="Times New Roman" w:hAnsi="Times New Roman"/>
          <w:sz w:val="20"/>
          <w:szCs w:val="20"/>
        </w:rPr>
        <w:t>28]. However, using pooled serum may cause variation in the baseline cortisol and cortisone concentration for different batches of pooled serum. Thus, the method used is neither consistent nor reproducible for long period or across laboratories. Another method adopted to overcome this problem is by using charcoal-stripped serum or plasma as a blank matrix to prepare calibration standard and quality control samples [3,</w:t>
      </w:r>
      <w:r>
        <w:rPr>
          <w:rFonts w:ascii="Times New Roman" w:hAnsi="Times New Roman"/>
          <w:sz w:val="20"/>
          <w:szCs w:val="20"/>
        </w:rPr>
        <w:t xml:space="preserve"> </w:t>
      </w:r>
      <w:r w:rsidRPr="004B6185">
        <w:rPr>
          <w:rFonts w:ascii="Times New Roman" w:hAnsi="Times New Roman"/>
          <w:sz w:val="20"/>
          <w:szCs w:val="20"/>
        </w:rPr>
        <w:t>29</w:t>
      </w:r>
      <w:r>
        <w:rPr>
          <w:rFonts w:ascii="Times New Roman" w:hAnsi="Times New Roman"/>
          <w:sz w:val="20"/>
          <w:szCs w:val="20"/>
        </w:rPr>
        <w:t xml:space="preserve">, </w:t>
      </w:r>
      <w:r w:rsidRPr="004B6185">
        <w:rPr>
          <w:rFonts w:ascii="Times New Roman" w:hAnsi="Times New Roman"/>
          <w:sz w:val="20"/>
          <w:szCs w:val="20"/>
        </w:rPr>
        <w:t>30]. A study by Cao et al. revealed that charcoal treatment may</w:t>
      </w:r>
      <w:r w:rsidRPr="004B6185">
        <w:rPr>
          <w:rFonts w:ascii="Times New Roman" w:hAnsi="Times New Roman"/>
        </w:rPr>
        <w:t xml:space="preserve"> </w:t>
      </w:r>
      <w:r w:rsidRPr="004B6185">
        <w:rPr>
          <w:rFonts w:ascii="Times New Roman" w:hAnsi="Times New Roman"/>
          <w:sz w:val="20"/>
          <w:szCs w:val="20"/>
        </w:rPr>
        <w:t xml:space="preserve">completely or nearly completely extracted cortisol hormone present in fetal bovine serum and bovine calf serum </w:t>
      </w:r>
      <w:r w:rsidRPr="004B6185">
        <w:rPr>
          <w:rFonts w:ascii="Times New Roman" w:hAnsi="Times New Roman"/>
          <w:sz w:val="20"/>
          <w:szCs w:val="20"/>
        </w:rPr>
        <w:fldChar w:fldCharType="begin" w:fldLock="1"/>
      </w:r>
      <w:r w:rsidRPr="004B6185">
        <w:rPr>
          <w:rFonts w:ascii="Times New Roman" w:hAnsi="Times New Roman"/>
          <w:sz w:val="20"/>
          <w:szCs w:val="20"/>
        </w:rPr>
        <w:instrText>ADDIN CSL_CITATION {"citationItems":[{"id":"ITEM-1","itemData":{"DOI":"10.3109/07435800903204082","ISSN":"07435800","PMID":"19878070","abstract":"INTRODUCTION: Charcoal- or resin-stripping of fetal bovine serum (FBS) or bovine calf serum (BCS) intended for supplementation of cell culture media is widely practiced to remove a variety of endogenous compounds, including steroid, peptide, and thyroid hormones. The possibility that stripping removes other biologically relevant factors from serum may not be appreciated. METHODS: In this report, standardized clinical laboratory testing methods were used to assess the effects of resin- and charcoal-stripping on content in FBS and BCS of more than 25 analytes in the sera. RESULTS AND CONCLUSION: In addition to hormones, the serum constituents affected by stripping are certain vitamins, electrolytes, enzyme activities, and metabolites.","author":[{"dropping-particle":"","family":"Cao","given":"Zhimin","non-dropping-particle":"","parse-names":false,"suffix":""},{"dropping-particle":"","family":"West","given":"Clint","non-dropping-particle":"","parse-names":false,"suffix":""},{"dropping-particle":"","family":"Norton-Wenzel","given":"Carol S.","non-dropping-particle":"","parse-names":false,"suffix":""},{"dropping-particle":"","family":"Rej","given":"Robert","non-dropping-particle":"","parse-names":false,"suffix":""},{"dropping-particle":"","family":"Davis","given":"Faith B.","non-dropping-particle":"","parse-names":false,"suffix":""},{"dropping-particle":"","family":"Davis","given":"Paul J.","non-dropping-particle":"","parse-names":false,"suffix":""}],"container-title":"Endocrine Research","id":"ITEM-1","issue":"4","issued":{"date-parts":[["2009"]]},"page":"101-108","title":"Effects of resin or charcoal treatment on fetal bovine serum and bovine calf serum","type":"article-journal","volume":"34"},"uris":["http://www.mendeley.com/documents/?uuid=0e9e3578-40f6-4170-8590-073d3fc70a59"]}],"mendeley":{"formattedCitation":"(Cao et al., 2009)","manualFormatting":"[22]","plainTextFormattedCitation":"(Cao et al., 2009)"},"properties":{"noteIndex":0},"schema":"https://github.com/citation-style-language/schema/raw/master/csl-citation.json"}</w:instrText>
      </w:r>
      <w:r w:rsidRPr="004B6185">
        <w:rPr>
          <w:rFonts w:ascii="Times New Roman" w:hAnsi="Times New Roman"/>
          <w:sz w:val="20"/>
          <w:szCs w:val="20"/>
        </w:rPr>
        <w:fldChar w:fldCharType="separate"/>
      </w:r>
      <w:r w:rsidRPr="004B6185">
        <w:rPr>
          <w:rFonts w:ascii="Times New Roman" w:hAnsi="Times New Roman"/>
          <w:noProof/>
          <w:sz w:val="20"/>
          <w:szCs w:val="20"/>
        </w:rPr>
        <w:t>[22]</w:t>
      </w:r>
      <w:r w:rsidRPr="004B6185">
        <w:rPr>
          <w:rFonts w:ascii="Times New Roman" w:hAnsi="Times New Roman"/>
          <w:sz w:val="20"/>
          <w:szCs w:val="20"/>
        </w:rPr>
        <w:fldChar w:fldCharType="end"/>
      </w:r>
      <w:r w:rsidRPr="004B6185">
        <w:rPr>
          <w:rFonts w:ascii="Times New Roman" w:hAnsi="Times New Roman"/>
          <w:sz w:val="20"/>
          <w:szCs w:val="20"/>
        </w:rPr>
        <w:t xml:space="preserve">. In this study, activated charcoal powder was used to remove endogenous cortisol and cortisone from pooled human serum. The results demonstrate that activated charcoal powder efficiently removes endogenous cortisol and cortisol from human serum at the level lower than the detection limit, as shown in Figure 2. Both compounds were </w:t>
      </w:r>
      <w:r w:rsidRPr="004B6185">
        <w:rPr>
          <w:rFonts w:ascii="Times New Roman" w:hAnsi="Times New Roman"/>
          <w:sz w:val="20"/>
          <w:szCs w:val="20"/>
        </w:rPr>
        <w:lastRenderedPageBreak/>
        <w:t xml:space="preserve">removed from serum by 1 hours of incubation </w:t>
      </w:r>
      <w:r w:rsidRPr="004B6185">
        <w:rPr>
          <w:rFonts w:ascii="Times New Roman" w:hAnsi="Times New Roman"/>
          <w:noProof/>
          <w:sz w:val="20"/>
          <w:szCs w:val="20"/>
        </w:rPr>
        <w:t>at</w:t>
      </w:r>
      <w:r w:rsidRPr="004B6185">
        <w:rPr>
          <w:rFonts w:ascii="Times New Roman" w:hAnsi="Times New Roman"/>
          <w:sz w:val="20"/>
          <w:szCs w:val="20"/>
        </w:rPr>
        <w:t xml:space="preserve"> 55 °C with 1 g/mL of activated charcoal powder. The </w:t>
      </w:r>
      <w:r w:rsidRPr="004B6185">
        <w:rPr>
          <w:rFonts w:ascii="Times New Roman" w:hAnsi="Times New Roman"/>
          <w:noProof/>
          <w:sz w:val="20"/>
          <w:szCs w:val="20"/>
        </w:rPr>
        <w:t>high</w:t>
      </w:r>
      <w:r w:rsidRPr="004B6185">
        <w:rPr>
          <w:rFonts w:ascii="Times New Roman" w:hAnsi="Times New Roman"/>
          <w:sz w:val="20"/>
          <w:szCs w:val="20"/>
        </w:rPr>
        <w:t xml:space="preserve"> amount of charcoal powder attributed to the greater availability of surface area and increase the adsorption site and the high in temperature also contributed to the </w:t>
      </w:r>
      <w:r w:rsidRPr="004B6185">
        <w:rPr>
          <w:rFonts w:ascii="Times New Roman" w:hAnsi="Times New Roman"/>
          <w:noProof/>
          <w:sz w:val="20"/>
          <w:szCs w:val="20"/>
        </w:rPr>
        <w:t>removal</w:t>
      </w:r>
      <w:r w:rsidRPr="004B6185">
        <w:rPr>
          <w:rFonts w:ascii="Times New Roman" w:hAnsi="Times New Roman"/>
          <w:sz w:val="20"/>
          <w:szCs w:val="20"/>
        </w:rPr>
        <w:t xml:space="preserve"> of the hormones where thermodynamic effect facilitates the sorption process [23]. The resultant cortisol and cortisone free serum is a suitable blank matrix for method validation analysis. </w:t>
      </w:r>
    </w:p>
    <w:p w:rsidR="008C2AD5" w:rsidRPr="004B6185" w:rsidRDefault="008C2AD5" w:rsidP="001106F7">
      <w:pPr>
        <w:spacing w:after="120" w:line="240" w:lineRule="auto"/>
        <w:rPr>
          <w:rFonts w:ascii="Times New Roman" w:hAnsi="Times New Roman"/>
          <w:noProof/>
          <w:lang w:val="en-GB" w:eastAsia="en-GB"/>
        </w:rPr>
      </w:pPr>
    </w:p>
    <w:p w:rsidR="008C2AD5" w:rsidRDefault="008C2AD5" w:rsidP="008C2AD5">
      <w:pPr>
        <w:spacing w:after="0" w:line="240" w:lineRule="auto"/>
        <w:jc w:val="center"/>
        <w:rPr>
          <w:rFonts w:ascii="Times New Roman" w:hAnsi="Times New Roman"/>
          <w:noProof/>
          <w:lang w:val="en-GB" w:eastAsia="en-GB"/>
        </w:rPr>
      </w:pPr>
      <w:r w:rsidRPr="004B6185">
        <w:rPr>
          <w:rFonts w:ascii="Times New Roman" w:hAnsi="Times New Roman"/>
          <w:noProof/>
          <w:lang w:bidi="ar-SA"/>
        </w:rPr>
        <mc:AlternateContent>
          <mc:Choice Requires="wps">
            <w:drawing>
              <wp:anchor distT="0" distB="0" distL="114300" distR="114300" simplePos="0" relativeHeight="251663872" behindDoc="0" locked="0" layoutInCell="1" allowOverlap="1" wp14:anchorId="449DC48B" wp14:editId="7389DE70">
                <wp:simplePos x="0" y="0"/>
                <wp:positionH relativeFrom="column">
                  <wp:posOffset>4657725</wp:posOffset>
                </wp:positionH>
                <wp:positionV relativeFrom="paragraph">
                  <wp:posOffset>135890</wp:posOffset>
                </wp:positionV>
                <wp:extent cx="405737" cy="293427"/>
                <wp:effectExtent l="0" t="0" r="13970" b="11430"/>
                <wp:wrapNone/>
                <wp:docPr id="8" name="Rectangle 8"/>
                <wp:cNvGraphicFramePr/>
                <a:graphic xmlns:a="http://schemas.openxmlformats.org/drawingml/2006/main">
                  <a:graphicData uri="http://schemas.microsoft.com/office/word/2010/wordprocessingShape">
                    <wps:wsp>
                      <wps:cNvSpPr/>
                      <wps:spPr>
                        <a:xfrm>
                          <a:off x="0" y="0"/>
                          <a:ext cx="405737" cy="293427"/>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8C2AD5" w:rsidRPr="005F0E03" w:rsidRDefault="008C2AD5" w:rsidP="008C2AD5">
                            <w:pPr>
                              <w:jc w:val="center"/>
                              <w:rPr>
                                <w:rFonts w:ascii="Times New Roman" w:hAnsi="Times New Roman"/>
                                <w:b/>
                                <w:sz w:val="20"/>
                              </w:rPr>
                            </w:pPr>
                            <w:r>
                              <w:rPr>
                                <w:rFonts w:ascii="Times New Roman" w:hAnsi="Times New Roman"/>
                                <w:b/>
                                <w:sz w:val="20"/>
                              </w:rPr>
                              <w:t>(</w:t>
                            </w:r>
                            <w:r w:rsidRPr="005F0E03">
                              <w:rPr>
                                <w:rFonts w:ascii="Times New Roman" w:hAnsi="Times New Roman"/>
                                <w:b/>
                                <w:sz w:val="20"/>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0" style="position:absolute;left:0;text-align:left;margin-left:366.75pt;margin-top:10.7pt;width:31.95pt;height:23.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" fillcolor="white [3201]" strokecolor="white [3212]" strokeweight="2pt">
                <v:textbox>
                  <w:txbxContent>
                    <w:p w:rsidR="008C2AD5" w:rsidRPr="005F0E03" w:rsidRDefault="008C2AD5" w:rsidP="008C2AD5">
                      <w:pPr>
                        <w:jc w:val="center"/>
                        <w:rPr>
                          <w:rFonts w:ascii="Times New Roman" w:hAnsi="Times New Roman"/>
                          <w:b/>
                          <w:sz w:val="20"/>
                        </w:rPr>
                      </w:pPr>
                      <w:r>
                        <w:rPr>
                          <w:rFonts w:ascii="Times New Roman" w:hAnsi="Times New Roman"/>
                          <w:b/>
                          <w:sz w:val="20"/>
                        </w:rPr>
                        <w:t>(</w:t>
                      </w:r>
                      <w:r w:rsidRPr="005F0E03">
                        <w:rPr>
                          <w:rFonts w:ascii="Times New Roman" w:hAnsi="Times New Roman"/>
                          <w:b/>
                          <w:sz w:val="20"/>
                        </w:rPr>
                        <w:t>a)</w:t>
                      </w:r>
                    </w:p>
                  </w:txbxContent>
                </v:textbox>
              </v:rect>
            </w:pict>
          </mc:Fallback>
        </mc:AlternateContent>
      </w:r>
      <w:r w:rsidRPr="004B6185">
        <w:rPr>
          <w:rFonts w:ascii="Times New Roman" w:hAnsi="Times New Roman"/>
          <w:noProof/>
          <w:lang w:bidi="ar-SA"/>
        </w:rPr>
        <w:drawing>
          <wp:inline distT="0" distB="0" distL="0" distR="0" wp14:anchorId="0B2755A4" wp14:editId="7F0D3E14">
            <wp:extent cx="4482000" cy="2115515"/>
            <wp:effectExtent l="19050" t="19050" r="13970" b="184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82000" cy="2115515"/>
                    </a:xfrm>
                    <a:prstGeom prst="rect">
                      <a:avLst/>
                    </a:prstGeom>
                    <a:noFill/>
                    <a:ln>
                      <a:solidFill>
                        <a:schemeClr val="tx1"/>
                      </a:solidFill>
                    </a:ln>
                  </pic:spPr>
                </pic:pic>
              </a:graphicData>
            </a:graphic>
          </wp:inline>
        </w:drawing>
      </w:r>
    </w:p>
    <w:p w:rsidR="00605FC1" w:rsidRPr="004B6185" w:rsidRDefault="00605FC1" w:rsidP="008C2AD5">
      <w:pPr>
        <w:spacing w:after="0" w:line="240" w:lineRule="auto"/>
        <w:jc w:val="center"/>
        <w:rPr>
          <w:rFonts w:ascii="Times New Roman" w:hAnsi="Times New Roman"/>
          <w:noProof/>
          <w:lang w:val="en-GB" w:eastAsia="en-GB"/>
        </w:rPr>
      </w:pPr>
    </w:p>
    <w:p w:rsidR="008C2AD5" w:rsidRPr="001106F7" w:rsidRDefault="008C2AD5" w:rsidP="001106F7">
      <w:pPr>
        <w:spacing w:after="120" w:line="240" w:lineRule="auto"/>
        <w:jc w:val="center"/>
        <w:rPr>
          <w:rFonts w:ascii="Times New Roman" w:hAnsi="Times New Roman"/>
          <w:noProof/>
          <w:lang w:val="en-GB" w:eastAsia="en-GB"/>
        </w:rPr>
      </w:pPr>
      <w:r w:rsidRPr="004B6185">
        <w:rPr>
          <w:rFonts w:ascii="Times New Roman" w:hAnsi="Times New Roman"/>
          <w:noProof/>
          <w:lang w:bidi="ar-SA"/>
        </w:rPr>
        <mc:AlternateContent>
          <mc:Choice Requires="wps">
            <w:drawing>
              <wp:anchor distT="0" distB="0" distL="114300" distR="114300" simplePos="0" relativeHeight="251664896" behindDoc="0" locked="0" layoutInCell="1" allowOverlap="1" wp14:anchorId="27CEF7D9" wp14:editId="4A0700DF">
                <wp:simplePos x="0" y="0"/>
                <wp:positionH relativeFrom="column">
                  <wp:posOffset>4653280</wp:posOffset>
                </wp:positionH>
                <wp:positionV relativeFrom="paragraph">
                  <wp:posOffset>158750</wp:posOffset>
                </wp:positionV>
                <wp:extent cx="405736" cy="259308"/>
                <wp:effectExtent l="0" t="0" r="13970" b="26670"/>
                <wp:wrapNone/>
                <wp:docPr id="9" name="Rectangle 9"/>
                <wp:cNvGraphicFramePr/>
                <a:graphic xmlns:a="http://schemas.openxmlformats.org/drawingml/2006/main">
                  <a:graphicData uri="http://schemas.microsoft.com/office/word/2010/wordprocessingShape">
                    <wps:wsp>
                      <wps:cNvSpPr/>
                      <wps:spPr>
                        <a:xfrm>
                          <a:off x="0" y="0"/>
                          <a:ext cx="405736" cy="259308"/>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8C2AD5" w:rsidRPr="005F0E03" w:rsidRDefault="008C2AD5" w:rsidP="008C2AD5">
                            <w:pPr>
                              <w:jc w:val="center"/>
                              <w:rPr>
                                <w:rFonts w:ascii="Times New Roman" w:hAnsi="Times New Roman"/>
                                <w:b/>
                                <w:sz w:val="20"/>
                                <w:szCs w:val="20"/>
                              </w:rPr>
                            </w:pPr>
                            <w:r w:rsidRPr="005F0E03">
                              <w:rPr>
                                <w:rFonts w:ascii="Times New Roman" w:hAnsi="Times New Roman"/>
                                <w:b/>
                                <w:sz w:val="20"/>
                                <w:szCs w:val="20"/>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31" style="position:absolute;left:0;text-align:left;margin-left:366.4pt;margin-top:12.5pt;width:31.95pt;height:20.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" fillcolor="white [3201]" strokecolor="white [3212]" strokeweight="2pt">
                <v:textbox>
                  <w:txbxContent>
                    <w:p w:rsidR="008C2AD5" w:rsidRPr="005F0E03" w:rsidRDefault="008C2AD5" w:rsidP="008C2AD5">
                      <w:pPr>
                        <w:jc w:val="center"/>
                        <w:rPr>
                          <w:rFonts w:ascii="Times New Roman" w:hAnsi="Times New Roman"/>
                          <w:b/>
                          <w:sz w:val="20"/>
                          <w:szCs w:val="20"/>
                        </w:rPr>
                      </w:pPr>
                      <w:r w:rsidRPr="005F0E03">
                        <w:rPr>
                          <w:rFonts w:ascii="Times New Roman" w:hAnsi="Times New Roman"/>
                          <w:b/>
                          <w:sz w:val="20"/>
                          <w:szCs w:val="20"/>
                        </w:rPr>
                        <w:t>(b)</w:t>
                      </w:r>
                    </w:p>
                  </w:txbxContent>
                </v:textbox>
              </v:rect>
            </w:pict>
          </mc:Fallback>
        </mc:AlternateContent>
      </w:r>
      <w:r w:rsidRPr="004B6185">
        <w:rPr>
          <w:rFonts w:ascii="Times New Roman" w:hAnsi="Times New Roman"/>
          <w:noProof/>
          <w:lang w:bidi="ar-SA"/>
        </w:rPr>
        <w:drawing>
          <wp:inline distT="0" distB="0" distL="0" distR="0" wp14:anchorId="09B937F7" wp14:editId="21A4C71D">
            <wp:extent cx="4482000" cy="2115514"/>
            <wp:effectExtent l="19050" t="19050" r="13970" b="184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82000" cy="2115514"/>
                    </a:xfrm>
                    <a:prstGeom prst="rect">
                      <a:avLst/>
                    </a:prstGeom>
                    <a:noFill/>
                    <a:ln>
                      <a:solidFill>
                        <a:schemeClr val="tx1"/>
                      </a:solidFill>
                    </a:ln>
                  </pic:spPr>
                </pic:pic>
              </a:graphicData>
            </a:graphic>
          </wp:inline>
        </w:drawing>
      </w:r>
      <w:r w:rsidRPr="004B6185">
        <w:rPr>
          <w:rFonts w:ascii="Times New Roman" w:hAnsi="Times New Roman"/>
          <w:b/>
          <w:bCs/>
          <w:sz w:val="20"/>
          <w:szCs w:val="20"/>
        </w:rPr>
        <w:t xml:space="preserve">                             </w:t>
      </w:r>
    </w:p>
    <w:p w:rsidR="008C2AD5" w:rsidRDefault="008C2AD5" w:rsidP="008C2AD5">
      <w:pPr>
        <w:spacing w:after="0" w:line="240" w:lineRule="auto"/>
        <w:ind w:left="851" w:hanging="851"/>
        <w:jc w:val="both"/>
        <w:rPr>
          <w:rFonts w:ascii="Times New Roman" w:hAnsi="Times New Roman"/>
          <w:sz w:val="20"/>
          <w:szCs w:val="20"/>
        </w:rPr>
      </w:pPr>
      <w:r w:rsidRPr="004B6185">
        <w:rPr>
          <w:rFonts w:ascii="Times New Roman" w:hAnsi="Times New Roman"/>
          <w:sz w:val="20"/>
          <w:szCs w:val="20"/>
        </w:rPr>
        <w:t xml:space="preserve">Figure 2. </w:t>
      </w:r>
      <w:r w:rsidR="001106F7">
        <w:rPr>
          <w:rFonts w:ascii="Times New Roman" w:hAnsi="Times New Roman"/>
          <w:sz w:val="20"/>
          <w:szCs w:val="20"/>
        </w:rPr>
        <w:tab/>
      </w:r>
      <w:r w:rsidRPr="004B6185">
        <w:rPr>
          <w:rFonts w:ascii="Times New Roman" w:hAnsi="Times New Roman"/>
          <w:sz w:val="20"/>
          <w:szCs w:val="20"/>
        </w:rPr>
        <w:t>Chromatogram of pooled human serum samples (</w:t>
      </w:r>
      <w:r>
        <w:rPr>
          <w:rFonts w:ascii="Times New Roman" w:hAnsi="Times New Roman"/>
          <w:sz w:val="20"/>
          <w:szCs w:val="20"/>
        </w:rPr>
        <w:t>a</w:t>
      </w:r>
      <w:r w:rsidRPr="004B6185">
        <w:rPr>
          <w:rFonts w:ascii="Times New Roman" w:hAnsi="Times New Roman"/>
          <w:sz w:val="20"/>
          <w:szCs w:val="20"/>
        </w:rPr>
        <w:t>) prior to and (</w:t>
      </w:r>
      <w:r>
        <w:rPr>
          <w:rFonts w:ascii="Times New Roman" w:hAnsi="Times New Roman"/>
          <w:sz w:val="20"/>
          <w:szCs w:val="20"/>
        </w:rPr>
        <w:t>b</w:t>
      </w:r>
      <w:r w:rsidRPr="004B6185">
        <w:rPr>
          <w:rFonts w:ascii="Times New Roman" w:hAnsi="Times New Roman"/>
          <w:sz w:val="20"/>
          <w:szCs w:val="20"/>
        </w:rPr>
        <w:t>) after the removal of cortisol and cortisone by charcoal-stripping method</w:t>
      </w:r>
    </w:p>
    <w:p w:rsidR="008C2AD5" w:rsidRPr="004B6185" w:rsidRDefault="008C2AD5" w:rsidP="001106F7">
      <w:pPr>
        <w:spacing w:after="120" w:line="240" w:lineRule="auto"/>
        <w:jc w:val="both"/>
        <w:rPr>
          <w:rFonts w:ascii="Times New Roman" w:hAnsi="Times New Roman"/>
          <w:sz w:val="20"/>
          <w:szCs w:val="20"/>
        </w:rPr>
      </w:pPr>
    </w:p>
    <w:p w:rsidR="008C2AD5" w:rsidRDefault="008C2AD5" w:rsidP="008C2AD5">
      <w:pPr>
        <w:spacing w:after="0" w:line="240" w:lineRule="auto"/>
        <w:jc w:val="both"/>
        <w:rPr>
          <w:rFonts w:ascii="Times New Roman" w:hAnsi="Times New Roman"/>
          <w:sz w:val="20"/>
          <w:szCs w:val="20"/>
        </w:rPr>
      </w:pPr>
      <w:r w:rsidRPr="004B6185">
        <w:rPr>
          <w:rFonts w:ascii="Times New Roman" w:hAnsi="Times New Roman"/>
          <w:sz w:val="20"/>
          <w:szCs w:val="20"/>
        </w:rPr>
        <w:t>The correlation coefficients (r</w:t>
      </w:r>
      <w:r w:rsidRPr="004B6185">
        <w:rPr>
          <w:rFonts w:ascii="Times New Roman" w:hAnsi="Times New Roman"/>
          <w:sz w:val="20"/>
          <w:szCs w:val="20"/>
          <w:vertAlign w:val="superscript"/>
        </w:rPr>
        <w:t>2</w:t>
      </w:r>
      <w:r w:rsidRPr="004B6185">
        <w:rPr>
          <w:rFonts w:ascii="Times New Roman" w:hAnsi="Times New Roman"/>
          <w:sz w:val="20"/>
          <w:szCs w:val="20"/>
        </w:rPr>
        <w:t xml:space="preserve">) of the calibration curves are 0.98 for cortisol and 0.99 for cortisone over the range of 7.8–500 ng/mL, indicating good linearity (Table 2). Accuracy and precision data are presented in Table 3. Intra-day accuracy ranges from 90.68 to 91.94% for cortisol and 93.12 to 94.79% for cortisone, while precision ranges from 1.98 to 10.46 for cortisol and 1.01 to 11.36 for cortisone. Inter-day accuracy ranges from 94.50% to 104.28% for cortisol and 100.70% to 104.28% for cortisone, while precision ranges from 7.18% to 11.00% for cortisol and 11.07% to 15.78% for cortisone. All the </w:t>
      </w:r>
      <w:r w:rsidRPr="004B6185">
        <w:rPr>
          <w:rFonts w:ascii="Times New Roman" w:hAnsi="Times New Roman"/>
          <w:noProof/>
          <w:sz w:val="20"/>
          <w:szCs w:val="20"/>
        </w:rPr>
        <w:t>accuracy results</w:t>
      </w:r>
      <w:r w:rsidRPr="004B6185">
        <w:rPr>
          <w:rFonts w:ascii="Times New Roman" w:hAnsi="Times New Roman"/>
          <w:sz w:val="20"/>
          <w:szCs w:val="20"/>
        </w:rPr>
        <w:t xml:space="preserve"> are within the limit of ±15% and precision results </w:t>
      </w:r>
      <w:r w:rsidRPr="004B6185">
        <w:rPr>
          <w:rFonts w:ascii="Times New Roman" w:hAnsi="Times New Roman"/>
          <w:noProof/>
          <w:sz w:val="20"/>
          <w:szCs w:val="20"/>
        </w:rPr>
        <w:t>are</w:t>
      </w:r>
      <w:r w:rsidRPr="004B6185">
        <w:rPr>
          <w:rFonts w:ascii="Times New Roman" w:hAnsi="Times New Roman"/>
          <w:sz w:val="20"/>
          <w:szCs w:val="20"/>
        </w:rPr>
        <w:t xml:space="preserve"> below 15% except for inter-day precision for cortisone where the result is slightly high. The results obtained using this method produced equivalent results from a previous study [3].</w:t>
      </w:r>
    </w:p>
    <w:p w:rsidR="001106F7" w:rsidRDefault="001106F7" w:rsidP="008C2AD5">
      <w:pPr>
        <w:spacing w:after="0" w:line="240" w:lineRule="auto"/>
        <w:jc w:val="both"/>
        <w:rPr>
          <w:rFonts w:ascii="Times New Roman" w:hAnsi="Times New Roman"/>
          <w:sz w:val="20"/>
          <w:szCs w:val="20"/>
        </w:rPr>
      </w:pPr>
    </w:p>
    <w:p w:rsidR="001106F7" w:rsidRDefault="001106F7" w:rsidP="008C2AD5">
      <w:pPr>
        <w:spacing w:after="0" w:line="240" w:lineRule="auto"/>
        <w:jc w:val="both"/>
        <w:rPr>
          <w:rFonts w:ascii="Times New Roman" w:hAnsi="Times New Roman"/>
          <w:sz w:val="20"/>
          <w:szCs w:val="20"/>
        </w:rPr>
      </w:pPr>
    </w:p>
    <w:p w:rsidR="001106F7" w:rsidRDefault="001106F7" w:rsidP="008C2AD5">
      <w:pPr>
        <w:spacing w:after="0" w:line="240" w:lineRule="auto"/>
        <w:jc w:val="both"/>
        <w:rPr>
          <w:rFonts w:ascii="Times New Roman" w:hAnsi="Times New Roman"/>
          <w:sz w:val="20"/>
          <w:szCs w:val="20"/>
        </w:rPr>
      </w:pPr>
    </w:p>
    <w:p w:rsidR="001106F7" w:rsidRDefault="001106F7" w:rsidP="008C2AD5">
      <w:pPr>
        <w:spacing w:after="0" w:line="240" w:lineRule="auto"/>
        <w:jc w:val="both"/>
        <w:rPr>
          <w:rFonts w:ascii="Times New Roman" w:hAnsi="Times New Roman"/>
          <w:sz w:val="20"/>
          <w:szCs w:val="20"/>
        </w:rPr>
      </w:pPr>
    </w:p>
    <w:p w:rsidR="001106F7" w:rsidRDefault="001106F7" w:rsidP="008C2AD5">
      <w:pPr>
        <w:spacing w:after="0" w:line="240" w:lineRule="auto"/>
        <w:jc w:val="both"/>
        <w:rPr>
          <w:rFonts w:ascii="Times New Roman" w:hAnsi="Times New Roman"/>
          <w:sz w:val="20"/>
          <w:szCs w:val="20"/>
        </w:rPr>
      </w:pPr>
    </w:p>
    <w:p w:rsidR="001106F7" w:rsidRPr="004B6185" w:rsidRDefault="001106F7" w:rsidP="001106F7">
      <w:pPr>
        <w:spacing w:after="120" w:line="240" w:lineRule="auto"/>
        <w:jc w:val="center"/>
        <w:rPr>
          <w:rFonts w:ascii="Times New Roman" w:hAnsi="Times New Roman"/>
          <w:b/>
          <w:sz w:val="20"/>
          <w:szCs w:val="20"/>
        </w:rPr>
      </w:pPr>
      <w:r w:rsidRPr="004B6185">
        <w:rPr>
          <w:rFonts w:ascii="Times New Roman" w:hAnsi="Times New Roman"/>
          <w:bCs/>
          <w:sz w:val="20"/>
          <w:szCs w:val="20"/>
        </w:rPr>
        <w:t>Table 2</w:t>
      </w:r>
      <w:r w:rsidRPr="004B6185">
        <w:rPr>
          <w:rFonts w:ascii="Times New Roman" w:hAnsi="Times New Roman"/>
          <w:sz w:val="20"/>
          <w:szCs w:val="20"/>
        </w:rPr>
        <w:t xml:space="preserve">. </w:t>
      </w:r>
      <w:r>
        <w:rPr>
          <w:rFonts w:ascii="Times New Roman" w:hAnsi="Times New Roman"/>
          <w:sz w:val="20"/>
          <w:szCs w:val="20"/>
        </w:rPr>
        <w:t xml:space="preserve"> </w:t>
      </w:r>
      <w:r w:rsidRPr="004B6185">
        <w:rPr>
          <w:rFonts w:ascii="Times New Roman" w:hAnsi="Times New Roman"/>
          <w:sz w:val="20"/>
          <w:szCs w:val="20"/>
        </w:rPr>
        <w:t>The regression equation, correlation coefficients (r</w:t>
      </w:r>
      <w:r w:rsidRPr="004B6185">
        <w:rPr>
          <w:rFonts w:ascii="Times New Roman" w:hAnsi="Times New Roman"/>
          <w:sz w:val="20"/>
          <w:szCs w:val="20"/>
          <w:vertAlign w:val="superscript"/>
        </w:rPr>
        <w:t>2</w:t>
      </w:r>
      <w:r w:rsidRPr="004B6185">
        <w:rPr>
          <w:rFonts w:ascii="Times New Roman" w:hAnsi="Times New Roman"/>
          <w:sz w:val="20"/>
          <w:szCs w:val="20"/>
        </w:rPr>
        <w:t>), linear range and lower limit of quantitation data</w:t>
      </w:r>
    </w:p>
    <w:tbl>
      <w:tblPr>
        <w:tblW w:w="0" w:type="auto"/>
        <w:jc w:val="center"/>
        <w:tblInd w:w="-306" w:type="dxa"/>
        <w:tblBorders>
          <w:top w:val="single" w:sz="4" w:space="0" w:color="7F7F7F"/>
          <w:bottom w:val="single" w:sz="4" w:space="0" w:color="7F7F7F"/>
        </w:tblBorders>
        <w:tblLook w:val="04A0" w:firstRow="1" w:lastRow="0" w:firstColumn="1" w:lastColumn="0" w:noHBand="0" w:noVBand="1"/>
      </w:tblPr>
      <w:tblGrid>
        <w:gridCol w:w="1478"/>
        <w:gridCol w:w="2329"/>
        <w:gridCol w:w="1710"/>
        <w:gridCol w:w="1621"/>
      </w:tblGrid>
      <w:tr w:rsidR="001106F7" w:rsidRPr="004B6185" w:rsidTr="00605FC1">
        <w:trPr>
          <w:trHeight w:val="385"/>
          <w:jc w:val="center"/>
        </w:trPr>
        <w:tc>
          <w:tcPr>
            <w:tcW w:w="1478" w:type="dxa"/>
            <w:tcBorders>
              <w:top w:val="single" w:sz="4" w:space="0" w:color="auto"/>
              <w:bottom w:val="single" w:sz="4" w:space="0" w:color="auto"/>
            </w:tcBorders>
            <w:shd w:val="clear" w:color="auto" w:fill="auto"/>
            <w:vAlign w:val="center"/>
          </w:tcPr>
          <w:p w:rsidR="001106F7" w:rsidRPr="004B6185" w:rsidRDefault="001106F7" w:rsidP="001106F7">
            <w:pPr>
              <w:spacing w:after="0" w:line="240" w:lineRule="auto"/>
              <w:ind w:firstLine="187"/>
              <w:rPr>
                <w:rFonts w:ascii="Times New Roman" w:hAnsi="Times New Roman"/>
                <w:b/>
                <w:bCs/>
                <w:sz w:val="20"/>
                <w:szCs w:val="20"/>
              </w:rPr>
            </w:pPr>
            <w:r w:rsidRPr="004B6185">
              <w:rPr>
                <w:rFonts w:ascii="Times New Roman" w:hAnsi="Times New Roman"/>
                <w:b/>
                <w:bCs/>
                <w:sz w:val="20"/>
                <w:szCs w:val="20"/>
              </w:rPr>
              <w:t>Compound</w:t>
            </w:r>
          </w:p>
        </w:tc>
        <w:tc>
          <w:tcPr>
            <w:tcW w:w="2329" w:type="dxa"/>
            <w:tcBorders>
              <w:top w:val="single" w:sz="4" w:space="0" w:color="auto"/>
              <w:bottom w:val="single" w:sz="4" w:space="0" w:color="auto"/>
            </w:tcBorders>
            <w:shd w:val="clear" w:color="auto" w:fill="auto"/>
            <w:vAlign w:val="center"/>
          </w:tcPr>
          <w:p w:rsidR="001106F7" w:rsidRPr="004B6185" w:rsidRDefault="001106F7" w:rsidP="00EA4DF5">
            <w:pPr>
              <w:spacing w:after="0" w:line="240" w:lineRule="auto"/>
              <w:ind w:firstLine="187"/>
              <w:jc w:val="center"/>
              <w:rPr>
                <w:rFonts w:ascii="Times New Roman" w:hAnsi="Times New Roman"/>
                <w:b/>
                <w:bCs/>
                <w:sz w:val="20"/>
                <w:szCs w:val="20"/>
              </w:rPr>
            </w:pPr>
            <w:r w:rsidRPr="004B6185">
              <w:rPr>
                <w:rFonts w:ascii="Times New Roman" w:hAnsi="Times New Roman"/>
                <w:b/>
                <w:bCs/>
                <w:sz w:val="20"/>
                <w:szCs w:val="20"/>
              </w:rPr>
              <w:t xml:space="preserve">Regression </w:t>
            </w:r>
            <w:r>
              <w:rPr>
                <w:rFonts w:ascii="Times New Roman" w:hAnsi="Times New Roman"/>
                <w:b/>
                <w:bCs/>
                <w:sz w:val="20"/>
                <w:szCs w:val="20"/>
              </w:rPr>
              <w:t>E</w:t>
            </w:r>
            <w:r w:rsidRPr="004B6185">
              <w:rPr>
                <w:rFonts w:ascii="Times New Roman" w:hAnsi="Times New Roman"/>
                <w:b/>
                <w:bCs/>
                <w:sz w:val="20"/>
                <w:szCs w:val="20"/>
              </w:rPr>
              <w:t>quation</w:t>
            </w:r>
          </w:p>
        </w:tc>
        <w:tc>
          <w:tcPr>
            <w:tcW w:w="1710" w:type="dxa"/>
            <w:tcBorders>
              <w:top w:val="single" w:sz="4" w:space="0" w:color="auto"/>
              <w:bottom w:val="single" w:sz="4" w:space="0" w:color="auto"/>
            </w:tcBorders>
            <w:shd w:val="clear" w:color="auto" w:fill="auto"/>
            <w:vAlign w:val="center"/>
          </w:tcPr>
          <w:p w:rsidR="001106F7" w:rsidRDefault="001106F7" w:rsidP="001106F7">
            <w:pPr>
              <w:spacing w:before="60" w:after="0" w:line="240" w:lineRule="auto"/>
              <w:jc w:val="center"/>
              <w:rPr>
                <w:rFonts w:ascii="Times New Roman" w:hAnsi="Times New Roman"/>
                <w:b/>
                <w:bCs/>
                <w:sz w:val="20"/>
                <w:szCs w:val="20"/>
              </w:rPr>
            </w:pPr>
            <w:r w:rsidRPr="004B6185">
              <w:rPr>
                <w:rFonts w:ascii="Times New Roman" w:hAnsi="Times New Roman"/>
                <w:b/>
                <w:bCs/>
                <w:sz w:val="20"/>
                <w:szCs w:val="20"/>
              </w:rPr>
              <w:t xml:space="preserve">Correlation </w:t>
            </w:r>
          </w:p>
          <w:p w:rsidR="001106F7" w:rsidRPr="004B6185" w:rsidRDefault="001106F7" w:rsidP="00605FC1">
            <w:pPr>
              <w:spacing w:after="60" w:line="240" w:lineRule="auto"/>
              <w:jc w:val="center"/>
              <w:rPr>
                <w:rFonts w:ascii="Times New Roman" w:hAnsi="Times New Roman"/>
                <w:b/>
                <w:bCs/>
                <w:sz w:val="20"/>
                <w:szCs w:val="20"/>
              </w:rPr>
            </w:pPr>
            <w:r>
              <w:rPr>
                <w:rFonts w:ascii="Times New Roman" w:hAnsi="Times New Roman"/>
                <w:b/>
                <w:bCs/>
                <w:sz w:val="20"/>
                <w:szCs w:val="20"/>
              </w:rPr>
              <w:t>C</w:t>
            </w:r>
            <w:r w:rsidRPr="004B6185">
              <w:rPr>
                <w:rFonts w:ascii="Times New Roman" w:hAnsi="Times New Roman"/>
                <w:b/>
                <w:bCs/>
                <w:sz w:val="20"/>
                <w:szCs w:val="20"/>
              </w:rPr>
              <w:t>oefficients (r</w:t>
            </w:r>
            <w:r w:rsidRPr="004B6185">
              <w:rPr>
                <w:rFonts w:ascii="Times New Roman" w:hAnsi="Times New Roman"/>
                <w:b/>
                <w:bCs/>
                <w:sz w:val="20"/>
                <w:szCs w:val="20"/>
                <w:vertAlign w:val="superscript"/>
              </w:rPr>
              <w:t>2</w:t>
            </w:r>
            <w:r w:rsidRPr="004B6185">
              <w:rPr>
                <w:rFonts w:ascii="Times New Roman" w:hAnsi="Times New Roman"/>
                <w:b/>
                <w:bCs/>
                <w:sz w:val="20"/>
                <w:szCs w:val="20"/>
              </w:rPr>
              <w:t>)</w:t>
            </w:r>
          </w:p>
        </w:tc>
        <w:tc>
          <w:tcPr>
            <w:tcW w:w="1621" w:type="dxa"/>
            <w:tcBorders>
              <w:top w:val="single" w:sz="4" w:space="0" w:color="auto"/>
              <w:bottom w:val="single" w:sz="4" w:space="0" w:color="auto"/>
            </w:tcBorders>
            <w:shd w:val="clear" w:color="auto" w:fill="auto"/>
            <w:vAlign w:val="center"/>
          </w:tcPr>
          <w:p w:rsidR="001106F7" w:rsidRPr="004B6185" w:rsidRDefault="001106F7" w:rsidP="001106F7">
            <w:pPr>
              <w:spacing w:before="60" w:after="0" w:line="240" w:lineRule="auto"/>
              <w:ind w:firstLine="187"/>
              <w:jc w:val="center"/>
              <w:rPr>
                <w:rFonts w:ascii="Times New Roman" w:hAnsi="Times New Roman"/>
                <w:b/>
                <w:bCs/>
                <w:sz w:val="20"/>
                <w:szCs w:val="20"/>
              </w:rPr>
            </w:pPr>
            <w:r>
              <w:rPr>
                <w:rFonts w:ascii="Times New Roman" w:hAnsi="Times New Roman"/>
                <w:b/>
                <w:bCs/>
                <w:sz w:val="20"/>
                <w:szCs w:val="20"/>
              </w:rPr>
              <w:t>Linear R</w:t>
            </w:r>
            <w:r w:rsidRPr="004B6185">
              <w:rPr>
                <w:rFonts w:ascii="Times New Roman" w:hAnsi="Times New Roman"/>
                <w:b/>
                <w:bCs/>
                <w:sz w:val="20"/>
                <w:szCs w:val="20"/>
              </w:rPr>
              <w:t>ange</w:t>
            </w:r>
          </w:p>
          <w:p w:rsidR="001106F7" w:rsidRPr="004B6185" w:rsidRDefault="001106F7" w:rsidP="001106F7">
            <w:pPr>
              <w:spacing w:after="60" w:line="240" w:lineRule="auto"/>
              <w:ind w:firstLine="187"/>
              <w:jc w:val="center"/>
              <w:rPr>
                <w:rFonts w:ascii="Times New Roman" w:hAnsi="Times New Roman"/>
                <w:b/>
                <w:bCs/>
                <w:sz w:val="20"/>
                <w:szCs w:val="20"/>
              </w:rPr>
            </w:pPr>
            <w:r w:rsidRPr="004B6185">
              <w:rPr>
                <w:rFonts w:ascii="Times New Roman" w:hAnsi="Times New Roman"/>
                <w:b/>
                <w:bCs/>
                <w:sz w:val="20"/>
                <w:szCs w:val="20"/>
              </w:rPr>
              <w:t>(ng/mL)</w:t>
            </w:r>
          </w:p>
        </w:tc>
      </w:tr>
      <w:tr w:rsidR="001106F7" w:rsidRPr="004B6185" w:rsidTr="00605FC1">
        <w:trPr>
          <w:trHeight w:val="193"/>
          <w:jc w:val="center"/>
        </w:trPr>
        <w:tc>
          <w:tcPr>
            <w:tcW w:w="1478" w:type="dxa"/>
            <w:tcBorders>
              <w:top w:val="single" w:sz="4" w:space="0" w:color="auto"/>
              <w:bottom w:val="nil"/>
            </w:tcBorders>
            <w:shd w:val="clear" w:color="auto" w:fill="auto"/>
            <w:vAlign w:val="center"/>
          </w:tcPr>
          <w:p w:rsidR="001106F7" w:rsidRPr="004B6185" w:rsidRDefault="001106F7" w:rsidP="00605FC1">
            <w:pPr>
              <w:spacing w:before="60" w:after="0" w:line="240" w:lineRule="auto"/>
              <w:ind w:firstLine="187"/>
              <w:rPr>
                <w:rFonts w:ascii="Times New Roman" w:hAnsi="Times New Roman"/>
                <w:bCs/>
                <w:sz w:val="20"/>
                <w:szCs w:val="20"/>
              </w:rPr>
            </w:pPr>
            <w:r w:rsidRPr="004B6185">
              <w:rPr>
                <w:rFonts w:ascii="Times New Roman" w:hAnsi="Times New Roman"/>
                <w:bCs/>
                <w:sz w:val="20"/>
                <w:szCs w:val="20"/>
              </w:rPr>
              <w:t>Cortisol</w:t>
            </w:r>
          </w:p>
        </w:tc>
        <w:tc>
          <w:tcPr>
            <w:tcW w:w="2329" w:type="dxa"/>
            <w:tcBorders>
              <w:top w:val="single" w:sz="4" w:space="0" w:color="auto"/>
              <w:bottom w:val="nil"/>
            </w:tcBorders>
            <w:shd w:val="clear" w:color="auto" w:fill="auto"/>
            <w:vAlign w:val="center"/>
          </w:tcPr>
          <w:p w:rsidR="001106F7" w:rsidRPr="004B6185" w:rsidRDefault="001106F7" w:rsidP="00605FC1">
            <w:pPr>
              <w:spacing w:before="60" w:after="0" w:line="240" w:lineRule="auto"/>
              <w:ind w:firstLine="187"/>
              <w:rPr>
                <w:rFonts w:ascii="Times New Roman" w:hAnsi="Times New Roman"/>
                <w:sz w:val="20"/>
                <w:szCs w:val="20"/>
              </w:rPr>
            </w:pPr>
            <w:r>
              <w:rPr>
                <w:rFonts w:ascii="Times New Roman" w:hAnsi="Times New Roman"/>
                <w:sz w:val="20"/>
                <w:szCs w:val="20"/>
              </w:rPr>
              <w:t xml:space="preserve">0.112255X </w:t>
            </w:r>
            <w:r w:rsidR="00605FC1">
              <w:rPr>
                <w:rFonts w:ascii="Times New Roman" w:hAnsi="Times New Roman"/>
                <w:sz w:val="20"/>
                <w:szCs w:val="20"/>
              </w:rPr>
              <w:t xml:space="preserve"> </w:t>
            </w:r>
            <w:r>
              <w:rPr>
                <w:rFonts w:ascii="Times New Roman" w:hAnsi="Times New Roman"/>
                <w:sz w:val="20"/>
                <w:szCs w:val="20"/>
              </w:rPr>
              <w:t xml:space="preserve">+ </w:t>
            </w:r>
            <w:r w:rsidRPr="004B6185">
              <w:rPr>
                <w:rFonts w:ascii="Times New Roman" w:hAnsi="Times New Roman"/>
                <w:sz w:val="20"/>
                <w:szCs w:val="20"/>
              </w:rPr>
              <w:t>0.003791</w:t>
            </w:r>
          </w:p>
        </w:tc>
        <w:tc>
          <w:tcPr>
            <w:tcW w:w="1710" w:type="dxa"/>
            <w:tcBorders>
              <w:top w:val="single" w:sz="4" w:space="0" w:color="auto"/>
              <w:bottom w:val="nil"/>
            </w:tcBorders>
            <w:shd w:val="clear" w:color="auto" w:fill="auto"/>
            <w:vAlign w:val="center"/>
          </w:tcPr>
          <w:p w:rsidR="001106F7" w:rsidRPr="004B6185" w:rsidRDefault="001106F7" w:rsidP="00605FC1">
            <w:pPr>
              <w:spacing w:before="60" w:after="0" w:line="240" w:lineRule="auto"/>
              <w:ind w:firstLine="187"/>
              <w:jc w:val="center"/>
              <w:rPr>
                <w:rFonts w:ascii="Times New Roman" w:hAnsi="Times New Roman"/>
                <w:sz w:val="20"/>
                <w:szCs w:val="20"/>
              </w:rPr>
            </w:pPr>
            <w:r w:rsidRPr="004B6185">
              <w:rPr>
                <w:rFonts w:ascii="Times New Roman" w:hAnsi="Times New Roman"/>
                <w:sz w:val="20"/>
                <w:szCs w:val="20"/>
              </w:rPr>
              <w:t>0.98</w:t>
            </w:r>
          </w:p>
        </w:tc>
        <w:tc>
          <w:tcPr>
            <w:tcW w:w="1621" w:type="dxa"/>
            <w:tcBorders>
              <w:top w:val="single" w:sz="4" w:space="0" w:color="auto"/>
              <w:bottom w:val="nil"/>
            </w:tcBorders>
            <w:shd w:val="clear" w:color="auto" w:fill="auto"/>
            <w:vAlign w:val="center"/>
          </w:tcPr>
          <w:p w:rsidR="001106F7" w:rsidRPr="004B6185" w:rsidRDefault="001106F7" w:rsidP="00605FC1">
            <w:pPr>
              <w:spacing w:before="60" w:after="0" w:line="240" w:lineRule="auto"/>
              <w:ind w:firstLine="187"/>
              <w:jc w:val="center"/>
              <w:rPr>
                <w:rFonts w:ascii="Times New Roman" w:hAnsi="Times New Roman"/>
                <w:sz w:val="20"/>
                <w:szCs w:val="20"/>
              </w:rPr>
            </w:pPr>
            <w:r w:rsidRPr="004B6185">
              <w:rPr>
                <w:rFonts w:ascii="Times New Roman" w:hAnsi="Times New Roman"/>
                <w:sz w:val="20"/>
                <w:szCs w:val="20"/>
              </w:rPr>
              <w:t>7.8 - 500</w:t>
            </w:r>
          </w:p>
        </w:tc>
      </w:tr>
      <w:tr w:rsidR="001106F7" w:rsidRPr="004B6185" w:rsidTr="00605FC1">
        <w:trPr>
          <w:trHeight w:val="97"/>
          <w:jc w:val="center"/>
        </w:trPr>
        <w:tc>
          <w:tcPr>
            <w:tcW w:w="1478" w:type="dxa"/>
            <w:tcBorders>
              <w:top w:val="nil"/>
              <w:bottom w:val="single" w:sz="4" w:space="0" w:color="auto"/>
            </w:tcBorders>
            <w:shd w:val="clear" w:color="auto" w:fill="auto"/>
            <w:vAlign w:val="center"/>
          </w:tcPr>
          <w:p w:rsidR="001106F7" w:rsidRPr="004B6185" w:rsidRDefault="001106F7" w:rsidP="00605FC1">
            <w:pPr>
              <w:spacing w:before="60" w:after="60" w:line="240" w:lineRule="auto"/>
              <w:ind w:firstLine="187"/>
              <w:rPr>
                <w:rFonts w:ascii="Times New Roman" w:hAnsi="Times New Roman"/>
                <w:bCs/>
                <w:sz w:val="20"/>
                <w:szCs w:val="20"/>
              </w:rPr>
            </w:pPr>
            <w:r w:rsidRPr="004B6185">
              <w:rPr>
                <w:rFonts w:ascii="Times New Roman" w:hAnsi="Times New Roman"/>
                <w:bCs/>
                <w:sz w:val="20"/>
                <w:szCs w:val="20"/>
              </w:rPr>
              <w:t>Cortisone</w:t>
            </w:r>
          </w:p>
        </w:tc>
        <w:tc>
          <w:tcPr>
            <w:tcW w:w="2329" w:type="dxa"/>
            <w:tcBorders>
              <w:top w:val="nil"/>
              <w:bottom w:val="single" w:sz="4" w:space="0" w:color="auto"/>
            </w:tcBorders>
            <w:shd w:val="clear" w:color="auto" w:fill="auto"/>
            <w:vAlign w:val="center"/>
          </w:tcPr>
          <w:p w:rsidR="001106F7" w:rsidRPr="004B6185" w:rsidRDefault="001106F7" w:rsidP="00605FC1">
            <w:pPr>
              <w:spacing w:before="60" w:after="60" w:line="240" w:lineRule="auto"/>
              <w:ind w:firstLine="187"/>
              <w:rPr>
                <w:rFonts w:ascii="Times New Roman" w:hAnsi="Times New Roman"/>
                <w:sz w:val="20"/>
                <w:szCs w:val="20"/>
              </w:rPr>
            </w:pPr>
            <w:r w:rsidRPr="004B6185">
              <w:rPr>
                <w:rFonts w:ascii="Times New Roman" w:hAnsi="Times New Roman"/>
                <w:sz w:val="20"/>
                <w:szCs w:val="20"/>
              </w:rPr>
              <w:t xml:space="preserve">0.166686X </w:t>
            </w:r>
            <w:r w:rsidR="00605FC1">
              <w:rPr>
                <w:rFonts w:ascii="Times New Roman" w:hAnsi="Times New Roman"/>
                <w:sz w:val="20"/>
                <w:szCs w:val="20"/>
              </w:rPr>
              <w:t xml:space="preserve"> </w:t>
            </w:r>
            <w:r w:rsidRPr="004B6185">
              <w:rPr>
                <w:rFonts w:ascii="Times New Roman" w:hAnsi="Times New Roman"/>
                <w:sz w:val="20"/>
                <w:szCs w:val="20"/>
              </w:rPr>
              <w:t>+ 0.004023</w:t>
            </w:r>
          </w:p>
        </w:tc>
        <w:tc>
          <w:tcPr>
            <w:tcW w:w="1710" w:type="dxa"/>
            <w:tcBorders>
              <w:top w:val="nil"/>
              <w:bottom w:val="single" w:sz="4" w:space="0" w:color="auto"/>
            </w:tcBorders>
            <w:shd w:val="clear" w:color="auto" w:fill="auto"/>
            <w:vAlign w:val="center"/>
          </w:tcPr>
          <w:p w:rsidR="001106F7" w:rsidRPr="004B6185" w:rsidRDefault="001106F7" w:rsidP="00605FC1">
            <w:pPr>
              <w:spacing w:before="60" w:after="60" w:line="240" w:lineRule="auto"/>
              <w:ind w:firstLine="187"/>
              <w:jc w:val="center"/>
              <w:rPr>
                <w:rFonts w:ascii="Times New Roman" w:hAnsi="Times New Roman"/>
                <w:sz w:val="20"/>
                <w:szCs w:val="20"/>
              </w:rPr>
            </w:pPr>
            <w:r w:rsidRPr="004B6185">
              <w:rPr>
                <w:rFonts w:ascii="Times New Roman" w:hAnsi="Times New Roman"/>
                <w:sz w:val="20"/>
                <w:szCs w:val="20"/>
              </w:rPr>
              <w:t>0.99</w:t>
            </w:r>
          </w:p>
        </w:tc>
        <w:tc>
          <w:tcPr>
            <w:tcW w:w="1621" w:type="dxa"/>
            <w:tcBorders>
              <w:top w:val="nil"/>
              <w:bottom w:val="single" w:sz="4" w:space="0" w:color="auto"/>
            </w:tcBorders>
            <w:shd w:val="clear" w:color="auto" w:fill="auto"/>
            <w:vAlign w:val="center"/>
          </w:tcPr>
          <w:p w:rsidR="001106F7" w:rsidRPr="004B6185" w:rsidRDefault="001106F7" w:rsidP="00605FC1">
            <w:pPr>
              <w:spacing w:before="60" w:after="60" w:line="240" w:lineRule="auto"/>
              <w:ind w:firstLine="187"/>
              <w:jc w:val="center"/>
              <w:rPr>
                <w:rFonts w:ascii="Times New Roman" w:hAnsi="Times New Roman"/>
                <w:sz w:val="20"/>
                <w:szCs w:val="20"/>
              </w:rPr>
            </w:pPr>
            <w:r w:rsidRPr="004B6185">
              <w:rPr>
                <w:rFonts w:ascii="Times New Roman" w:hAnsi="Times New Roman"/>
                <w:sz w:val="20"/>
                <w:szCs w:val="20"/>
              </w:rPr>
              <w:t>7.8 - 500</w:t>
            </w:r>
          </w:p>
        </w:tc>
      </w:tr>
    </w:tbl>
    <w:p w:rsidR="001106F7" w:rsidRPr="004B6185" w:rsidRDefault="001106F7" w:rsidP="001106F7">
      <w:pPr>
        <w:spacing w:after="0" w:line="240" w:lineRule="auto"/>
        <w:rPr>
          <w:rFonts w:ascii="Times New Roman" w:hAnsi="Times New Roman"/>
          <w:sz w:val="20"/>
          <w:szCs w:val="20"/>
        </w:rPr>
      </w:pPr>
    </w:p>
    <w:p w:rsidR="001106F7" w:rsidRDefault="001106F7" w:rsidP="008C2AD5">
      <w:pPr>
        <w:spacing w:after="0" w:line="240" w:lineRule="auto"/>
        <w:jc w:val="both"/>
        <w:rPr>
          <w:rFonts w:ascii="Times New Roman" w:hAnsi="Times New Roman"/>
          <w:sz w:val="20"/>
          <w:szCs w:val="20"/>
        </w:rPr>
      </w:pPr>
    </w:p>
    <w:p w:rsidR="00605FC1" w:rsidRPr="004B6185" w:rsidRDefault="00605FC1" w:rsidP="00605FC1">
      <w:pPr>
        <w:spacing w:after="120" w:line="240" w:lineRule="auto"/>
        <w:ind w:firstLine="187"/>
        <w:jc w:val="center"/>
        <w:rPr>
          <w:rFonts w:ascii="Times New Roman" w:hAnsi="Times New Roman"/>
          <w:sz w:val="20"/>
          <w:szCs w:val="20"/>
        </w:rPr>
      </w:pPr>
      <w:r w:rsidRPr="004B6185">
        <w:rPr>
          <w:rFonts w:ascii="Times New Roman" w:hAnsi="Times New Roman"/>
          <w:sz w:val="20"/>
          <w:szCs w:val="20"/>
        </w:rPr>
        <w:t>Table 3.</w:t>
      </w:r>
      <w:r w:rsidRPr="004B6185">
        <w:rPr>
          <w:rFonts w:ascii="Times New Roman" w:hAnsi="Times New Roman"/>
          <w:b/>
          <w:bCs/>
          <w:sz w:val="20"/>
          <w:szCs w:val="20"/>
        </w:rPr>
        <w:t xml:space="preserve"> </w:t>
      </w:r>
      <w:r>
        <w:rPr>
          <w:rFonts w:ascii="Times New Roman" w:hAnsi="Times New Roman"/>
          <w:b/>
          <w:bCs/>
          <w:sz w:val="20"/>
          <w:szCs w:val="20"/>
        </w:rPr>
        <w:t xml:space="preserve"> </w:t>
      </w:r>
      <w:r w:rsidRPr="004B6185">
        <w:rPr>
          <w:rFonts w:ascii="Times New Roman" w:hAnsi="Times New Roman"/>
          <w:sz w:val="20"/>
          <w:szCs w:val="20"/>
        </w:rPr>
        <w:t>Precision and accuracy data</w:t>
      </w:r>
    </w:p>
    <w:tbl>
      <w:tblPr>
        <w:tblW w:w="0" w:type="auto"/>
        <w:jc w:val="center"/>
        <w:tblBorders>
          <w:top w:val="single" w:sz="4" w:space="0" w:color="7F7F7F"/>
          <w:bottom w:val="single" w:sz="4" w:space="0" w:color="7F7F7F"/>
        </w:tblBorders>
        <w:tblLook w:val="04A0" w:firstRow="1" w:lastRow="0" w:firstColumn="1" w:lastColumn="0" w:noHBand="0" w:noVBand="1"/>
      </w:tblPr>
      <w:tblGrid>
        <w:gridCol w:w="1077"/>
        <w:gridCol w:w="1480"/>
        <w:gridCol w:w="1365"/>
        <w:gridCol w:w="1114"/>
        <w:gridCol w:w="1038"/>
        <w:gridCol w:w="1365"/>
        <w:gridCol w:w="1114"/>
        <w:gridCol w:w="994"/>
      </w:tblGrid>
      <w:tr w:rsidR="00605FC1" w:rsidRPr="006E405B" w:rsidTr="00605FC1">
        <w:trPr>
          <w:trHeight w:val="480"/>
          <w:jc w:val="center"/>
        </w:trPr>
        <w:tc>
          <w:tcPr>
            <w:tcW w:w="0" w:type="auto"/>
            <w:vMerge w:val="restart"/>
            <w:tcBorders>
              <w:top w:val="single" w:sz="4" w:space="0" w:color="auto"/>
              <w:bottom w:val="nil"/>
            </w:tcBorders>
            <w:shd w:val="clear" w:color="auto" w:fill="auto"/>
            <w:vAlign w:val="center"/>
          </w:tcPr>
          <w:p w:rsidR="00605FC1" w:rsidRPr="006E405B" w:rsidRDefault="00605FC1" w:rsidP="00605FC1">
            <w:pPr>
              <w:spacing w:after="0" w:line="240" w:lineRule="auto"/>
              <w:rPr>
                <w:rFonts w:ascii="Times New Roman" w:hAnsi="Times New Roman"/>
                <w:b/>
                <w:bCs/>
                <w:sz w:val="18"/>
                <w:szCs w:val="20"/>
              </w:rPr>
            </w:pPr>
            <w:r w:rsidRPr="006E405B">
              <w:rPr>
                <w:rFonts w:ascii="Times New Roman" w:hAnsi="Times New Roman"/>
                <w:b/>
                <w:bCs/>
                <w:sz w:val="18"/>
                <w:szCs w:val="20"/>
              </w:rPr>
              <w:t>Compound</w:t>
            </w:r>
          </w:p>
        </w:tc>
        <w:tc>
          <w:tcPr>
            <w:tcW w:w="0" w:type="auto"/>
            <w:vMerge w:val="restart"/>
            <w:tcBorders>
              <w:top w:val="single" w:sz="4" w:space="0" w:color="auto"/>
              <w:bottom w:val="nil"/>
            </w:tcBorders>
            <w:shd w:val="clear" w:color="auto" w:fill="auto"/>
            <w:vAlign w:val="center"/>
          </w:tcPr>
          <w:p w:rsidR="00605FC1" w:rsidRPr="006E405B" w:rsidRDefault="00605FC1" w:rsidP="00EA4DF5">
            <w:pPr>
              <w:spacing w:after="0" w:line="240" w:lineRule="auto"/>
              <w:jc w:val="center"/>
              <w:rPr>
                <w:rFonts w:ascii="Times New Roman" w:hAnsi="Times New Roman"/>
                <w:b/>
                <w:bCs/>
                <w:sz w:val="18"/>
                <w:szCs w:val="20"/>
              </w:rPr>
            </w:pPr>
            <w:r w:rsidRPr="006E405B">
              <w:rPr>
                <w:rFonts w:ascii="Times New Roman" w:hAnsi="Times New Roman"/>
                <w:b/>
                <w:bCs/>
                <w:sz w:val="18"/>
                <w:szCs w:val="20"/>
              </w:rPr>
              <w:t xml:space="preserve">Spiked </w:t>
            </w:r>
            <w:r>
              <w:rPr>
                <w:rFonts w:ascii="Times New Roman" w:hAnsi="Times New Roman"/>
                <w:b/>
                <w:bCs/>
                <w:sz w:val="18"/>
                <w:szCs w:val="20"/>
              </w:rPr>
              <w:t>C</w:t>
            </w:r>
            <w:r w:rsidRPr="006E405B">
              <w:rPr>
                <w:rFonts w:ascii="Times New Roman" w:hAnsi="Times New Roman"/>
                <w:b/>
                <w:bCs/>
                <w:sz w:val="18"/>
                <w:szCs w:val="20"/>
              </w:rPr>
              <w:t>oncentration</w:t>
            </w:r>
          </w:p>
          <w:p w:rsidR="00605FC1" w:rsidRPr="006E405B" w:rsidRDefault="00605FC1" w:rsidP="00EA4DF5">
            <w:pPr>
              <w:spacing w:after="0" w:line="240" w:lineRule="auto"/>
              <w:ind w:firstLine="187"/>
              <w:jc w:val="center"/>
              <w:rPr>
                <w:rFonts w:ascii="Times New Roman" w:hAnsi="Times New Roman"/>
                <w:b/>
                <w:bCs/>
                <w:sz w:val="18"/>
                <w:szCs w:val="20"/>
              </w:rPr>
            </w:pPr>
            <w:r w:rsidRPr="006E405B">
              <w:rPr>
                <w:rFonts w:ascii="Times New Roman" w:hAnsi="Times New Roman"/>
                <w:b/>
                <w:bCs/>
                <w:sz w:val="18"/>
                <w:szCs w:val="20"/>
              </w:rPr>
              <w:t>(ng/mL)</w:t>
            </w:r>
          </w:p>
        </w:tc>
        <w:tc>
          <w:tcPr>
            <w:tcW w:w="0" w:type="auto"/>
            <w:gridSpan w:val="3"/>
            <w:tcBorders>
              <w:top w:val="single" w:sz="4" w:space="0" w:color="auto"/>
              <w:bottom w:val="single" w:sz="4" w:space="0" w:color="auto"/>
            </w:tcBorders>
            <w:shd w:val="clear" w:color="auto" w:fill="auto"/>
            <w:vAlign w:val="center"/>
          </w:tcPr>
          <w:p w:rsidR="00605FC1" w:rsidRPr="006E405B" w:rsidRDefault="00605FC1" w:rsidP="00605FC1">
            <w:pPr>
              <w:spacing w:before="60" w:after="0" w:line="240" w:lineRule="auto"/>
              <w:jc w:val="center"/>
              <w:rPr>
                <w:rFonts w:ascii="Times New Roman" w:hAnsi="Times New Roman"/>
                <w:b/>
                <w:bCs/>
                <w:sz w:val="18"/>
                <w:szCs w:val="20"/>
              </w:rPr>
            </w:pPr>
            <w:r w:rsidRPr="006E405B">
              <w:rPr>
                <w:rFonts w:ascii="Times New Roman" w:hAnsi="Times New Roman"/>
                <w:b/>
                <w:bCs/>
                <w:sz w:val="18"/>
                <w:szCs w:val="20"/>
              </w:rPr>
              <w:t>Intra-day</w:t>
            </w:r>
          </w:p>
        </w:tc>
        <w:tc>
          <w:tcPr>
            <w:tcW w:w="3364" w:type="dxa"/>
            <w:gridSpan w:val="3"/>
            <w:tcBorders>
              <w:top w:val="single" w:sz="4" w:space="0" w:color="auto"/>
              <w:bottom w:val="single" w:sz="4" w:space="0" w:color="auto"/>
            </w:tcBorders>
            <w:shd w:val="clear" w:color="auto" w:fill="auto"/>
            <w:vAlign w:val="center"/>
          </w:tcPr>
          <w:p w:rsidR="00605FC1" w:rsidRPr="006E405B" w:rsidRDefault="00605FC1" w:rsidP="00605FC1">
            <w:pPr>
              <w:spacing w:before="60" w:after="0" w:line="240" w:lineRule="auto"/>
              <w:jc w:val="center"/>
              <w:rPr>
                <w:rFonts w:ascii="Times New Roman" w:hAnsi="Times New Roman"/>
                <w:b/>
                <w:bCs/>
                <w:sz w:val="18"/>
                <w:szCs w:val="20"/>
              </w:rPr>
            </w:pPr>
            <w:r w:rsidRPr="006E405B">
              <w:rPr>
                <w:rFonts w:ascii="Times New Roman" w:hAnsi="Times New Roman"/>
                <w:b/>
                <w:bCs/>
                <w:sz w:val="18"/>
                <w:szCs w:val="20"/>
              </w:rPr>
              <w:t>Inter-day</w:t>
            </w:r>
          </w:p>
        </w:tc>
      </w:tr>
      <w:tr w:rsidR="00605FC1" w:rsidRPr="006E405B" w:rsidTr="00605FC1">
        <w:trPr>
          <w:trHeight w:val="515"/>
          <w:jc w:val="center"/>
        </w:trPr>
        <w:tc>
          <w:tcPr>
            <w:tcW w:w="0" w:type="auto"/>
            <w:vMerge/>
            <w:tcBorders>
              <w:top w:val="nil"/>
              <w:bottom w:val="single" w:sz="4" w:space="0" w:color="auto"/>
            </w:tcBorders>
            <w:shd w:val="clear" w:color="auto" w:fill="auto"/>
            <w:vAlign w:val="center"/>
          </w:tcPr>
          <w:p w:rsidR="00605FC1" w:rsidRPr="006E405B" w:rsidRDefault="00605FC1" w:rsidP="00605FC1">
            <w:pPr>
              <w:spacing w:after="0" w:line="240" w:lineRule="auto"/>
              <w:ind w:firstLine="187"/>
              <w:rPr>
                <w:rFonts w:ascii="Times New Roman" w:hAnsi="Times New Roman"/>
                <w:b/>
                <w:bCs/>
                <w:sz w:val="18"/>
                <w:szCs w:val="20"/>
              </w:rPr>
            </w:pPr>
          </w:p>
        </w:tc>
        <w:tc>
          <w:tcPr>
            <w:tcW w:w="0" w:type="auto"/>
            <w:vMerge/>
            <w:tcBorders>
              <w:top w:val="nil"/>
              <w:bottom w:val="single" w:sz="4" w:space="0" w:color="auto"/>
            </w:tcBorders>
            <w:shd w:val="clear" w:color="auto" w:fill="auto"/>
            <w:vAlign w:val="center"/>
          </w:tcPr>
          <w:p w:rsidR="00605FC1" w:rsidRPr="006E405B" w:rsidRDefault="00605FC1" w:rsidP="00EA4DF5">
            <w:pPr>
              <w:spacing w:after="0" w:line="240" w:lineRule="auto"/>
              <w:ind w:firstLine="187"/>
              <w:jc w:val="center"/>
              <w:rPr>
                <w:rFonts w:ascii="Times New Roman" w:hAnsi="Times New Roman"/>
                <w:sz w:val="18"/>
                <w:szCs w:val="20"/>
              </w:rPr>
            </w:pPr>
          </w:p>
        </w:tc>
        <w:tc>
          <w:tcPr>
            <w:tcW w:w="0" w:type="auto"/>
            <w:tcBorders>
              <w:top w:val="single" w:sz="4" w:space="0" w:color="auto"/>
              <w:bottom w:val="single" w:sz="4" w:space="0" w:color="auto"/>
            </w:tcBorders>
            <w:shd w:val="clear" w:color="auto" w:fill="auto"/>
            <w:vAlign w:val="center"/>
          </w:tcPr>
          <w:p w:rsidR="00605FC1" w:rsidRPr="006E405B" w:rsidRDefault="00605FC1" w:rsidP="00EA4DF5">
            <w:pPr>
              <w:spacing w:after="0" w:line="240" w:lineRule="auto"/>
              <w:jc w:val="center"/>
              <w:rPr>
                <w:rFonts w:ascii="Times New Roman" w:hAnsi="Times New Roman"/>
                <w:b/>
                <w:bCs/>
                <w:sz w:val="18"/>
                <w:szCs w:val="20"/>
              </w:rPr>
            </w:pPr>
            <w:r w:rsidRPr="006E405B">
              <w:rPr>
                <w:rFonts w:ascii="Times New Roman" w:hAnsi="Times New Roman"/>
                <w:b/>
                <w:bCs/>
                <w:sz w:val="18"/>
                <w:szCs w:val="20"/>
              </w:rPr>
              <w:t>Mean Measured</w:t>
            </w:r>
            <w:r w:rsidRPr="006E405B">
              <w:rPr>
                <w:rFonts w:ascii="Times New Roman" w:hAnsi="Times New Roman"/>
                <w:b/>
                <w:bCs/>
                <w:sz w:val="18"/>
                <w:szCs w:val="20"/>
              </w:rPr>
              <w:br/>
              <w:t>Concentration</w:t>
            </w:r>
          </w:p>
          <w:p w:rsidR="00605FC1" w:rsidRPr="006E405B" w:rsidRDefault="00605FC1" w:rsidP="00605FC1">
            <w:pPr>
              <w:spacing w:after="60" w:line="240" w:lineRule="auto"/>
              <w:jc w:val="center"/>
              <w:rPr>
                <w:rFonts w:ascii="Times New Roman" w:hAnsi="Times New Roman"/>
                <w:b/>
                <w:bCs/>
                <w:sz w:val="18"/>
                <w:szCs w:val="20"/>
              </w:rPr>
            </w:pPr>
            <w:r w:rsidRPr="006E405B">
              <w:rPr>
                <w:rFonts w:ascii="Times New Roman" w:hAnsi="Times New Roman"/>
                <w:b/>
                <w:bCs/>
                <w:sz w:val="18"/>
                <w:szCs w:val="20"/>
              </w:rPr>
              <w:t>(ng/mL)</w:t>
            </w:r>
          </w:p>
        </w:tc>
        <w:tc>
          <w:tcPr>
            <w:tcW w:w="0" w:type="auto"/>
            <w:tcBorders>
              <w:top w:val="single" w:sz="4" w:space="0" w:color="auto"/>
              <w:bottom w:val="single" w:sz="4" w:space="0" w:color="auto"/>
            </w:tcBorders>
            <w:shd w:val="clear" w:color="auto" w:fill="auto"/>
            <w:vAlign w:val="center"/>
          </w:tcPr>
          <w:p w:rsidR="00605FC1" w:rsidRPr="006E405B" w:rsidRDefault="00605FC1" w:rsidP="00EA4DF5">
            <w:pPr>
              <w:spacing w:after="0" w:line="240" w:lineRule="auto"/>
              <w:jc w:val="center"/>
              <w:rPr>
                <w:rFonts w:ascii="Times New Roman" w:hAnsi="Times New Roman"/>
                <w:b/>
                <w:bCs/>
                <w:sz w:val="18"/>
                <w:szCs w:val="20"/>
              </w:rPr>
            </w:pPr>
            <w:r w:rsidRPr="006E405B">
              <w:rPr>
                <w:rFonts w:ascii="Times New Roman" w:hAnsi="Times New Roman"/>
                <w:b/>
                <w:bCs/>
                <w:sz w:val="18"/>
                <w:szCs w:val="20"/>
              </w:rPr>
              <w:t>Precision (RSD%)</w:t>
            </w:r>
          </w:p>
        </w:tc>
        <w:tc>
          <w:tcPr>
            <w:tcW w:w="0" w:type="auto"/>
            <w:tcBorders>
              <w:top w:val="single" w:sz="4" w:space="0" w:color="auto"/>
              <w:bottom w:val="single" w:sz="4" w:space="0" w:color="auto"/>
            </w:tcBorders>
            <w:shd w:val="clear" w:color="auto" w:fill="auto"/>
            <w:vAlign w:val="center"/>
          </w:tcPr>
          <w:p w:rsidR="00605FC1" w:rsidRPr="006E405B" w:rsidRDefault="00605FC1" w:rsidP="00EA4DF5">
            <w:pPr>
              <w:spacing w:after="0" w:line="240" w:lineRule="auto"/>
              <w:jc w:val="center"/>
              <w:rPr>
                <w:rFonts w:ascii="Times New Roman" w:hAnsi="Times New Roman"/>
                <w:b/>
                <w:bCs/>
                <w:sz w:val="18"/>
                <w:szCs w:val="20"/>
              </w:rPr>
            </w:pPr>
            <w:r w:rsidRPr="006E405B">
              <w:rPr>
                <w:rFonts w:ascii="Times New Roman" w:hAnsi="Times New Roman"/>
                <w:b/>
                <w:bCs/>
                <w:sz w:val="18"/>
                <w:szCs w:val="20"/>
              </w:rPr>
              <w:t>Accuracy (%)</w:t>
            </w:r>
          </w:p>
        </w:tc>
        <w:tc>
          <w:tcPr>
            <w:tcW w:w="0" w:type="auto"/>
            <w:tcBorders>
              <w:top w:val="single" w:sz="4" w:space="0" w:color="auto"/>
              <w:bottom w:val="single" w:sz="4" w:space="0" w:color="auto"/>
            </w:tcBorders>
            <w:shd w:val="clear" w:color="auto" w:fill="auto"/>
            <w:vAlign w:val="center"/>
          </w:tcPr>
          <w:p w:rsidR="00605FC1" w:rsidRPr="006E405B" w:rsidRDefault="00605FC1" w:rsidP="00EA4DF5">
            <w:pPr>
              <w:spacing w:after="0" w:line="240" w:lineRule="auto"/>
              <w:jc w:val="center"/>
              <w:rPr>
                <w:rFonts w:ascii="Times New Roman" w:hAnsi="Times New Roman"/>
                <w:b/>
                <w:bCs/>
                <w:sz w:val="18"/>
                <w:szCs w:val="20"/>
              </w:rPr>
            </w:pPr>
            <w:r w:rsidRPr="006E405B">
              <w:rPr>
                <w:rFonts w:ascii="Times New Roman" w:hAnsi="Times New Roman"/>
                <w:b/>
                <w:bCs/>
                <w:sz w:val="18"/>
                <w:szCs w:val="20"/>
              </w:rPr>
              <w:t>Mean Measured</w:t>
            </w:r>
            <w:r w:rsidRPr="006E405B">
              <w:rPr>
                <w:rFonts w:ascii="Times New Roman" w:hAnsi="Times New Roman"/>
                <w:b/>
                <w:bCs/>
                <w:sz w:val="18"/>
                <w:szCs w:val="20"/>
              </w:rPr>
              <w:br/>
              <w:t>Concentration</w:t>
            </w:r>
          </w:p>
          <w:p w:rsidR="00605FC1" w:rsidRPr="006E405B" w:rsidRDefault="00605FC1" w:rsidP="00605FC1">
            <w:pPr>
              <w:spacing w:after="60" w:line="240" w:lineRule="auto"/>
              <w:jc w:val="center"/>
              <w:rPr>
                <w:rFonts w:ascii="Times New Roman" w:hAnsi="Times New Roman"/>
                <w:b/>
                <w:bCs/>
                <w:sz w:val="18"/>
                <w:szCs w:val="20"/>
              </w:rPr>
            </w:pPr>
            <w:r w:rsidRPr="006E405B">
              <w:rPr>
                <w:rFonts w:ascii="Times New Roman" w:hAnsi="Times New Roman"/>
                <w:b/>
                <w:bCs/>
                <w:sz w:val="18"/>
                <w:szCs w:val="20"/>
              </w:rPr>
              <w:t>(ng/mL)</w:t>
            </w:r>
          </w:p>
        </w:tc>
        <w:tc>
          <w:tcPr>
            <w:tcW w:w="0" w:type="auto"/>
            <w:tcBorders>
              <w:top w:val="single" w:sz="4" w:space="0" w:color="auto"/>
              <w:bottom w:val="single" w:sz="4" w:space="0" w:color="auto"/>
            </w:tcBorders>
            <w:shd w:val="clear" w:color="auto" w:fill="auto"/>
            <w:vAlign w:val="center"/>
          </w:tcPr>
          <w:p w:rsidR="00605FC1" w:rsidRPr="006E405B" w:rsidRDefault="00605FC1" w:rsidP="00EA4DF5">
            <w:pPr>
              <w:spacing w:after="0" w:line="240" w:lineRule="auto"/>
              <w:jc w:val="center"/>
              <w:rPr>
                <w:rFonts w:ascii="Times New Roman" w:hAnsi="Times New Roman"/>
                <w:b/>
                <w:bCs/>
                <w:sz w:val="18"/>
                <w:szCs w:val="20"/>
              </w:rPr>
            </w:pPr>
            <w:r w:rsidRPr="006E405B">
              <w:rPr>
                <w:rFonts w:ascii="Times New Roman" w:hAnsi="Times New Roman"/>
                <w:b/>
                <w:bCs/>
                <w:sz w:val="18"/>
                <w:szCs w:val="20"/>
              </w:rPr>
              <w:t>Precision (RSD%)</w:t>
            </w:r>
          </w:p>
        </w:tc>
        <w:tc>
          <w:tcPr>
            <w:tcW w:w="994" w:type="dxa"/>
            <w:tcBorders>
              <w:top w:val="single" w:sz="4" w:space="0" w:color="auto"/>
              <w:bottom w:val="single" w:sz="4" w:space="0" w:color="auto"/>
            </w:tcBorders>
            <w:shd w:val="clear" w:color="auto" w:fill="auto"/>
            <w:vAlign w:val="center"/>
          </w:tcPr>
          <w:p w:rsidR="00605FC1" w:rsidRPr="006E405B" w:rsidRDefault="00605FC1" w:rsidP="00EA4DF5">
            <w:pPr>
              <w:spacing w:after="0" w:line="240" w:lineRule="auto"/>
              <w:jc w:val="center"/>
              <w:rPr>
                <w:rFonts w:ascii="Times New Roman" w:hAnsi="Times New Roman"/>
                <w:b/>
                <w:bCs/>
                <w:sz w:val="18"/>
                <w:szCs w:val="20"/>
              </w:rPr>
            </w:pPr>
            <w:r w:rsidRPr="006E405B">
              <w:rPr>
                <w:rFonts w:ascii="Times New Roman" w:hAnsi="Times New Roman"/>
                <w:b/>
                <w:bCs/>
                <w:sz w:val="18"/>
                <w:szCs w:val="20"/>
              </w:rPr>
              <w:t>Accuracy (%)</w:t>
            </w:r>
          </w:p>
        </w:tc>
      </w:tr>
      <w:tr w:rsidR="00605FC1" w:rsidRPr="006E405B" w:rsidTr="00605FC1">
        <w:trPr>
          <w:trHeight w:val="243"/>
          <w:jc w:val="center"/>
        </w:trPr>
        <w:tc>
          <w:tcPr>
            <w:tcW w:w="0" w:type="auto"/>
            <w:vMerge w:val="restart"/>
            <w:tcBorders>
              <w:top w:val="single" w:sz="4" w:space="0" w:color="auto"/>
              <w:bottom w:val="nil"/>
            </w:tcBorders>
            <w:shd w:val="clear" w:color="auto" w:fill="auto"/>
            <w:vAlign w:val="center"/>
          </w:tcPr>
          <w:p w:rsidR="00605FC1" w:rsidRPr="006E405B" w:rsidRDefault="00605FC1" w:rsidP="00605FC1">
            <w:pPr>
              <w:spacing w:before="60" w:after="0" w:line="240" w:lineRule="auto"/>
              <w:rPr>
                <w:rFonts w:ascii="Times New Roman" w:hAnsi="Times New Roman"/>
                <w:sz w:val="18"/>
                <w:szCs w:val="20"/>
              </w:rPr>
            </w:pPr>
            <w:r w:rsidRPr="006E405B">
              <w:rPr>
                <w:rFonts w:ascii="Times New Roman" w:hAnsi="Times New Roman"/>
                <w:sz w:val="18"/>
                <w:szCs w:val="20"/>
              </w:rPr>
              <w:t>Cortisol</w:t>
            </w:r>
          </w:p>
        </w:tc>
        <w:tc>
          <w:tcPr>
            <w:tcW w:w="0" w:type="auto"/>
            <w:tcBorders>
              <w:top w:val="single" w:sz="4" w:space="0" w:color="auto"/>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20</w:t>
            </w:r>
          </w:p>
        </w:tc>
        <w:tc>
          <w:tcPr>
            <w:tcW w:w="0" w:type="auto"/>
            <w:tcBorders>
              <w:top w:val="single" w:sz="4" w:space="0" w:color="auto"/>
              <w:bottom w:val="nil"/>
            </w:tcBorders>
            <w:shd w:val="clear" w:color="auto" w:fill="auto"/>
            <w:vAlign w:val="center"/>
          </w:tcPr>
          <w:p w:rsidR="00605FC1" w:rsidRPr="006E405B" w:rsidRDefault="00605FC1" w:rsidP="00605FC1">
            <w:pPr>
              <w:spacing w:before="60" w:after="0" w:line="240" w:lineRule="auto"/>
              <w:jc w:val="center"/>
              <w:rPr>
                <w:rFonts w:ascii="Times New Roman" w:hAnsi="Times New Roman"/>
                <w:sz w:val="18"/>
                <w:szCs w:val="20"/>
              </w:rPr>
            </w:pPr>
            <w:r w:rsidRPr="006E405B">
              <w:rPr>
                <w:rFonts w:ascii="Times New Roman" w:hAnsi="Times New Roman"/>
                <w:sz w:val="18"/>
                <w:szCs w:val="20"/>
              </w:rPr>
              <w:t>18.14</w:t>
            </w:r>
          </w:p>
        </w:tc>
        <w:tc>
          <w:tcPr>
            <w:tcW w:w="0" w:type="auto"/>
            <w:tcBorders>
              <w:top w:val="single" w:sz="4" w:space="0" w:color="auto"/>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10.46</w:t>
            </w:r>
          </w:p>
        </w:tc>
        <w:tc>
          <w:tcPr>
            <w:tcW w:w="0" w:type="auto"/>
            <w:tcBorders>
              <w:top w:val="single" w:sz="4" w:space="0" w:color="auto"/>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90.68</w:t>
            </w:r>
          </w:p>
        </w:tc>
        <w:tc>
          <w:tcPr>
            <w:tcW w:w="0" w:type="auto"/>
            <w:tcBorders>
              <w:top w:val="single" w:sz="4" w:space="0" w:color="auto"/>
              <w:bottom w:val="nil"/>
            </w:tcBorders>
            <w:shd w:val="clear" w:color="auto" w:fill="auto"/>
            <w:vAlign w:val="center"/>
          </w:tcPr>
          <w:p w:rsidR="00605FC1" w:rsidRPr="006E405B" w:rsidRDefault="00605FC1" w:rsidP="00605FC1">
            <w:pPr>
              <w:spacing w:before="60" w:after="0" w:line="240" w:lineRule="auto"/>
              <w:jc w:val="center"/>
              <w:rPr>
                <w:rFonts w:ascii="Times New Roman" w:hAnsi="Times New Roman"/>
                <w:sz w:val="18"/>
                <w:szCs w:val="20"/>
              </w:rPr>
            </w:pPr>
            <w:r w:rsidRPr="006E405B">
              <w:rPr>
                <w:rFonts w:ascii="Times New Roman" w:hAnsi="Times New Roman"/>
                <w:sz w:val="18"/>
                <w:szCs w:val="20"/>
              </w:rPr>
              <w:t>18.92</w:t>
            </w:r>
          </w:p>
        </w:tc>
        <w:tc>
          <w:tcPr>
            <w:tcW w:w="0" w:type="auto"/>
            <w:tcBorders>
              <w:top w:val="single" w:sz="4" w:space="0" w:color="auto"/>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7.18</w:t>
            </w:r>
          </w:p>
        </w:tc>
        <w:tc>
          <w:tcPr>
            <w:tcW w:w="994" w:type="dxa"/>
            <w:tcBorders>
              <w:top w:val="single" w:sz="4" w:space="0" w:color="auto"/>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94.50</w:t>
            </w:r>
          </w:p>
        </w:tc>
      </w:tr>
      <w:tr w:rsidR="00605FC1" w:rsidRPr="006E405B" w:rsidTr="00EA4DF5">
        <w:trPr>
          <w:trHeight w:val="53"/>
          <w:jc w:val="center"/>
        </w:trPr>
        <w:tc>
          <w:tcPr>
            <w:tcW w:w="0" w:type="auto"/>
            <w:vMerge/>
            <w:tcBorders>
              <w:top w:val="nil"/>
              <w:bottom w:val="nil"/>
            </w:tcBorders>
            <w:shd w:val="clear" w:color="auto" w:fill="auto"/>
            <w:vAlign w:val="center"/>
          </w:tcPr>
          <w:p w:rsidR="00605FC1" w:rsidRPr="006E405B" w:rsidRDefault="00605FC1" w:rsidP="00605FC1">
            <w:pPr>
              <w:spacing w:before="60" w:after="0" w:line="240" w:lineRule="auto"/>
              <w:ind w:firstLine="187"/>
              <w:rPr>
                <w:rFonts w:ascii="Times New Roman" w:hAnsi="Times New Roman"/>
                <w:sz w:val="18"/>
                <w:szCs w:val="20"/>
              </w:rPr>
            </w:pPr>
          </w:p>
        </w:tc>
        <w:tc>
          <w:tcPr>
            <w:tcW w:w="0" w:type="auto"/>
            <w:tcBorders>
              <w:top w:val="nil"/>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200</w:t>
            </w:r>
          </w:p>
        </w:tc>
        <w:tc>
          <w:tcPr>
            <w:tcW w:w="0" w:type="auto"/>
            <w:tcBorders>
              <w:top w:val="nil"/>
              <w:bottom w:val="nil"/>
            </w:tcBorders>
            <w:shd w:val="clear" w:color="auto" w:fill="auto"/>
            <w:vAlign w:val="center"/>
          </w:tcPr>
          <w:p w:rsidR="00605FC1" w:rsidRPr="006E405B" w:rsidRDefault="00605FC1" w:rsidP="00605FC1">
            <w:pPr>
              <w:spacing w:before="60" w:after="0" w:line="240" w:lineRule="auto"/>
              <w:jc w:val="center"/>
              <w:rPr>
                <w:rFonts w:ascii="Times New Roman" w:hAnsi="Times New Roman"/>
                <w:sz w:val="18"/>
                <w:szCs w:val="20"/>
              </w:rPr>
            </w:pPr>
            <w:r w:rsidRPr="006E405B">
              <w:rPr>
                <w:rFonts w:ascii="Times New Roman" w:hAnsi="Times New Roman"/>
                <w:sz w:val="18"/>
                <w:szCs w:val="20"/>
              </w:rPr>
              <w:t>183.89</w:t>
            </w:r>
          </w:p>
        </w:tc>
        <w:tc>
          <w:tcPr>
            <w:tcW w:w="0" w:type="auto"/>
            <w:tcBorders>
              <w:top w:val="nil"/>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2.20</w:t>
            </w:r>
          </w:p>
        </w:tc>
        <w:tc>
          <w:tcPr>
            <w:tcW w:w="0" w:type="auto"/>
            <w:tcBorders>
              <w:top w:val="nil"/>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91.94</w:t>
            </w:r>
          </w:p>
        </w:tc>
        <w:tc>
          <w:tcPr>
            <w:tcW w:w="0" w:type="auto"/>
            <w:tcBorders>
              <w:top w:val="nil"/>
              <w:bottom w:val="nil"/>
            </w:tcBorders>
            <w:shd w:val="clear" w:color="auto" w:fill="auto"/>
            <w:vAlign w:val="center"/>
          </w:tcPr>
          <w:p w:rsidR="00605FC1" w:rsidRPr="006E405B" w:rsidRDefault="00605FC1" w:rsidP="00605FC1">
            <w:pPr>
              <w:spacing w:before="60" w:after="0" w:line="240" w:lineRule="auto"/>
              <w:jc w:val="center"/>
              <w:rPr>
                <w:rFonts w:ascii="Times New Roman" w:hAnsi="Times New Roman"/>
                <w:sz w:val="18"/>
                <w:szCs w:val="20"/>
              </w:rPr>
            </w:pPr>
            <w:r w:rsidRPr="006E405B">
              <w:rPr>
                <w:rFonts w:ascii="Times New Roman" w:hAnsi="Times New Roman"/>
                <w:sz w:val="18"/>
                <w:szCs w:val="20"/>
              </w:rPr>
              <w:t>208.56</w:t>
            </w:r>
          </w:p>
        </w:tc>
        <w:tc>
          <w:tcPr>
            <w:tcW w:w="0" w:type="auto"/>
            <w:tcBorders>
              <w:top w:val="nil"/>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10.37</w:t>
            </w:r>
          </w:p>
        </w:tc>
        <w:tc>
          <w:tcPr>
            <w:tcW w:w="994" w:type="dxa"/>
            <w:tcBorders>
              <w:top w:val="nil"/>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104.28</w:t>
            </w:r>
          </w:p>
        </w:tc>
      </w:tr>
      <w:tr w:rsidR="00605FC1" w:rsidRPr="006E405B" w:rsidTr="00EA4DF5">
        <w:trPr>
          <w:trHeight w:val="65"/>
          <w:jc w:val="center"/>
        </w:trPr>
        <w:tc>
          <w:tcPr>
            <w:tcW w:w="0" w:type="auto"/>
            <w:vMerge/>
            <w:tcBorders>
              <w:top w:val="nil"/>
              <w:bottom w:val="nil"/>
            </w:tcBorders>
            <w:shd w:val="clear" w:color="auto" w:fill="auto"/>
            <w:vAlign w:val="center"/>
          </w:tcPr>
          <w:p w:rsidR="00605FC1" w:rsidRPr="006E405B" w:rsidRDefault="00605FC1" w:rsidP="00605FC1">
            <w:pPr>
              <w:spacing w:before="60" w:after="0" w:line="240" w:lineRule="auto"/>
              <w:ind w:firstLine="187"/>
              <w:rPr>
                <w:rFonts w:ascii="Times New Roman" w:hAnsi="Times New Roman"/>
                <w:sz w:val="18"/>
                <w:szCs w:val="20"/>
              </w:rPr>
            </w:pPr>
          </w:p>
        </w:tc>
        <w:tc>
          <w:tcPr>
            <w:tcW w:w="0" w:type="auto"/>
            <w:tcBorders>
              <w:top w:val="nil"/>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400</w:t>
            </w:r>
          </w:p>
        </w:tc>
        <w:tc>
          <w:tcPr>
            <w:tcW w:w="0" w:type="auto"/>
            <w:tcBorders>
              <w:top w:val="nil"/>
              <w:bottom w:val="nil"/>
            </w:tcBorders>
            <w:shd w:val="clear" w:color="auto" w:fill="auto"/>
            <w:vAlign w:val="center"/>
          </w:tcPr>
          <w:p w:rsidR="00605FC1" w:rsidRPr="006E405B" w:rsidRDefault="00605FC1" w:rsidP="00605FC1">
            <w:pPr>
              <w:spacing w:before="60" w:after="0" w:line="240" w:lineRule="auto"/>
              <w:jc w:val="center"/>
              <w:rPr>
                <w:rFonts w:ascii="Times New Roman" w:hAnsi="Times New Roman"/>
                <w:sz w:val="18"/>
                <w:szCs w:val="20"/>
              </w:rPr>
            </w:pPr>
            <w:r w:rsidRPr="006E405B">
              <w:rPr>
                <w:rFonts w:ascii="Times New Roman" w:hAnsi="Times New Roman"/>
                <w:sz w:val="18"/>
                <w:szCs w:val="20"/>
              </w:rPr>
              <w:t>366.47</w:t>
            </w:r>
          </w:p>
        </w:tc>
        <w:tc>
          <w:tcPr>
            <w:tcW w:w="0" w:type="auto"/>
            <w:tcBorders>
              <w:top w:val="nil"/>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1.98</w:t>
            </w:r>
          </w:p>
        </w:tc>
        <w:tc>
          <w:tcPr>
            <w:tcW w:w="0" w:type="auto"/>
            <w:tcBorders>
              <w:top w:val="nil"/>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91.62</w:t>
            </w:r>
          </w:p>
        </w:tc>
        <w:tc>
          <w:tcPr>
            <w:tcW w:w="0" w:type="auto"/>
            <w:tcBorders>
              <w:top w:val="nil"/>
              <w:bottom w:val="nil"/>
            </w:tcBorders>
            <w:shd w:val="clear" w:color="auto" w:fill="auto"/>
            <w:vAlign w:val="center"/>
          </w:tcPr>
          <w:p w:rsidR="00605FC1" w:rsidRPr="006E405B" w:rsidRDefault="00605FC1" w:rsidP="00605FC1">
            <w:pPr>
              <w:spacing w:before="60" w:after="0" w:line="240" w:lineRule="auto"/>
              <w:jc w:val="center"/>
              <w:rPr>
                <w:rFonts w:ascii="Times New Roman" w:hAnsi="Times New Roman"/>
                <w:sz w:val="18"/>
                <w:szCs w:val="20"/>
              </w:rPr>
            </w:pPr>
            <w:r w:rsidRPr="006E405B">
              <w:rPr>
                <w:rFonts w:ascii="Times New Roman" w:hAnsi="Times New Roman"/>
                <w:sz w:val="18"/>
                <w:szCs w:val="20"/>
              </w:rPr>
              <w:t>414.42</w:t>
            </w:r>
          </w:p>
        </w:tc>
        <w:tc>
          <w:tcPr>
            <w:tcW w:w="0" w:type="auto"/>
            <w:tcBorders>
              <w:top w:val="nil"/>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11.00</w:t>
            </w:r>
          </w:p>
        </w:tc>
        <w:tc>
          <w:tcPr>
            <w:tcW w:w="994" w:type="dxa"/>
            <w:tcBorders>
              <w:top w:val="nil"/>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103.61</w:t>
            </w:r>
          </w:p>
        </w:tc>
      </w:tr>
      <w:tr w:rsidR="00605FC1" w:rsidRPr="006E405B" w:rsidTr="00EA4DF5">
        <w:trPr>
          <w:trHeight w:val="53"/>
          <w:jc w:val="center"/>
        </w:trPr>
        <w:tc>
          <w:tcPr>
            <w:tcW w:w="0" w:type="auto"/>
            <w:vMerge w:val="restart"/>
            <w:tcBorders>
              <w:top w:val="nil"/>
              <w:bottom w:val="nil"/>
            </w:tcBorders>
            <w:shd w:val="clear" w:color="auto" w:fill="auto"/>
            <w:vAlign w:val="center"/>
          </w:tcPr>
          <w:p w:rsidR="00605FC1" w:rsidRPr="006E405B" w:rsidRDefault="00605FC1" w:rsidP="00605FC1">
            <w:pPr>
              <w:spacing w:before="60" w:after="0" w:line="240" w:lineRule="auto"/>
              <w:rPr>
                <w:rFonts w:ascii="Times New Roman" w:hAnsi="Times New Roman"/>
                <w:sz w:val="18"/>
                <w:szCs w:val="20"/>
              </w:rPr>
            </w:pPr>
            <w:r w:rsidRPr="006E405B">
              <w:rPr>
                <w:rFonts w:ascii="Times New Roman" w:hAnsi="Times New Roman"/>
                <w:sz w:val="18"/>
                <w:szCs w:val="20"/>
              </w:rPr>
              <w:t>Cortisone</w:t>
            </w:r>
          </w:p>
        </w:tc>
        <w:tc>
          <w:tcPr>
            <w:tcW w:w="0" w:type="auto"/>
            <w:tcBorders>
              <w:top w:val="nil"/>
              <w:bottom w:val="nil"/>
            </w:tcBorders>
            <w:shd w:val="clear" w:color="auto" w:fill="auto"/>
            <w:vAlign w:val="center"/>
          </w:tcPr>
          <w:p w:rsidR="00605FC1" w:rsidRPr="006E405B" w:rsidRDefault="00605FC1" w:rsidP="00605FC1">
            <w:pPr>
              <w:spacing w:before="120" w:after="0" w:line="240" w:lineRule="auto"/>
              <w:ind w:firstLine="187"/>
              <w:jc w:val="center"/>
              <w:rPr>
                <w:rFonts w:ascii="Times New Roman" w:hAnsi="Times New Roman"/>
                <w:sz w:val="18"/>
                <w:szCs w:val="20"/>
              </w:rPr>
            </w:pPr>
            <w:r w:rsidRPr="006E405B">
              <w:rPr>
                <w:rFonts w:ascii="Times New Roman" w:hAnsi="Times New Roman"/>
                <w:sz w:val="18"/>
                <w:szCs w:val="20"/>
              </w:rPr>
              <w:t>20</w:t>
            </w:r>
          </w:p>
        </w:tc>
        <w:tc>
          <w:tcPr>
            <w:tcW w:w="0" w:type="auto"/>
            <w:tcBorders>
              <w:top w:val="nil"/>
              <w:bottom w:val="nil"/>
            </w:tcBorders>
            <w:shd w:val="clear" w:color="auto" w:fill="auto"/>
            <w:vAlign w:val="center"/>
          </w:tcPr>
          <w:p w:rsidR="00605FC1" w:rsidRPr="006E405B" w:rsidRDefault="00605FC1" w:rsidP="00605FC1">
            <w:pPr>
              <w:spacing w:before="120" w:after="0" w:line="240" w:lineRule="auto"/>
              <w:jc w:val="center"/>
              <w:rPr>
                <w:rFonts w:ascii="Times New Roman" w:hAnsi="Times New Roman"/>
                <w:sz w:val="18"/>
                <w:szCs w:val="20"/>
              </w:rPr>
            </w:pPr>
            <w:r w:rsidRPr="006E405B">
              <w:rPr>
                <w:rFonts w:ascii="Times New Roman" w:hAnsi="Times New Roman"/>
                <w:sz w:val="18"/>
                <w:szCs w:val="20"/>
              </w:rPr>
              <w:t xml:space="preserve">18.67 </w:t>
            </w:r>
          </w:p>
        </w:tc>
        <w:tc>
          <w:tcPr>
            <w:tcW w:w="0" w:type="auto"/>
            <w:tcBorders>
              <w:top w:val="nil"/>
              <w:bottom w:val="nil"/>
            </w:tcBorders>
            <w:shd w:val="clear" w:color="auto" w:fill="auto"/>
            <w:vAlign w:val="center"/>
          </w:tcPr>
          <w:p w:rsidR="00605FC1" w:rsidRPr="006E405B" w:rsidRDefault="00605FC1" w:rsidP="00605FC1">
            <w:pPr>
              <w:spacing w:before="120" w:after="0" w:line="240" w:lineRule="auto"/>
              <w:ind w:firstLine="187"/>
              <w:jc w:val="center"/>
              <w:rPr>
                <w:rFonts w:ascii="Times New Roman" w:hAnsi="Times New Roman"/>
                <w:sz w:val="18"/>
                <w:szCs w:val="20"/>
              </w:rPr>
            </w:pPr>
            <w:r w:rsidRPr="006E405B">
              <w:rPr>
                <w:rFonts w:ascii="Times New Roman" w:hAnsi="Times New Roman"/>
                <w:sz w:val="18"/>
                <w:szCs w:val="20"/>
              </w:rPr>
              <w:t>11.36</w:t>
            </w:r>
          </w:p>
        </w:tc>
        <w:tc>
          <w:tcPr>
            <w:tcW w:w="0" w:type="auto"/>
            <w:tcBorders>
              <w:top w:val="nil"/>
              <w:bottom w:val="nil"/>
            </w:tcBorders>
            <w:shd w:val="clear" w:color="auto" w:fill="auto"/>
            <w:vAlign w:val="center"/>
          </w:tcPr>
          <w:p w:rsidR="00605FC1" w:rsidRPr="006E405B" w:rsidRDefault="00605FC1" w:rsidP="00605FC1">
            <w:pPr>
              <w:spacing w:before="120" w:after="0" w:line="240" w:lineRule="auto"/>
              <w:ind w:firstLine="187"/>
              <w:jc w:val="center"/>
              <w:rPr>
                <w:rFonts w:ascii="Times New Roman" w:hAnsi="Times New Roman"/>
                <w:sz w:val="18"/>
                <w:szCs w:val="20"/>
              </w:rPr>
            </w:pPr>
            <w:r w:rsidRPr="006E405B">
              <w:rPr>
                <w:rFonts w:ascii="Times New Roman" w:hAnsi="Times New Roman"/>
                <w:sz w:val="18"/>
                <w:szCs w:val="20"/>
              </w:rPr>
              <w:t>93.33</w:t>
            </w:r>
          </w:p>
        </w:tc>
        <w:tc>
          <w:tcPr>
            <w:tcW w:w="0" w:type="auto"/>
            <w:tcBorders>
              <w:top w:val="nil"/>
              <w:bottom w:val="nil"/>
            </w:tcBorders>
            <w:shd w:val="clear" w:color="auto" w:fill="auto"/>
            <w:vAlign w:val="center"/>
          </w:tcPr>
          <w:p w:rsidR="00605FC1" w:rsidRPr="006E405B" w:rsidRDefault="00605FC1" w:rsidP="00605FC1">
            <w:pPr>
              <w:spacing w:before="120" w:after="0" w:line="240" w:lineRule="auto"/>
              <w:jc w:val="center"/>
              <w:rPr>
                <w:rFonts w:ascii="Times New Roman" w:hAnsi="Times New Roman"/>
                <w:sz w:val="18"/>
                <w:szCs w:val="20"/>
              </w:rPr>
            </w:pPr>
            <w:r w:rsidRPr="006E405B">
              <w:rPr>
                <w:rFonts w:ascii="Times New Roman" w:hAnsi="Times New Roman"/>
                <w:sz w:val="18"/>
                <w:szCs w:val="20"/>
              </w:rPr>
              <w:t>20.14</w:t>
            </w:r>
          </w:p>
        </w:tc>
        <w:tc>
          <w:tcPr>
            <w:tcW w:w="0" w:type="auto"/>
            <w:tcBorders>
              <w:top w:val="nil"/>
              <w:bottom w:val="nil"/>
            </w:tcBorders>
            <w:shd w:val="clear" w:color="auto" w:fill="auto"/>
            <w:vAlign w:val="center"/>
          </w:tcPr>
          <w:p w:rsidR="00605FC1" w:rsidRPr="006E405B" w:rsidRDefault="00605FC1" w:rsidP="00605FC1">
            <w:pPr>
              <w:spacing w:before="120" w:after="0" w:line="240" w:lineRule="auto"/>
              <w:ind w:firstLine="187"/>
              <w:jc w:val="center"/>
              <w:rPr>
                <w:rFonts w:ascii="Times New Roman" w:hAnsi="Times New Roman"/>
                <w:sz w:val="18"/>
                <w:szCs w:val="20"/>
              </w:rPr>
            </w:pPr>
            <w:r w:rsidRPr="006E405B">
              <w:rPr>
                <w:rFonts w:ascii="Times New Roman" w:hAnsi="Times New Roman"/>
                <w:sz w:val="18"/>
                <w:szCs w:val="20"/>
              </w:rPr>
              <w:t>15.78</w:t>
            </w:r>
          </w:p>
        </w:tc>
        <w:tc>
          <w:tcPr>
            <w:tcW w:w="994" w:type="dxa"/>
            <w:tcBorders>
              <w:top w:val="nil"/>
              <w:bottom w:val="nil"/>
            </w:tcBorders>
            <w:shd w:val="clear" w:color="auto" w:fill="auto"/>
            <w:vAlign w:val="center"/>
          </w:tcPr>
          <w:p w:rsidR="00605FC1" w:rsidRPr="006E405B" w:rsidRDefault="00605FC1" w:rsidP="00605FC1">
            <w:pPr>
              <w:spacing w:before="120" w:after="0" w:line="240" w:lineRule="auto"/>
              <w:ind w:firstLine="187"/>
              <w:jc w:val="center"/>
              <w:rPr>
                <w:rFonts w:ascii="Times New Roman" w:hAnsi="Times New Roman"/>
                <w:sz w:val="18"/>
                <w:szCs w:val="20"/>
              </w:rPr>
            </w:pPr>
            <w:r w:rsidRPr="006E405B">
              <w:rPr>
                <w:rFonts w:ascii="Times New Roman" w:hAnsi="Times New Roman"/>
                <w:sz w:val="18"/>
                <w:szCs w:val="20"/>
              </w:rPr>
              <w:t>100.70</w:t>
            </w:r>
          </w:p>
        </w:tc>
      </w:tr>
      <w:tr w:rsidR="00605FC1" w:rsidRPr="006E405B" w:rsidTr="00605FC1">
        <w:trPr>
          <w:trHeight w:val="53"/>
          <w:jc w:val="center"/>
        </w:trPr>
        <w:tc>
          <w:tcPr>
            <w:tcW w:w="0" w:type="auto"/>
            <w:vMerge/>
            <w:tcBorders>
              <w:top w:val="nil"/>
              <w:bottom w:val="nil"/>
            </w:tcBorders>
            <w:shd w:val="clear" w:color="auto" w:fill="auto"/>
            <w:vAlign w:val="center"/>
          </w:tcPr>
          <w:p w:rsidR="00605FC1" w:rsidRPr="006E405B" w:rsidRDefault="00605FC1" w:rsidP="00605FC1">
            <w:pPr>
              <w:spacing w:before="60" w:after="0" w:line="240" w:lineRule="auto"/>
              <w:ind w:firstLine="187"/>
              <w:rPr>
                <w:rFonts w:ascii="Times New Roman" w:hAnsi="Times New Roman"/>
                <w:b/>
                <w:bCs/>
                <w:sz w:val="18"/>
                <w:szCs w:val="20"/>
              </w:rPr>
            </w:pPr>
          </w:p>
        </w:tc>
        <w:tc>
          <w:tcPr>
            <w:tcW w:w="0" w:type="auto"/>
            <w:tcBorders>
              <w:top w:val="nil"/>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200</w:t>
            </w:r>
          </w:p>
        </w:tc>
        <w:tc>
          <w:tcPr>
            <w:tcW w:w="0" w:type="auto"/>
            <w:tcBorders>
              <w:top w:val="nil"/>
              <w:bottom w:val="nil"/>
            </w:tcBorders>
            <w:shd w:val="clear" w:color="auto" w:fill="auto"/>
            <w:vAlign w:val="center"/>
          </w:tcPr>
          <w:p w:rsidR="00605FC1" w:rsidRPr="006E405B" w:rsidRDefault="00605FC1" w:rsidP="00605FC1">
            <w:pPr>
              <w:spacing w:before="60" w:after="0" w:line="240" w:lineRule="auto"/>
              <w:jc w:val="center"/>
              <w:rPr>
                <w:rFonts w:ascii="Times New Roman" w:hAnsi="Times New Roman"/>
                <w:sz w:val="18"/>
                <w:szCs w:val="20"/>
              </w:rPr>
            </w:pPr>
            <w:r w:rsidRPr="006E405B">
              <w:rPr>
                <w:rFonts w:ascii="Times New Roman" w:hAnsi="Times New Roman"/>
                <w:sz w:val="18"/>
                <w:szCs w:val="20"/>
              </w:rPr>
              <w:t>186.23</w:t>
            </w:r>
          </w:p>
        </w:tc>
        <w:tc>
          <w:tcPr>
            <w:tcW w:w="0" w:type="auto"/>
            <w:tcBorders>
              <w:top w:val="nil"/>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1.01</w:t>
            </w:r>
          </w:p>
        </w:tc>
        <w:tc>
          <w:tcPr>
            <w:tcW w:w="0" w:type="auto"/>
            <w:tcBorders>
              <w:top w:val="nil"/>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93.12</w:t>
            </w:r>
          </w:p>
        </w:tc>
        <w:tc>
          <w:tcPr>
            <w:tcW w:w="0" w:type="auto"/>
            <w:tcBorders>
              <w:top w:val="nil"/>
              <w:bottom w:val="nil"/>
            </w:tcBorders>
            <w:shd w:val="clear" w:color="auto" w:fill="auto"/>
            <w:vAlign w:val="center"/>
          </w:tcPr>
          <w:p w:rsidR="00605FC1" w:rsidRPr="006E405B" w:rsidRDefault="00605FC1" w:rsidP="00605FC1">
            <w:pPr>
              <w:spacing w:before="60" w:after="0" w:line="240" w:lineRule="auto"/>
              <w:jc w:val="center"/>
              <w:rPr>
                <w:rFonts w:ascii="Times New Roman" w:hAnsi="Times New Roman"/>
                <w:sz w:val="18"/>
                <w:szCs w:val="20"/>
              </w:rPr>
            </w:pPr>
            <w:r w:rsidRPr="006E405B">
              <w:rPr>
                <w:rFonts w:ascii="Times New Roman" w:hAnsi="Times New Roman"/>
                <w:sz w:val="18"/>
                <w:szCs w:val="20"/>
              </w:rPr>
              <w:t>207.21</w:t>
            </w:r>
          </w:p>
        </w:tc>
        <w:tc>
          <w:tcPr>
            <w:tcW w:w="0" w:type="auto"/>
            <w:tcBorders>
              <w:top w:val="nil"/>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11.07</w:t>
            </w:r>
          </w:p>
        </w:tc>
        <w:tc>
          <w:tcPr>
            <w:tcW w:w="994" w:type="dxa"/>
            <w:tcBorders>
              <w:top w:val="nil"/>
              <w:bottom w:val="nil"/>
            </w:tcBorders>
            <w:shd w:val="clear" w:color="auto" w:fill="auto"/>
            <w:vAlign w:val="center"/>
          </w:tcPr>
          <w:p w:rsidR="00605FC1" w:rsidRPr="006E405B" w:rsidRDefault="00605FC1" w:rsidP="00605FC1">
            <w:pPr>
              <w:spacing w:before="60" w:after="0" w:line="240" w:lineRule="auto"/>
              <w:ind w:firstLine="187"/>
              <w:jc w:val="center"/>
              <w:rPr>
                <w:rFonts w:ascii="Times New Roman" w:hAnsi="Times New Roman"/>
                <w:sz w:val="18"/>
                <w:szCs w:val="20"/>
              </w:rPr>
            </w:pPr>
            <w:r w:rsidRPr="006E405B">
              <w:rPr>
                <w:rFonts w:ascii="Times New Roman" w:hAnsi="Times New Roman"/>
                <w:sz w:val="18"/>
                <w:szCs w:val="20"/>
              </w:rPr>
              <w:t>103.61</w:t>
            </w:r>
          </w:p>
        </w:tc>
      </w:tr>
      <w:tr w:rsidR="00605FC1" w:rsidRPr="006E405B" w:rsidTr="00605FC1">
        <w:trPr>
          <w:trHeight w:val="53"/>
          <w:jc w:val="center"/>
        </w:trPr>
        <w:tc>
          <w:tcPr>
            <w:tcW w:w="0" w:type="auto"/>
            <w:vMerge/>
            <w:tcBorders>
              <w:top w:val="nil"/>
              <w:bottom w:val="single" w:sz="4" w:space="0" w:color="7F7F7F"/>
            </w:tcBorders>
            <w:shd w:val="clear" w:color="auto" w:fill="auto"/>
            <w:vAlign w:val="center"/>
          </w:tcPr>
          <w:p w:rsidR="00605FC1" w:rsidRPr="006E405B" w:rsidRDefault="00605FC1" w:rsidP="00605FC1">
            <w:pPr>
              <w:spacing w:before="60" w:after="0" w:line="240" w:lineRule="auto"/>
              <w:ind w:firstLine="187"/>
              <w:rPr>
                <w:rFonts w:ascii="Times New Roman" w:hAnsi="Times New Roman"/>
                <w:b/>
                <w:bCs/>
                <w:sz w:val="18"/>
                <w:szCs w:val="20"/>
              </w:rPr>
            </w:pPr>
          </w:p>
        </w:tc>
        <w:tc>
          <w:tcPr>
            <w:tcW w:w="0" w:type="auto"/>
            <w:tcBorders>
              <w:top w:val="nil"/>
              <w:bottom w:val="single" w:sz="4" w:space="0" w:color="auto"/>
            </w:tcBorders>
            <w:shd w:val="clear" w:color="auto" w:fill="auto"/>
            <w:vAlign w:val="center"/>
          </w:tcPr>
          <w:p w:rsidR="00605FC1" w:rsidRPr="006E405B" w:rsidRDefault="00605FC1" w:rsidP="00605FC1">
            <w:pPr>
              <w:spacing w:before="60" w:after="60" w:line="240" w:lineRule="auto"/>
              <w:ind w:firstLine="187"/>
              <w:jc w:val="center"/>
              <w:rPr>
                <w:rFonts w:ascii="Times New Roman" w:hAnsi="Times New Roman"/>
                <w:sz w:val="18"/>
                <w:szCs w:val="20"/>
              </w:rPr>
            </w:pPr>
            <w:r w:rsidRPr="006E405B">
              <w:rPr>
                <w:rFonts w:ascii="Times New Roman" w:hAnsi="Times New Roman"/>
                <w:sz w:val="18"/>
                <w:szCs w:val="20"/>
              </w:rPr>
              <w:t>400</w:t>
            </w:r>
          </w:p>
        </w:tc>
        <w:tc>
          <w:tcPr>
            <w:tcW w:w="0" w:type="auto"/>
            <w:tcBorders>
              <w:top w:val="nil"/>
              <w:bottom w:val="single" w:sz="4" w:space="0" w:color="auto"/>
            </w:tcBorders>
            <w:shd w:val="clear" w:color="auto" w:fill="auto"/>
            <w:vAlign w:val="center"/>
          </w:tcPr>
          <w:p w:rsidR="00605FC1" w:rsidRPr="006E405B" w:rsidRDefault="00605FC1" w:rsidP="00605FC1">
            <w:pPr>
              <w:spacing w:before="60" w:after="60" w:line="240" w:lineRule="auto"/>
              <w:jc w:val="center"/>
              <w:rPr>
                <w:rFonts w:ascii="Times New Roman" w:hAnsi="Times New Roman"/>
                <w:sz w:val="18"/>
                <w:szCs w:val="20"/>
              </w:rPr>
            </w:pPr>
            <w:r w:rsidRPr="006E405B">
              <w:rPr>
                <w:rFonts w:ascii="Times New Roman" w:hAnsi="Times New Roman"/>
                <w:sz w:val="18"/>
                <w:szCs w:val="20"/>
              </w:rPr>
              <w:t>379.17</w:t>
            </w:r>
          </w:p>
        </w:tc>
        <w:tc>
          <w:tcPr>
            <w:tcW w:w="0" w:type="auto"/>
            <w:tcBorders>
              <w:top w:val="nil"/>
              <w:bottom w:val="single" w:sz="4" w:space="0" w:color="auto"/>
            </w:tcBorders>
            <w:shd w:val="clear" w:color="auto" w:fill="auto"/>
            <w:vAlign w:val="center"/>
          </w:tcPr>
          <w:p w:rsidR="00605FC1" w:rsidRPr="006E405B" w:rsidRDefault="00605FC1" w:rsidP="00605FC1">
            <w:pPr>
              <w:spacing w:before="60" w:after="60" w:line="240" w:lineRule="auto"/>
              <w:ind w:firstLine="187"/>
              <w:jc w:val="center"/>
              <w:rPr>
                <w:rFonts w:ascii="Times New Roman" w:hAnsi="Times New Roman"/>
                <w:sz w:val="18"/>
                <w:szCs w:val="20"/>
              </w:rPr>
            </w:pPr>
            <w:r w:rsidRPr="006E405B">
              <w:rPr>
                <w:rFonts w:ascii="Times New Roman" w:hAnsi="Times New Roman"/>
                <w:sz w:val="18"/>
                <w:szCs w:val="20"/>
              </w:rPr>
              <w:t>1.02</w:t>
            </w:r>
          </w:p>
        </w:tc>
        <w:tc>
          <w:tcPr>
            <w:tcW w:w="0" w:type="auto"/>
            <w:tcBorders>
              <w:top w:val="nil"/>
              <w:bottom w:val="single" w:sz="4" w:space="0" w:color="auto"/>
            </w:tcBorders>
            <w:shd w:val="clear" w:color="auto" w:fill="auto"/>
            <w:vAlign w:val="center"/>
          </w:tcPr>
          <w:p w:rsidR="00605FC1" w:rsidRPr="006E405B" w:rsidRDefault="00605FC1" w:rsidP="00605FC1">
            <w:pPr>
              <w:spacing w:before="60" w:after="60" w:line="240" w:lineRule="auto"/>
              <w:ind w:firstLine="187"/>
              <w:jc w:val="center"/>
              <w:rPr>
                <w:rFonts w:ascii="Times New Roman" w:hAnsi="Times New Roman"/>
                <w:sz w:val="18"/>
                <w:szCs w:val="20"/>
              </w:rPr>
            </w:pPr>
            <w:r w:rsidRPr="006E405B">
              <w:rPr>
                <w:rFonts w:ascii="Times New Roman" w:hAnsi="Times New Roman"/>
                <w:sz w:val="18"/>
                <w:szCs w:val="20"/>
              </w:rPr>
              <w:t>94.79</w:t>
            </w:r>
          </w:p>
        </w:tc>
        <w:tc>
          <w:tcPr>
            <w:tcW w:w="0" w:type="auto"/>
            <w:tcBorders>
              <w:top w:val="nil"/>
              <w:bottom w:val="single" w:sz="4" w:space="0" w:color="auto"/>
            </w:tcBorders>
            <w:shd w:val="clear" w:color="auto" w:fill="auto"/>
            <w:vAlign w:val="center"/>
          </w:tcPr>
          <w:p w:rsidR="00605FC1" w:rsidRPr="006E405B" w:rsidRDefault="00605FC1" w:rsidP="00605FC1">
            <w:pPr>
              <w:spacing w:before="60" w:after="60" w:line="240" w:lineRule="auto"/>
              <w:jc w:val="center"/>
              <w:rPr>
                <w:rFonts w:ascii="Times New Roman" w:hAnsi="Times New Roman"/>
                <w:sz w:val="18"/>
                <w:szCs w:val="20"/>
              </w:rPr>
            </w:pPr>
            <w:r w:rsidRPr="006E405B">
              <w:rPr>
                <w:rFonts w:ascii="Times New Roman" w:hAnsi="Times New Roman"/>
                <w:sz w:val="18"/>
                <w:szCs w:val="20"/>
              </w:rPr>
              <w:t>417.13</w:t>
            </w:r>
          </w:p>
        </w:tc>
        <w:tc>
          <w:tcPr>
            <w:tcW w:w="0" w:type="auto"/>
            <w:tcBorders>
              <w:top w:val="nil"/>
              <w:bottom w:val="single" w:sz="4" w:space="0" w:color="auto"/>
            </w:tcBorders>
            <w:shd w:val="clear" w:color="auto" w:fill="auto"/>
            <w:vAlign w:val="center"/>
          </w:tcPr>
          <w:p w:rsidR="00605FC1" w:rsidRPr="006E405B" w:rsidRDefault="00605FC1" w:rsidP="00605FC1">
            <w:pPr>
              <w:spacing w:before="60" w:after="60" w:line="240" w:lineRule="auto"/>
              <w:ind w:firstLine="187"/>
              <w:jc w:val="center"/>
              <w:rPr>
                <w:rFonts w:ascii="Times New Roman" w:hAnsi="Times New Roman"/>
                <w:sz w:val="18"/>
                <w:szCs w:val="20"/>
              </w:rPr>
            </w:pPr>
            <w:r w:rsidRPr="006E405B">
              <w:rPr>
                <w:rFonts w:ascii="Times New Roman" w:hAnsi="Times New Roman"/>
                <w:sz w:val="18"/>
                <w:szCs w:val="20"/>
              </w:rPr>
              <w:t>13.27</w:t>
            </w:r>
          </w:p>
        </w:tc>
        <w:tc>
          <w:tcPr>
            <w:tcW w:w="994" w:type="dxa"/>
            <w:tcBorders>
              <w:top w:val="nil"/>
              <w:bottom w:val="single" w:sz="4" w:space="0" w:color="auto"/>
            </w:tcBorders>
            <w:shd w:val="clear" w:color="auto" w:fill="auto"/>
            <w:vAlign w:val="center"/>
          </w:tcPr>
          <w:p w:rsidR="00605FC1" w:rsidRPr="006E405B" w:rsidRDefault="00605FC1" w:rsidP="00605FC1">
            <w:pPr>
              <w:spacing w:before="60" w:after="60" w:line="240" w:lineRule="auto"/>
              <w:ind w:firstLine="187"/>
              <w:jc w:val="center"/>
              <w:rPr>
                <w:rFonts w:ascii="Times New Roman" w:hAnsi="Times New Roman"/>
                <w:sz w:val="18"/>
                <w:szCs w:val="20"/>
              </w:rPr>
            </w:pPr>
            <w:r w:rsidRPr="006E405B">
              <w:rPr>
                <w:rFonts w:ascii="Times New Roman" w:hAnsi="Times New Roman"/>
                <w:sz w:val="18"/>
                <w:szCs w:val="20"/>
              </w:rPr>
              <w:t>104.28</w:t>
            </w:r>
          </w:p>
        </w:tc>
      </w:tr>
    </w:tbl>
    <w:p w:rsidR="00605FC1" w:rsidRDefault="00605FC1" w:rsidP="00605FC1">
      <w:pPr>
        <w:spacing w:after="120" w:line="240" w:lineRule="auto"/>
        <w:jc w:val="both"/>
        <w:rPr>
          <w:rFonts w:ascii="Times New Roman" w:hAnsi="Times New Roman"/>
          <w:sz w:val="20"/>
          <w:szCs w:val="20"/>
        </w:rPr>
      </w:pPr>
    </w:p>
    <w:p w:rsidR="00605FC1" w:rsidRPr="004B6185" w:rsidRDefault="00605FC1" w:rsidP="00605FC1">
      <w:pPr>
        <w:spacing w:after="0" w:line="240" w:lineRule="auto"/>
        <w:jc w:val="both"/>
        <w:rPr>
          <w:rFonts w:ascii="Times New Roman" w:hAnsi="Times New Roman"/>
          <w:sz w:val="20"/>
          <w:szCs w:val="20"/>
        </w:rPr>
      </w:pPr>
      <w:r w:rsidRPr="004B6185">
        <w:rPr>
          <w:rFonts w:ascii="Times New Roman" w:hAnsi="Times New Roman"/>
          <w:sz w:val="20"/>
          <w:szCs w:val="20"/>
        </w:rPr>
        <w:t xml:space="preserve">Extraction recovery and matrix effect data are shown in Table 4. The mean recoveries of serum samples spiked with standards at a </w:t>
      </w:r>
      <w:r w:rsidRPr="004B6185">
        <w:rPr>
          <w:rFonts w:ascii="Times New Roman" w:hAnsi="Times New Roman"/>
          <w:noProof/>
          <w:sz w:val="20"/>
          <w:szCs w:val="20"/>
        </w:rPr>
        <w:t>low</w:t>
      </w:r>
      <w:r w:rsidRPr="004B6185">
        <w:rPr>
          <w:rFonts w:ascii="Times New Roman" w:hAnsi="Times New Roman"/>
          <w:sz w:val="20"/>
          <w:szCs w:val="20"/>
        </w:rPr>
        <w:t xml:space="preserve">, medium and high concentration (20, 200 and 400 ng/mL) are 93.88%, 90.38% and 92.09% for cortisol and 95.90%, 90.48% and 92.54% for cortisone, respectively. This method managed to achieve high analyte recovery using a simple and cost-effective protein precipitation method as compared to the solid phase extraction (SPE) method [5].  The IS-normalized matrix effect of serum samples at all concentration levels are within the limit which </w:t>
      </w:r>
      <w:r w:rsidRPr="004B6185">
        <w:rPr>
          <w:rFonts w:ascii="Times New Roman" w:hAnsi="Times New Roman"/>
          <w:noProof/>
          <w:sz w:val="20"/>
          <w:szCs w:val="20"/>
        </w:rPr>
        <w:t>is</w:t>
      </w:r>
      <w:r w:rsidRPr="004B6185">
        <w:rPr>
          <w:rFonts w:ascii="Times New Roman" w:hAnsi="Times New Roman"/>
          <w:sz w:val="20"/>
          <w:szCs w:val="20"/>
        </w:rPr>
        <w:t xml:space="preserve"> less than 15%. </w:t>
      </w:r>
    </w:p>
    <w:p w:rsidR="00605FC1" w:rsidRPr="004B6185" w:rsidRDefault="00605FC1" w:rsidP="00605FC1">
      <w:pPr>
        <w:spacing w:after="0" w:line="240" w:lineRule="auto"/>
        <w:jc w:val="both"/>
        <w:rPr>
          <w:rFonts w:ascii="Times New Roman" w:hAnsi="Times New Roman"/>
          <w:sz w:val="20"/>
          <w:szCs w:val="20"/>
        </w:rPr>
      </w:pPr>
    </w:p>
    <w:p w:rsidR="00605FC1" w:rsidRPr="004B6185" w:rsidRDefault="00605FC1" w:rsidP="00605FC1">
      <w:pPr>
        <w:spacing w:after="0" w:line="240" w:lineRule="auto"/>
        <w:jc w:val="both"/>
        <w:rPr>
          <w:rFonts w:ascii="Times New Roman" w:hAnsi="Times New Roman"/>
          <w:sz w:val="20"/>
          <w:szCs w:val="20"/>
        </w:rPr>
      </w:pPr>
      <w:r w:rsidRPr="004B6185">
        <w:rPr>
          <w:rFonts w:ascii="Times New Roman" w:hAnsi="Times New Roman"/>
          <w:sz w:val="20"/>
          <w:szCs w:val="20"/>
        </w:rPr>
        <w:t xml:space="preserve">Stability data are presented in Table 5. </w:t>
      </w:r>
      <w:r w:rsidRPr="004B6185">
        <w:rPr>
          <w:rFonts w:ascii="Times New Roman" w:hAnsi="Times New Roman"/>
          <w:noProof/>
          <w:sz w:val="20"/>
          <w:szCs w:val="20"/>
        </w:rPr>
        <w:t>The stability</w:t>
      </w:r>
      <w:r w:rsidRPr="004B6185">
        <w:rPr>
          <w:rFonts w:ascii="Times New Roman" w:hAnsi="Times New Roman"/>
          <w:sz w:val="20"/>
          <w:szCs w:val="20"/>
        </w:rPr>
        <w:t xml:space="preserve"> test </w:t>
      </w:r>
      <w:r w:rsidRPr="004B6185">
        <w:rPr>
          <w:rFonts w:ascii="Times New Roman" w:hAnsi="Times New Roman"/>
          <w:noProof/>
          <w:sz w:val="20"/>
          <w:szCs w:val="20"/>
        </w:rPr>
        <w:t>was</w:t>
      </w:r>
      <w:r w:rsidRPr="004B6185">
        <w:rPr>
          <w:rFonts w:ascii="Times New Roman" w:hAnsi="Times New Roman"/>
          <w:sz w:val="20"/>
          <w:szCs w:val="20"/>
        </w:rPr>
        <w:t xml:space="preserve"> done at three different conditions which were 24</w:t>
      </w:r>
      <w:r>
        <w:rPr>
          <w:rFonts w:ascii="Times New Roman" w:hAnsi="Times New Roman"/>
          <w:sz w:val="20"/>
          <w:szCs w:val="20"/>
        </w:rPr>
        <w:t xml:space="preserve"> </w:t>
      </w:r>
      <w:r w:rsidRPr="004B6185">
        <w:rPr>
          <w:rFonts w:ascii="Times New Roman" w:hAnsi="Times New Roman"/>
          <w:sz w:val="20"/>
          <w:szCs w:val="20"/>
        </w:rPr>
        <w:t>hour</w:t>
      </w:r>
      <w:r>
        <w:rPr>
          <w:rFonts w:ascii="Times New Roman" w:hAnsi="Times New Roman"/>
          <w:sz w:val="20"/>
          <w:szCs w:val="20"/>
        </w:rPr>
        <w:t>s</w:t>
      </w:r>
      <w:r w:rsidRPr="004B6185">
        <w:rPr>
          <w:rFonts w:ascii="Times New Roman" w:hAnsi="Times New Roman"/>
          <w:sz w:val="20"/>
          <w:szCs w:val="20"/>
        </w:rPr>
        <w:t xml:space="preserve"> room temperature, overnight in </w:t>
      </w:r>
      <w:r w:rsidRPr="004B6185">
        <w:rPr>
          <w:rFonts w:ascii="Times New Roman" w:hAnsi="Times New Roman"/>
          <w:noProof/>
          <w:sz w:val="20"/>
          <w:szCs w:val="20"/>
        </w:rPr>
        <w:t>autosampler</w:t>
      </w:r>
      <w:r w:rsidRPr="004B6185">
        <w:rPr>
          <w:rFonts w:ascii="Times New Roman" w:hAnsi="Times New Roman"/>
          <w:sz w:val="20"/>
          <w:szCs w:val="20"/>
        </w:rPr>
        <w:t xml:space="preserve"> (10 ºC) and three times freeze-thaw cycles (-80 ºC). The stability value for both compounds in </w:t>
      </w:r>
      <w:r w:rsidRPr="004B6185">
        <w:rPr>
          <w:rFonts w:ascii="Times New Roman" w:hAnsi="Times New Roman"/>
          <w:noProof/>
          <w:sz w:val="20"/>
          <w:szCs w:val="20"/>
        </w:rPr>
        <w:t>autosampler</w:t>
      </w:r>
      <w:r w:rsidRPr="004B6185">
        <w:rPr>
          <w:rFonts w:ascii="Times New Roman" w:hAnsi="Times New Roman"/>
          <w:sz w:val="20"/>
          <w:szCs w:val="20"/>
        </w:rPr>
        <w:t xml:space="preserve"> (10 ºC) overnight are within the limit which </w:t>
      </w:r>
      <w:r w:rsidRPr="004B6185">
        <w:rPr>
          <w:rFonts w:ascii="Times New Roman" w:hAnsi="Times New Roman"/>
          <w:noProof/>
          <w:sz w:val="20"/>
          <w:szCs w:val="20"/>
        </w:rPr>
        <w:t>is</w:t>
      </w:r>
      <w:r w:rsidRPr="004B6185">
        <w:rPr>
          <w:rFonts w:ascii="Times New Roman" w:hAnsi="Times New Roman"/>
          <w:sz w:val="20"/>
          <w:szCs w:val="20"/>
        </w:rPr>
        <w:t xml:space="preserve"> ±15% of the nominal concentration. However, cortisol and cortisone compounds are not stable at medium and high concentration levels at 24-hour room temperature and both compounds are not stable at all concentration levels in three times freeze-thaw cycles (-80 ºC). The variation in analyte measurement that exceeded the acceptance limit could be due to the room temperature and evaporation effects [31]. Thus, to maintain the integrity of the results, samples should avoid these conditions that may cause instability of the compounds.</w:t>
      </w:r>
    </w:p>
    <w:p w:rsidR="00605FC1" w:rsidRPr="004B6185" w:rsidRDefault="00605FC1" w:rsidP="00605FC1">
      <w:pPr>
        <w:spacing w:after="120" w:line="240" w:lineRule="auto"/>
        <w:jc w:val="both"/>
        <w:rPr>
          <w:rFonts w:ascii="Times New Roman" w:hAnsi="Times New Roman"/>
          <w:sz w:val="20"/>
          <w:szCs w:val="20"/>
        </w:rPr>
      </w:pPr>
    </w:p>
    <w:p w:rsidR="00605FC1" w:rsidRPr="00605FC1" w:rsidRDefault="00605FC1" w:rsidP="00605FC1">
      <w:pPr>
        <w:spacing w:after="120" w:line="240" w:lineRule="auto"/>
        <w:jc w:val="center"/>
        <w:rPr>
          <w:rFonts w:ascii="Times New Roman" w:hAnsi="Times New Roman"/>
          <w:sz w:val="20"/>
          <w:szCs w:val="20"/>
        </w:rPr>
      </w:pPr>
      <w:r w:rsidRPr="004B6185">
        <w:rPr>
          <w:rFonts w:ascii="Times New Roman" w:hAnsi="Times New Roman"/>
          <w:sz w:val="20"/>
          <w:szCs w:val="20"/>
        </w:rPr>
        <w:t xml:space="preserve">Table 4. </w:t>
      </w:r>
      <w:r>
        <w:rPr>
          <w:rFonts w:ascii="Times New Roman" w:hAnsi="Times New Roman"/>
          <w:sz w:val="20"/>
          <w:szCs w:val="20"/>
        </w:rPr>
        <w:t xml:space="preserve"> </w:t>
      </w:r>
      <w:r w:rsidRPr="004B6185">
        <w:rPr>
          <w:rFonts w:ascii="Times New Roman" w:hAnsi="Times New Roman"/>
          <w:sz w:val="20"/>
          <w:szCs w:val="20"/>
        </w:rPr>
        <w:t>Mean extraction recoveries and matrix effect</w:t>
      </w:r>
      <w:r>
        <w:rPr>
          <w:rFonts w:ascii="Times New Roman" w:hAnsi="Times New Roman"/>
          <w:sz w:val="20"/>
          <w:szCs w:val="20"/>
        </w:rPr>
        <w:t>s of the cortisol and cortisone</w:t>
      </w:r>
    </w:p>
    <w:tbl>
      <w:tblPr>
        <w:tblW w:w="0" w:type="auto"/>
        <w:jc w:val="center"/>
        <w:tblBorders>
          <w:top w:val="single" w:sz="4" w:space="0" w:color="7F7F7F"/>
          <w:bottom w:val="single" w:sz="4" w:space="0" w:color="7F7F7F"/>
        </w:tblBorders>
        <w:tblLook w:val="04A0" w:firstRow="1" w:lastRow="0" w:firstColumn="1" w:lastColumn="0" w:noHBand="0" w:noVBand="1"/>
      </w:tblPr>
      <w:tblGrid>
        <w:gridCol w:w="1172"/>
        <w:gridCol w:w="738"/>
        <w:gridCol w:w="1040"/>
        <w:gridCol w:w="738"/>
        <w:gridCol w:w="796"/>
        <w:gridCol w:w="1122"/>
        <w:gridCol w:w="764"/>
      </w:tblGrid>
      <w:tr w:rsidR="00605FC1" w:rsidRPr="004B6185" w:rsidTr="00605FC1">
        <w:trPr>
          <w:trHeight w:val="537"/>
          <w:jc w:val="center"/>
        </w:trPr>
        <w:tc>
          <w:tcPr>
            <w:tcW w:w="0" w:type="auto"/>
            <w:vMerge w:val="restart"/>
            <w:tcBorders>
              <w:top w:val="single" w:sz="4" w:space="0" w:color="auto"/>
              <w:bottom w:val="nil"/>
            </w:tcBorders>
            <w:shd w:val="clear" w:color="auto" w:fill="auto"/>
            <w:vAlign w:val="center"/>
          </w:tcPr>
          <w:p w:rsidR="00605FC1" w:rsidRPr="004B6185" w:rsidRDefault="00605FC1" w:rsidP="00605FC1">
            <w:pPr>
              <w:spacing w:before="120" w:after="0" w:line="240" w:lineRule="auto"/>
              <w:rPr>
                <w:rFonts w:ascii="Times New Roman" w:hAnsi="Times New Roman"/>
                <w:b/>
                <w:bCs/>
                <w:sz w:val="20"/>
                <w:szCs w:val="20"/>
              </w:rPr>
            </w:pPr>
            <w:r w:rsidRPr="004B6185">
              <w:rPr>
                <w:rFonts w:ascii="Times New Roman" w:hAnsi="Times New Roman"/>
                <w:b/>
                <w:bCs/>
                <w:sz w:val="20"/>
                <w:szCs w:val="20"/>
              </w:rPr>
              <w:t>Compound</w:t>
            </w:r>
          </w:p>
        </w:tc>
        <w:tc>
          <w:tcPr>
            <w:tcW w:w="0" w:type="auto"/>
            <w:gridSpan w:val="3"/>
            <w:tcBorders>
              <w:top w:val="single" w:sz="4" w:space="0" w:color="auto"/>
              <w:bottom w:val="single" w:sz="4" w:space="0" w:color="auto"/>
            </w:tcBorders>
            <w:shd w:val="clear" w:color="auto" w:fill="auto"/>
            <w:vAlign w:val="center"/>
          </w:tcPr>
          <w:p w:rsidR="00605FC1" w:rsidRDefault="00605FC1" w:rsidP="00605FC1">
            <w:pPr>
              <w:spacing w:before="60" w:after="0" w:line="240" w:lineRule="auto"/>
              <w:jc w:val="center"/>
              <w:rPr>
                <w:rFonts w:ascii="Times New Roman" w:hAnsi="Times New Roman"/>
                <w:b/>
                <w:bCs/>
                <w:sz w:val="20"/>
                <w:szCs w:val="20"/>
              </w:rPr>
            </w:pPr>
            <w:r w:rsidRPr="004B6185">
              <w:rPr>
                <w:rFonts w:ascii="Times New Roman" w:hAnsi="Times New Roman"/>
                <w:b/>
                <w:bCs/>
                <w:sz w:val="20"/>
                <w:szCs w:val="20"/>
              </w:rPr>
              <w:t xml:space="preserve">Mean Extraction Recovery </w:t>
            </w:r>
          </w:p>
          <w:p w:rsidR="00605FC1" w:rsidRPr="004B6185" w:rsidRDefault="00605FC1" w:rsidP="00EA4DF5">
            <w:pPr>
              <w:spacing w:after="0" w:line="240" w:lineRule="auto"/>
              <w:jc w:val="center"/>
              <w:rPr>
                <w:rFonts w:ascii="Times New Roman" w:hAnsi="Times New Roman"/>
                <w:b/>
                <w:bCs/>
                <w:sz w:val="20"/>
                <w:szCs w:val="20"/>
              </w:rPr>
            </w:pPr>
            <w:r w:rsidRPr="004B6185">
              <w:rPr>
                <w:rFonts w:ascii="Times New Roman" w:hAnsi="Times New Roman"/>
                <w:b/>
                <w:bCs/>
                <w:sz w:val="20"/>
                <w:szCs w:val="20"/>
              </w:rPr>
              <w:t>(%)</w:t>
            </w:r>
          </w:p>
        </w:tc>
        <w:tc>
          <w:tcPr>
            <w:tcW w:w="0" w:type="auto"/>
            <w:gridSpan w:val="3"/>
            <w:tcBorders>
              <w:top w:val="single" w:sz="4" w:space="0" w:color="auto"/>
              <w:bottom w:val="single" w:sz="4" w:space="0" w:color="auto"/>
            </w:tcBorders>
            <w:shd w:val="clear" w:color="auto" w:fill="auto"/>
            <w:vAlign w:val="center"/>
          </w:tcPr>
          <w:p w:rsidR="00605FC1" w:rsidRDefault="00605FC1" w:rsidP="00605FC1">
            <w:pPr>
              <w:spacing w:before="60" w:after="0" w:line="240" w:lineRule="auto"/>
              <w:jc w:val="center"/>
              <w:rPr>
                <w:rFonts w:ascii="Times New Roman" w:hAnsi="Times New Roman"/>
                <w:b/>
                <w:bCs/>
                <w:sz w:val="20"/>
                <w:szCs w:val="20"/>
              </w:rPr>
            </w:pPr>
            <w:r w:rsidRPr="004B6185">
              <w:rPr>
                <w:rFonts w:ascii="Times New Roman" w:hAnsi="Times New Roman"/>
                <w:b/>
                <w:bCs/>
                <w:sz w:val="20"/>
                <w:szCs w:val="20"/>
              </w:rPr>
              <w:t xml:space="preserve">IS-Normalized Matrix Effect </w:t>
            </w:r>
          </w:p>
          <w:p w:rsidR="00605FC1" w:rsidRPr="004B6185" w:rsidRDefault="00605FC1" w:rsidP="00EA4DF5">
            <w:pPr>
              <w:spacing w:after="0" w:line="240" w:lineRule="auto"/>
              <w:jc w:val="center"/>
              <w:rPr>
                <w:rFonts w:ascii="Times New Roman" w:hAnsi="Times New Roman"/>
                <w:b/>
                <w:bCs/>
                <w:sz w:val="20"/>
                <w:szCs w:val="20"/>
              </w:rPr>
            </w:pPr>
            <w:r w:rsidRPr="004B6185">
              <w:rPr>
                <w:rFonts w:ascii="Times New Roman" w:hAnsi="Times New Roman"/>
                <w:b/>
                <w:bCs/>
                <w:sz w:val="20"/>
                <w:szCs w:val="20"/>
              </w:rPr>
              <w:t>(%)</w:t>
            </w:r>
          </w:p>
        </w:tc>
      </w:tr>
      <w:tr w:rsidR="00605FC1" w:rsidRPr="004B6185" w:rsidTr="00605FC1">
        <w:trPr>
          <w:trHeight w:val="53"/>
          <w:jc w:val="center"/>
        </w:trPr>
        <w:tc>
          <w:tcPr>
            <w:tcW w:w="0" w:type="auto"/>
            <w:vMerge/>
            <w:tcBorders>
              <w:top w:val="nil"/>
              <w:bottom w:val="single" w:sz="4" w:space="0" w:color="auto"/>
            </w:tcBorders>
            <w:shd w:val="clear" w:color="auto" w:fill="auto"/>
            <w:vAlign w:val="center"/>
          </w:tcPr>
          <w:p w:rsidR="00605FC1" w:rsidRPr="004B6185" w:rsidRDefault="00605FC1" w:rsidP="00605FC1">
            <w:pPr>
              <w:spacing w:after="60" w:line="240" w:lineRule="auto"/>
              <w:rPr>
                <w:rFonts w:ascii="Times New Roman" w:hAnsi="Times New Roman"/>
                <w:b/>
                <w:bCs/>
                <w:sz w:val="20"/>
                <w:szCs w:val="20"/>
              </w:rPr>
            </w:pPr>
          </w:p>
        </w:tc>
        <w:tc>
          <w:tcPr>
            <w:tcW w:w="0" w:type="auto"/>
            <w:tcBorders>
              <w:top w:val="single" w:sz="4" w:space="0" w:color="auto"/>
              <w:bottom w:val="single" w:sz="4" w:space="0" w:color="auto"/>
            </w:tcBorders>
            <w:shd w:val="clear" w:color="auto" w:fill="auto"/>
            <w:vAlign w:val="center"/>
          </w:tcPr>
          <w:p w:rsidR="00605FC1" w:rsidRPr="004B6185" w:rsidRDefault="00605FC1" w:rsidP="00605FC1">
            <w:pPr>
              <w:spacing w:after="60" w:line="240" w:lineRule="auto"/>
              <w:jc w:val="center"/>
              <w:rPr>
                <w:rFonts w:ascii="Times New Roman" w:hAnsi="Times New Roman"/>
                <w:b/>
                <w:bCs/>
                <w:sz w:val="20"/>
                <w:szCs w:val="20"/>
              </w:rPr>
            </w:pPr>
            <w:r w:rsidRPr="004B6185">
              <w:rPr>
                <w:rFonts w:ascii="Times New Roman" w:hAnsi="Times New Roman"/>
                <w:b/>
                <w:bCs/>
                <w:sz w:val="20"/>
                <w:szCs w:val="20"/>
              </w:rPr>
              <w:t>Low</w:t>
            </w:r>
          </w:p>
        </w:tc>
        <w:tc>
          <w:tcPr>
            <w:tcW w:w="0" w:type="auto"/>
            <w:tcBorders>
              <w:top w:val="single" w:sz="4" w:space="0" w:color="auto"/>
              <w:bottom w:val="single" w:sz="4" w:space="0" w:color="auto"/>
            </w:tcBorders>
            <w:shd w:val="clear" w:color="auto" w:fill="auto"/>
            <w:vAlign w:val="center"/>
          </w:tcPr>
          <w:p w:rsidR="00605FC1" w:rsidRPr="004B6185" w:rsidRDefault="00605FC1" w:rsidP="00605FC1">
            <w:pPr>
              <w:spacing w:after="60" w:line="240" w:lineRule="auto"/>
              <w:jc w:val="center"/>
              <w:rPr>
                <w:rFonts w:ascii="Times New Roman" w:hAnsi="Times New Roman"/>
                <w:b/>
                <w:bCs/>
                <w:sz w:val="20"/>
                <w:szCs w:val="20"/>
              </w:rPr>
            </w:pPr>
            <w:r w:rsidRPr="004B6185">
              <w:rPr>
                <w:rFonts w:ascii="Times New Roman" w:hAnsi="Times New Roman"/>
                <w:b/>
                <w:bCs/>
                <w:sz w:val="20"/>
                <w:szCs w:val="20"/>
              </w:rPr>
              <w:t>Medium</w:t>
            </w:r>
          </w:p>
        </w:tc>
        <w:tc>
          <w:tcPr>
            <w:tcW w:w="0" w:type="auto"/>
            <w:tcBorders>
              <w:top w:val="single" w:sz="4" w:space="0" w:color="auto"/>
              <w:bottom w:val="single" w:sz="4" w:space="0" w:color="auto"/>
            </w:tcBorders>
            <w:shd w:val="clear" w:color="auto" w:fill="auto"/>
            <w:vAlign w:val="center"/>
          </w:tcPr>
          <w:p w:rsidR="00605FC1" w:rsidRPr="004B6185" w:rsidRDefault="00605FC1" w:rsidP="00605FC1">
            <w:pPr>
              <w:spacing w:after="60" w:line="240" w:lineRule="auto"/>
              <w:jc w:val="center"/>
              <w:rPr>
                <w:rFonts w:ascii="Times New Roman" w:hAnsi="Times New Roman"/>
                <w:b/>
                <w:bCs/>
                <w:sz w:val="20"/>
                <w:szCs w:val="20"/>
              </w:rPr>
            </w:pPr>
            <w:r w:rsidRPr="004B6185">
              <w:rPr>
                <w:rFonts w:ascii="Times New Roman" w:hAnsi="Times New Roman"/>
                <w:b/>
                <w:bCs/>
                <w:sz w:val="20"/>
                <w:szCs w:val="20"/>
              </w:rPr>
              <w:t>High</w:t>
            </w:r>
          </w:p>
        </w:tc>
        <w:tc>
          <w:tcPr>
            <w:tcW w:w="0" w:type="auto"/>
            <w:tcBorders>
              <w:top w:val="single" w:sz="4" w:space="0" w:color="auto"/>
              <w:bottom w:val="single" w:sz="4" w:space="0" w:color="auto"/>
            </w:tcBorders>
            <w:shd w:val="clear" w:color="auto" w:fill="auto"/>
            <w:vAlign w:val="center"/>
          </w:tcPr>
          <w:p w:rsidR="00605FC1" w:rsidRPr="004B6185" w:rsidRDefault="00605FC1" w:rsidP="00605FC1">
            <w:pPr>
              <w:spacing w:after="60" w:line="240" w:lineRule="auto"/>
              <w:jc w:val="center"/>
              <w:rPr>
                <w:rFonts w:ascii="Times New Roman" w:hAnsi="Times New Roman"/>
                <w:b/>
                <w:bCs/>
                <w:sz w:val="20"/>
                <w:szCs w:val="20"/>
              </w:rPr>
            </w:pPr>
            <w:r w:rsidRPr="004B6185">
              <w:rPr>
                <w:rFonts w:ascii="Times New Roman" w:hAnsi="Times New Roman"/>
                <w:b/>
                <w:bCs/>
                <w:sz w:val="20"/>
                <w:szCs w:val="20"/>
              </w:rPr>
              <w:t>Low</w:t>
            </w:r>
          </w:p>
        </w:tc>
        <w:tc>
          <w:tcPr>
            <w:tcW w:w="0" w:type="auto"/>
            <w:tcBorders>
              <w:top w:val="single" w:sz="4" w:space="0" w:color="auto"/>
              <w:bottom w:val="single" w:sz="4" w:space="0" w:color="auto"/>
            </w:tcBorders>
            <w:shd w:val="clear" w:color="auto" w:fill="auto"/>
            <w:vAlign w:val="center"/>
          </w:tcPr>
          <w:p w:rsidR="00605FC1" w:rsidRPr="004B6185" w:rsidRDefault="00605FC1" w:rsidP="00605FC1">
            <w:pPr>
              <w:spacing w:after="60" w:line="240" w:lineRule="auto"/>
              <w:jc w:val="center"/>
              <w:rPr>
                <w:rFonts w:ascii="Times New Roman" w:hAnsi="Times New Roman"/>
                <w:b/>
                <w:bCs/>
                <w:sz w:val="20"/>
                <w:szCs w:val="20"/>
              </w:rPr>
            </w:pPr>
            <w:r w:rsidRPr="004B6185">
              <w:rPr>
                <w:rFonts w:ascii="Times New Roman" w:hAnsi="Times New Roman"/>
                <w:b/>
                <w:bCs/>
                <w:sz w:val="20"/>
                <w:szCs w:val="20"/>
              </w:rPr>
              <w:t>Medium</w:t>
            </w:r>
          </w:p>
        </w:tc>
        <w:tc>
          <w:tcPr>
            <w:tcW w:w="0" w:type="auto"/>
            <w:tcBorders>
              <w:top w:val="single" w:sz="4" w:space="0" w:color="auto"/>
              <w:bottom w:val="single" w:sz="4" w:space="0" w:color="auto"/>
            </w:tcBorders>
            <w:shd w:val="clear" w:color="auto" w:fill="auto"/>
            <w:vAlign w:val="center"/>
          </w:tcPr>
          <w:p w:rsidR="00605FC1" w:rsidRPr="004B6185" w:rsidRDefault="00605FC1" w:rsidP="00605FC1">
            <w:pPr>
              <w:spacing w:after="60" w:line="240" w:lineRule="auto"/>
              <w:jc w:val="center"/>
              <w:rPr>
                <w:rFonts w:ascii="Times New Roman" w:hAnsi="Times New Roman"/>
                <w:b/>
                <w:bCs/>
                <w:sz w:val="20"/>
                <w:szCs w:val="20"/>
              </w:rPr>
            </w:pPr>
            <w:r w:rsidRPr="004B6185">
              <w:rPr>
                <w:rFonts w:ascii="Times New Roman" w:hAnsi="Times New Roman"/>
                <w:b/>
                <w:bCs/>
                <w:sz w:val="20"/>
                <w:szCs w:val="20"/>
              </w:rPr>
              <w:t>High</w:t>
            </w:r>
          </w:p>
        </w:tc>
      </w:tr>
      <w:tr w:rsidR="00605FC1" w:rsidRPr="004B6185" w:rsidTr="00605FC1">
        <w:trPr>
          <w:trHeight w:val="53"/>
          <w:jc w:val="center"/>
        </w:trPr>
        <w:tc>
          <w:tcPr>
            <w:tcW w:w="0" w:type="auto"/>
            <w:tcBorders>
              <w:top w:val="single" w:sz="4" w:space="0" w:color="auto"/>
              <w:bottom w:val="nil"/>
            </w:tcBorders>
            <w:shd w:val="clear" w:color="auto" w:fill="auto"/>
            <w:vAlign w:val="center"/>
          </w:tcPr>
          <w:p w:rsidR="00605FC1" w:rsidRPr="004B6185" w:rsidRDefault="00605FC1" w:rsidP="00605FC1">
            <w:pPr>
              <w:spacing w:before="60" w:after="0" w:line="240" w:lineRule="auto"/>
              <w:rPr>
                <w:rFonts w:ascii="Times New Roman" w:hAnsi="Times New Roman"/>
                <w:sz w:val="20"/>
                <w:szCs w:val="20"/>
              </w:rPr>
            </w:pPr>
            <w:r w:rsidRPr="004B6185">
              <w:rPr>
                <w:rFonts w:ascii="Times New Roman" w:hAnsi="Times New Roman"/>
                <w:sz w:val="20"/>
                <w:szCs w:val="20"/>
              </w:rPr>
              <w:t>Cortisol</w:t>
            </w:r>
          </w:p>
        </w:tc>
        <w:tc>
          <w:tcPr>
            <w:tcW w:w="0" w:type="auto"/>
            <w:tcBorders>
              <w:top w:val="single" w:sz="4" w:space="0" w:color="auto"/>
              <w:bottom w:val="nil"/>
            </w:tcBorders>
            <w:shd w:val="clear" w:color="auto" w:fill="auto"/>
            <w:vAlign w:val="center"/>
          </w:tcPr>
          <w:p w:rsidR="00605FC1" w:rsidRPr="004B6185" w:rsidRDefault="00605FC1" w:rsidP="00605FC1">
            <w:pPr>
              <w:spacing w:before="60" w:after="0" w:line="240" w:lineRule="auto"/>
              <w:jc w:val="center"/>
              <w:rPr>
                <w:rFonts w:ascii="Times New Roman" w:hAnsi="Times New Roman"/>
                <w:sz w:val="20"/>
                <w:szCs w:val="20"/>
              </w:rPr>
            </w:pPr>
            <w:r w:rsidRPr="004B6185">
              <w:rPr>
                <w:rFonts w:ascii="Times New Roman" w:hAnsi="Times New Roman"/>
                <w:sz w:val="20"/>
                <w:szCs w:val="20"/>
              </w:rPr>
              <w:t>93.88</w:t>
            </w:r>
          </w:p>
        </w:tc>
        <w:tc>
          <w:tcPr>
            <w:tcW w:w="0" w:type="auto"/>
            <w:tcBorders>
              <w:top w:val="single" w:sz="4" w:space="0" w:color="auto"/>
              <w:bottom w:val="nil"/>
            </w:tcBorders>
            <w:shd w:val="clear" w:color="auto" w:fill="auto"/>
            <w:vAlign w:val="center"/>
          </w:tcPr>
          <w:p w:rsidR="00605FC1" w:rsidRPr="004B6185" w:rsidRDefault="00605FC1" w:rsidP="00605FC1">
            <w:pPr>
              <w:spacing w:before="60" w:after="0" w:line="240" w:lineRule="auto"/>
              <w:jc w:val="center"/>
              <w:rPr>
                <w:rFonts w:ascii="Times New Roman" w:hAnsi="Times New Roman"/>
                <w:sz w:val="20"/>
                <w:szCs w:val="20"/>
              </w:rPr>
            </w:pPr>
            <w:r w:rsidRPr="004B6185">
              <w:rPr>
                <w:rFonts w:ascii="Times New Roman" w:hAnsi="Times New Roman"/>
                <w:sz w:val="20"/>
                <w:szCs w:val="20"/>
              </w:rPr>
              <w:t>90.38</w:t>
            </w:r>
          </w:p>
        </w:tc>
        <w:tc>
          <w:tcPr>
            <w:tcW w:w="0" w:type="auto"/>
            <w:tcBorders>
              <w:top w:val="single" w:sz="4" w:space="0" w:color="auto"/>
              <w:bottom w:val="nil"/>
            </w:tcBorders>
            <w:shd w:val="clear" w:color="auto" w:fill="auto"/>
            <w:vAlign w:val="center"/>
          </w:tcPr>
          <w:p w:rsidR="00605FC1" w:rsidRPr="004B6185" w:rsidRDefault="00605FC1" w:rsidP="00605FC1">
            <w:pPr>
              <w:spacing w:before="60" w:after="0" w:line="240" w:lineRule="auto"/>
              <w:jc w:val="center"/>
              <w:rPr>
                <w:rFonts w:ascii="Times New Roman" w:hAnsi="Times New Roman"/>
                <w:sz w:val="20"/>
                <w:szCs w:val="20"/>
              </w:rPr>
            </w:pPr>
            <w:r w:rsidRPr="004B6185">
              <w:rPr>
                <w:rFonts w:ascii="Times New Roman" w:hAnsi="Times New Roman"/>
                <w:sz w:val="20"/>
                <w:szCs w:val="20"/>
              </w:rPr>
              <w:t>92.09</w:t>
            </w:r>
          </w:p>
        </w:tc>
        <w:tc>
          <w:tcPr>
            <w:tcW w:w="0" w:type="auto"/>
            <w:tcBorders>
              <w:top w:val="single" w:sz="4" w:space="0" w:color="auto"/>
              <w:bottom w:val="nil"/>
            </w:tcBorders>
            <w:shd w:val="clear" w:color="auto" w:fill="auto"/>
            <w:vAlign w:val="center"/>
          </w:tcPr>
          <w:p w:rsidR="00605FC1" w:rsidRPr="004B6185" w:rsidRDefault="00605FC1" w:rsidP="00605FC1">
            <w:pPr>
              <w:spacing w:before="60" w:after="0" w:line="240" w:lineRule="auto"/>
              <w:jc w:val="center"/>
              <w:rPr>
                <w:rFonts w:ascii="Times New Roman" w:hAnsi="Times New Roman"/>
                <w:sz w:val="20"/>
                <w:szCs w:val="20"/>
              </w:rPr>
            </w:pPr>
            <w:r w:rsidRPr="004B6185">
              <w:rPr>
                <w:rFonts w:ascii="Times New Roman" w:hAnsi="Times New Roman"/>
                <w:sz w:val="20"/>
                <w:szCs w:val="20"/>
              </w:rPr>
              <w:t>13.30</w:t>
            </w:r>
          </w:p>
        </w:tc>
        <w:tc>
          <w:tcPr>
            <w:tcW w:w="0" w:type="auto"/>
            <w:tcBorders>
              <w:top w:val="single" w:sz="4" w:space="0" w:color="auto"/>
              <w:bottom w:val="nil"/>
            </w:tcBorders>
            <w:shd w:val="clear" w:color="auto" w:fill="auto"/>
            <w:vAlign w:val="center"/>
          </w:tcPr>
          <w:p w:rsidR="00605FC1" w:rsidRPr="004B6185" w:rsidRDefault="00605FC1" w:rsidP="00605FC1">
            <w:pPr>
              <w:spacing w:before="60" w:after="0" w:line="240" w:lineRule="auto"/>
              <w:jc w:val="center"/>
              <w:rPr>
                <w:rFonts w:ascii="Times New Roman" w:hAnsi="Times New Roman"/>
                <w:sz w:val="20"/>
                <w:szCs w:val="20"/>
              </w:rPr>
            </w:pPr>
            <w:r w:rsidRPr="004B6185">
              <w:rPr>
                <w:rFonts w:ascii="Times New Roman" w:hAnsi="Times New Roman"/>
                <w:sz w:val="20"/>
                <w:szCs w:val="20"/>
              </w:rPr>
              <w:t>4.25</w:t>
            </w:r>
          </w:p>
        </w:tc>
        <w:tc>
          <w:tcPr>
            <w:tcW w:w="0" w:type="auto"/>
            <w:tcBorders>
              <w:top w:val="single" w:sz="4" w:space="0" w:color="auto"/>
              <w:bottom w:val="nil"/>
            </w:tcBorders>
            <w:shd w:val="clear" w:color="auto" w:fill="auto"/>
            <w:vAlign w:val="center"/>
          </w:tcPr>
          <w:p w:rsidR="00605FC1" w:rsidRPr="004B6185" w:rsidRDefault="00605FC1" w:rsidP="00605FC1">
            <w:pPr>
              <w:spacing w:before="60" w:after="0" w:line="240" w:lineRule="auto"/>
              <w:jc w:val="center"/>
              <w:rPr>
                <w:rFonts w:ascii="Times New Roman" w:hAnsi="Times New Roman"/>
                <w:sz w:val="20"/>
                <w:szCs w:val="20"/>
              </w:rPr>
            </w:pPr>
            <w:r w:rsidRPr="004B6185">
              <w:rPr>
                <w:rFonts w:ascii="Times New Roman" w:hAnsi="Times New Roman"/>
                <w:sz w:val="20"/>
                <w:szCs w:val="20"/>
              </w:rPr>
              <w:t>8.40</w:t>
            </w:r>
          </w:p>
        </w:tc>
      </w:tr>
      <w:tr w:rsidR="00605FC1" w:rsidRPr="004B6185" w:rsidTr="00605FC1">
        <w:trPr>
          <w:trHeight w:val="53"/>
          <w:jc w:val="center"/>
        </w:trPr>
        <w:tc>
          <w:tcPr>
            <w:tcW w:w="0" w:type="auto"/>
            <w:tcBorders>
              <w:top w:val="nil"/>
              <w:bottom w:val="single" w:sz="4" w:space="0" w:color="auto"/>
            </w:tcBorders>
            <w:shd w:val="clear" w:color="auto" w:fill="auto"/>
            <w:vAlign w:val="center"/>
          </w:tcPr>
          <w:p w:rsidR="00605FC1" w:rsidRPr="004B6185" w:rsidRDefault="00605FC1" w:rsidP="00605FC1">
            <w:pPr>
              <w:spacing w:before="60" w:after="60" w:line="240" w:lineRule="auto"/>
              <w:rPr>
                <w:rFonts w:ascii="Times New Roman" w:hAnsi="Times New Roman"/>
                <w:sz w:val="20"/>
                <w:szCs w:val="20"/>
              </w:rPr>
            </w:pPr>
            <w:r w:rsidRPr="004B6185">
              <w:rPr>
                <w:rFonts w:ascii="Times New Roman" w:hAnsi="Times New Roman"/>
                <w:sz w:val="20"/>
                <w:szCs w:val="20"/>
              </w:rPr>
              <w:t>Cortisone</w:t>
            </w:r>
          </w:p>
        </w:tc>
        <w:tc>
          <w:tcPr>
            <w:tcW w:w="0" w:type="auto"/>
            <w:tcBorders>
              <w:top w:val="nil"/>
              <w:bottom w:val="single" w:sz="4" w:space="0" w:color="auto"/>
            </w:tcBorders>
            <w:shd w:val="clear" w:color="auto" w:fill="auto"/>
            <w:vAlign w:val="center"/>
          </w:tcPr>
          <w:p w:rsidR="00605FC1" w:rsidRPr="004B6185" w:rsidRDefault="00605FC1" w:rsidP="00605FC1">
            <w:pPr>
              <w:spacing w:before="60" w:after="60" w:line="240" w:lineRule="auto"/>
              <w:jc w:val="center"/>
              <w:rPr>
                <w:rFonts w:ascii="Times New Roman" w:hAnsi="Times New Roman"/>
                <w:sz w:val="20"/>
                <w:szCs w:val="20"/>
              </w:rPr>
            </w:pPr>
            <w:r w:rsidRPr="004B6185">
              <w:rPr>
                <w:rFonts w:ascii="Times New Roman" w:hAnsi="Times New Roman"/>
                <w:sz w:val="20"/>
                <w:szCs w:val="20"/>
              </w:rPr>
              <w:t>95.90</w:t>
            </w:r>
          </w:p>
        </w:tc>
        <w:tc>
          <w:tcPr>
            <w:tcW w:w="0" w:type="auto"/>
            <w:tcBorders>
              <w:top w:val="nil"/>
              <w:bottom w:val="single" w:sz="4" w:space="0" w:color="auto"/>
            </w:tcBorders>
            <w:shd w:val="clear" w:color="auto" w:fill="auto"/>
            <w:vAlign w:val="center"/>
          </w:tcPr>
          <w:p w:rsidR="00605FC1" w:rsidRPr="004B6185" w:rsidRDefault="00605FC1" w:rsidP="00605FC1">
            <w:pPr>
              <w:spacing w:before="60" w:after="60" w:line="240" w:lineRule="auto"/>
              <w:jc w:val="center"/>
              <w:rPr>
                <w:rFonts w:ascii="Times New Roman" w:hAnsi="Times New Roman"/>
                <w:sz w:val="20"/>
                <w:szCs w:val="20"/>
              </w:rPr>
            </w:pPr>
            <w:r w:rsidRPr="004B6185">
              <w:rPr>
                <w:rFonts w:ascii="Times New Roman" w:hAnsi="Times New Roman"/>
                <w:sz w:val="20"/>
                <w:szCs w:val="20"/>
              </w:rPr>
              <w:t>90.48</w:t>
            </w:r>
          </w:p>
        </w:tc>
        <w:tc>
          <w:tcPr>
            <w:tcW w:w="0" w:type="auto"/>
            <w:tcBorders>
              <w:top w:val="nil"/>
              <w:bottom w:val="single" w:sz="4" w:space="0" w:color="auto"/>
            </w:tcBorders>
            <w:shd w:val="clear" w:color="auto" w:fill="auto"/>
            <w:vAlign w:val="center"/>
          </w:tcPr>
          <w:p w:rsidR="00605FC1" w:rsidRPr="004B6185" w:rsidRDefault="00605FC1" w:rsidP="00605FC1">
            <w:pPr>
              <w:spacing w:before="60" w:after="60" w:line="240" w:lineRule="auto"/>
              <w:jc w:val="center"/>
              <w:rPr>
                <w:rFonts w:ascii="Times New Roman" w:hAnsi="Times New Roman"/>
                <w:sz w:val="20"/>
                <w:szCs w:val="20"/>
              </w:rPr>
            </w:pPr>
            <w:r w:rsidRPr="004B6185">
              <w:rPr>
                <w:rFonts w:ascii="Times New Roman" w:hAnsi="Times New Roman"/>
                <w:sz w:val="20"/>
                <w:szCs w:val="20"/>
              </w:rPr>
              <w:t>92.54</w:t>
            </w:r>
          </w:p>
        </w:tc>
        <w:tc>
          <w:tcPr>
            <w:tcW w:w="0" w:type="auto"/>
            <w:tcBorders>
              <w:top w:val="nil"/>
              <w:bottom w:val="single" w:sz="4" w:space="0" w:color="auto"/>
            </w:tcBorders>
            <w:shd w:val="clear" w:color="auto" w:fill="auto"/>
            <w:vAlign w:val="center"/>
          </w:tcPr>
          <w:p w:rsidR="00605FC1" w:rsidRPr="004B6185" w:rsidRDefault="00605FC1" w:rsidP="00605FC1">
            <w:pPr>
              <w:spacing w:before="60" w:after="60" w:line="240" w:lineRule="auto"/>
              <w:jc w:val="center"/>
              <w:rPr>
                <w:rFonts w:ascii="Times New Roman" w:hAnsi="Times New Roman"/>
                <w:sz w:val="20"/>
                <w:szCs w:val="20"/>
              </w:rPr>
            </w:pPr>
            <w:r w:rsidRPr="004B6185">
              <w:rPr>
                <w:rFonts w:ascii="Times New Roman" w:hAnsi="Times New Roman"/>
                <w:sz w:val="20"/>
                <w:szCs w:val="20"/>
              </w:rPr>
              <w:t>7.94</w:t>
            </w:r>
          </w:p>
        </w:tc>
        <w:tc>
          <w:tcPr>
            <w:tcW w:w="0" w:type="auto"/>
            <w:tcBorders>
              <w:top w:val="nil"/>
              <w:bottom w:val="single" w:sz="4" w:space="0" w:color="auto"/>
            </w:tcBorders>
            <w:shd w:val="clear" w:color="auto" w:fill="auto"/>
            <w:vAlign w:val="center"/>
          </w:tcPr>
          <w:p w:rsidR="00605FC1" w:rsidRPr="004B6185" w:rsidRDefault="00605FC1" w:rsidP="00605FC1">
            <w:pPr>
              <w:spacing w:before="60" w:after="60" w:line="240" w:lineRule="auto"/>
              <w:jc w:val="center"/>
              <w:rPr>
                <w:rFonts w:ascii="Times New Roman" w:hAnsi="Times New Roman"/>
                <w:sz w:val="20"/>
                <w:szCs w:val="20"/>
              </w:rPr>
            </w:pPr>
            <w:r w:rsidRPr="004B6185">
              <w:rPr>
                <w:rFonts w:ascii="Times New Roman" w:hAnsi="Times New Roman"/>
                <w:sz w:val="20"/>
                <w:szCs w:val="20"/>
              </w:rPr>
              <w:t>8.34</w:t>
            </w:r>
          </w:p>
        </w:tc>
        <w:tc>
          <w:tcPr>
            <w:tcW w:w="0" w:type="auto"/>
            <w:tcBorders>
              <w:top w:val="nil"/>
              <w:bottom w:val="single" w:sz="4" w:space="0" w:color="auto"/>
            </w:tcBorders>
            <w:shd w:val="clear" w:color="auto" w:fill="auto"/>
            <w:vAlign w:val="center"/>
          </w:tcPr>
          <w:p w:rsidR="00605FC1" w:rsidRPr="004B6185" w:rsidRDefault="00605FC1" w:rsidP="00605FC1">
            <w:pPr>
              <w:spacing w:before="60" w:after="60" w:line="240" w:lineRule="auto"/>
              <w:jc w:val="center"/>
              <w:rPr>
                <w:rFonts w:ascii="Times New Roman" w:hAnsi="Times New Roman"/>
                <w:sz w:val="20"/>
                <w:szCs w:val="20"/>
              </w:rPr>
            </w:pPr>
            <w:r w:rsidRPr="004B6185">
              <w:rPr>
                <w:rFonts w:ascii="Times New Roman" w:hAnsi="Times New Roman"/>
                <w:sz w:val="20"/>
                <w:szCs w:val="20"/>
              </w:rPr>
              <w:t>7.26</w:t>
            </w:r>
          </w:p>
        </w:tc>
      </w:tr>
    </w:tbl>
    <w:p w:rsidR="00F86988" w:rsidRDefault="00F86988" w:rsidP="00F86988">
      <w:pPr>
        <w:spacing w:after="0" w:line="240" w:lineRule="auto"/>
        <w:jc w:val="center"/>
        <w:rPr>
          <w:rFonts w:ascii="Times New Roman" w:hAnsi="Times New Roman"/>
          <w:sz w:val="20"/>
          <w:szCs w:val="20"/>
        </w:rPr>
      </w:pPr>
    </w:p>
    <w:p w:rsidR="00F86988" w:rsidRDefault="00F86988" w:rsidP="00F86988">
      <w:pPr>
        <w:spacing w:after="0" w:line="240" w:lineRule="auto"/>
        <w:jc w:val="center"/>
        <w:rPr>
          <w:rFonts w:ascii="Times New Roman" w:hAnsi="Times New Roman"/>
          <w:sz w:val="20"/>
          <w:szCs w:val="20"/>
        </w:rPr>
      </w:pPr>
    </w:p>
    <w:p w:rsidR="00F86988" w:rsidRPr="00F86988" w:rsidRDefault="00F86988" w:rsidP="00F86988">
      <w:pPr>
        <w:spacing w:after="120" w:line="240" w:lineRule="auto"/>
        <w:jc w:val="center"/>
        <w:rPr>
          <w:rFonts w:ascii="Times New Roman" w:hAnsi="Times New Roman"/>
          <w:sz w:val="20"/>
          <w:szCs w:val="20"/>
        </w:rPr>
      </w:pPr>
      <w:r w:rsidRPr="004B4B56">
        <w:rPr>
          <w:rFonts w:ascii="Times New Roman" w:hAnsi="Times New Roman"/>
          <w:sz w:val="20"/>
          <w:szCs w:val="20"/>
        </w:rPr>
        <w:lastRenderedPageBreak/>
        <w:t>Table 5.</w:t>
      </w:r>
      <w:r w:rsidRPr="004B4B56">
        <w:rPr>
          <w:rFonts w:ascii="Times New Roman" w:hAnsi="Times New Roman"/>
          <w:b/>
          <w:bCs/>
          <w:sz w:val="20"/>
          <w:szCs w:val="20"/>
        </w:rPr>
        <w:t xml:space="preserve"> </w:t>
      </w:r>
      <w:r>
        <w:rPr>
          <w:rFonts w:ascii="Times New Roman" w:hAnsi="Times New Roman"/>
          <w:b/>
          <w:bCs/>
          <w:sz w:val="20"/>
          <w:szCs w:val="20"/>
        </w:rPr>
        <w:t xml:space="preserve"> </w:t>
      </w:r>
      <w:r w:rsidRPr="004B4B56">
        <w:rPr>
          <w:rFonts w:ascii="Times New Roman" w:hAnsi="Times New Roman"/>
          <w:sz w:val="20"/>
          <w:szCs w:val="20"/>
        </w:rPr>
        <w:t>Stability of the two analytes in 3 different conditions</w:t>
      </w:r>
    </w:p>
    <w:tbl>
      <w:tblPr>
        <w:tblStyle w:val="PlainTable2"/>
        <w:tblW w:w="0" w:type="auto"/>
        <w:tblLook w:val="04A0" w:firstRow="1" w:lastRow="0" w:firstColumn="1" w:lastColumn="0" w:noHBand="0" w:noVBand="1"/>
      </w:tblPr>
      <w:tblGrid>
        <w:gridCol w:w="1172"/>
        <w:gridCol w:w="1264"/>
        <w:gridCol w:w="1450"/>
        <w:gridCol w:w="1079"/>
        <w:gridCol w:w="1450"/>
        <w:gridCol w:w="939"/>
        <w:gridCol w:w="1326"/>
        <w:gridCol w:w="867"/>
      </w:tblGrid>
      <w:tr w:rsidR="00F86988" w:rsidRPr="004B4B56" w:rsidTr="00F86988">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vAlign w:val="center"/>
          </w:tcPr>
          <w:p w:rsidR="00F86988" w:rsidRPr="004B4B56" w:rsidRDefault="00F86988" w:rsidP="00F86988">
            <w:pPr>
              <w:spacing w:after="0" w:line="240" w:lineRule="auto"/>
              <w:rPr>
                <w:rFonts w:ascii="Times New Roman" w:hAnsi="Times New Roman" w:cs="Times New Roman"/>
                <w:sz w:val="20"/>
                <w:szCs w:val="20"/>
                <w:lang w:val="en-US"/>
              </w:rPr>
            </w:pPr>
            <w:r w:rsidRPr="004B4B56">
              <w:rPr>
                <w:rFonts w:ascii="Times New Roman" w:hAnsi="Times New Roman" w:cs="Times New Roman"/>
                <w:sz w:val="20"/>
                <w:szCs w:val="20"/>
                <w:lang w:val="en-US"/>
              </w:rPr>
              <w:t>Compound</w:t>
            </w:r>
          </w:p>
        </w:tc>
        <w:tc>
          <w:tcPr>
            <w:tcW w:w="1692" w:type="dxa"/>
            <w:vMerge w:val="restart"/>
            <w:tcBorders>
              <w:top w:val="single" w:sz="4" w:space="0" w:color="auto"/>
              <w:bottom w:val="nil"/>
            </w:tcBorders>
            <w:vAlign w:val="center"/>
          </w:tcPr>
          <w:p w:rsidR="00F86988" w:rsidRPr="004B4B56" w:rsidRDefault="00F86988" w:rsidP="00EA4DF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Freshly Prepared Sample</w:t>
            </w:r>
            <w:r w:rsidRPr="004B4B56">
              <w:rPr>
                <w:rFonts w:ascii="Times New Roman" w:hAnsi="Times New Roman" w:cs="Times New Roman"/>
                <w:sz w:val="20"/>
                <w:szCs w:val="20"/>
                <w:lang w:val="en-US"/>
              </w:rPr>
              <w:br/>
              <w:t>(ng/mL)</w:t>
            </w:r>
          </w:p>
        </w:tc>
        <w:tc>
          <w:tcPr>
            <w:tcW w:w="1817" w:type="dxa"/>
            <w:gridSpan w:val="2"/>
            <w:tcBorders>
              <w:top w:val="single" w:sz="4" w:space="0" w:color="auto"/>
              <w:bottom w:val="single" w:sz="4" w:space="0" w:color="auto"/>
            </w:tcBorders>
            <w:vAlign w:val="center"/>
          </w:tcPr>
          <w:p w:rsidR="00F86988" w:rsidRPr="004B4B56" w:rsidRDefault="00F86988" w:rsidP="00F86988">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Overnight in A</w:t>
            </w:r>
            <w:r w:rsidRPr="004B4B56">
              <w:rPr>
                <w:rFonts w:ascii="Times New Roman" w:hAnsi="Times New Roman" w:cs="Times New Roman"/>
                <w:noProof/>
                <w:sz w:val="20"/>
                <w:szCs w:val="20"/>
                <w:lang w:val="en-US"/>
              </w:rPr>
              <w:t>utosampler</w:t>
            </w:r>
            <w:r w:rsidRPr="004B4B56">
              <w:rPr>
                <w:rFonts w:ascii="Times New Roman" w:hAnsi="Times New Roman" w:cs="Times New Roman"/>
                <w:sz w:val="20"/>
                <w:szCs w:val="20"/>
                <w:lang w:val="en-US"/>
              </w:rPr>
              <w:t xml:space="preserve"> (10 ºC)</w:t>
            </w:r>
          </w:p>
        </w:tc>
        <w:tc>
          <w:tcPr>
            <w:tcW w:w="0" w:type="auto"/>
            <w:gridSpan w:val="2"/>
            <w:tcBorders>
              <w:top w:val="single" w:sz="4" w:space="0" w:color="auto"/>
              <w:bottom w:val="single" w:sz="4" w:space="0" w:color="auto"/>
            </w:tcBorders>
            <w:vAlign w:val="center"/>
          </w:tcPr>
          <w:p w:rsidR="00F86988" w:rsidRPr="004B4B56" w:rsidRDefault="00F86988" w:rsidP="00F86988">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24 Hours at Room Temperature</w:t>
            </w:r>
          </w:p>
        </w:tc>
        <w:tc>
          <w:tcPr>
            <w:tcW w:w="0" w:type="auto"/>
            <w:gridSpan w:val="2"/>
            <w:tcBorders>
              <w:top w:val="single" w:sz="4" w:space="0" w:color="auto"/>
              <w:bottom w:val="single" w:sz="4" w:space="0" w:color="auto"/>
            </w:tcBorders>
            <w:vAlign w:val="center"/>
          </w:tcPr>
          <w:p w:rsidR="00F86988" w:rsidRPr="00F86988" w:rsidRDefault="00F86988" w:rsidP="00F86988">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US"/>
              </w:rPr>
            </w:pPr>
            <w:r w:rsidRPr="00F86988">
              <w:rPr>
                <w:rFonts w:ascii="Times New Roman" w:hAnsi="Times New Roman" w:cs="Times New Roman"/>
                <w:sz w:val="18"/>
                <w:szCs w:val="20"/>
                <w:lang w:val="en-US"/>
              </w:rPr>
              <w:t>Three Times Freeze-Thaw Cycles (-80 ºC)</w:t>
            </w:r>
          </w:p>
        </w:tc>
      </w:tr>
      <w:tr w:rsidR="00F86988" w:rsidRPr="004B4B56" w:rsidTr="00F86988">
        <w:trPr>
          <w:cnfStyle w:val="000000100000" w:firstRow="0" w:lastRow="0" w:firstColumn="0" w:lastColumn="0" w:oddVBand="0" w:evenVBand="0" w:oddHBand="1" w:evenHBand="0" w:firstRowFirstColumn="0" w:firstRowLastColumn="0" w:lastRowFirstColumn="0" w:lastRowLastColumn="0"/>
          <w:trHeight w:val="801"/>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vAlign w:val="center"/>
          </w:tcPr>
          <w:p w:rsidR="00F86988" w:rsidRPr="004B4B56" w:rsidRDefault="00F86988" w:rsidP="00F86988">
            <w:pPr>
              <w:spacing w:after="0" w:line="240" w:lineRule="auto"/>
              <w:ind w:firstLine="187"/>
              <w:rPr>
                <w:rFonts w:ascii="Times New Roman" w:hAnsi="Times New Roman" w:cs="Times New Roman"/>
                <w:sz w:val="20"/>
                <w:szCs w:val="20"/>
                <w:lang w:val="en-US"/>
              </w:rPr>
            </w:pPr>
          </w:p>
        </w:tc>
        <w:tc>
          <w:tcPr>
            <w:tcW w:w="1692" w:type="dxa"/>
            <w:vMerge/>
            <w:tcBorders>
              <w:top w:val="nil"/>
              <w:bottom w:val="single" w:sz="4" w:space="0" w:color="auto"/>
            </w:tcBorders>
            <w:vAlign w:val="center"/>
          </w:tcPr>
          <w:p w:rsidR="00F86988" w:rsidRPr="004B4B56" w:rsidRDefault="00F86988" w:rsidP="00EA4DF5">
            <w:pPr>
              <w:spacing w:after="0" w:line="240" w:lineRule="auto"/>
              <w:ind w:firstLine="18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p>
        </w:tc>
        <w:tc>
          <w:tcPr>
            <w:tcW w:w="952" w:type="dxa"/>
            <w:tcBorders>
              <w:top w:val="single" w:sz="4" w:space="0" w:color="auto"/>
              <w:bottom w:val="single" w:sz="4" w:space="0" w:color="auto"/>
            </w:tcBorders>
            <w:vAlign w:val="center"/>
          </w:tcPr>
          <w:p w:rsidR="00F86988" w:rsidRPr="004B4B56" w:rsidRDefault="00F86988" w:rsidP="00EA4DF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F86988">
              <w:rPr>
                <w:rFonts w:ascii="Times New Roman" w:hAnsi="Times New Roman" w:cs="Times New Roman"/>
                <w:b/>
                <w:bCs/>
                <w:sz w:val="20"/>
                <w:szCs w:val="20"/>
                <w:lang w:val="en-US"/>
              </w:rPr>
              <w:t xml:space="preserve">Measured </w:t>
            </w:r>
            <w:r w:rsidRPr="004B4B56">
              <w:rPr>
                <w:rFonts w:ascii="Times New Roman" w:hAnsi="Times New Roman" w:cs="Times New Roman"/>
                <w:b/>
                <w:bCs/>
                <w:sz w:val="20"/>
                <w:szCs w:val="20"/>
                <w:lang w:val="en-US"/>
              </w:rPr>
              <w:t>Concentration</w:t>
            </w:r>
          </w:p>
          <w:p w:rsidR="00F86988" w:rsidRPr="004B4B56" w:rsidRDefault="00F86988" w:rsidP="00F86988">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4B4B56">
              <w:rPr>
                <w:rFonts w:ascii="Times New Roman" w:hAnsi="Times New Roman" w:cs="Times New Roman"/>
                <w:b/>
                <w:bCs/>
                <w:sz w:val="20"/>
                <w:szCs w:val="20"/>
                <w:lang w:val="en-US"/>
              </w:rPr>
              <w:t>(ng/mL)</w:t>
            </w:r>
          </w:p>
        </w:tc>
        <w:tc>
          <w:tcPr>
            <w:tcW w:w="0" w:type="auto"/>
            <w:tcBorders>
              <w:top w:val="single" w:sz="4" w:space="0" w:color="auto"/>
              <w:bottom w:val="single" w:sz="4" w:space="0" w:color="auto"/>
            </w:tcBorders>
            <w:vAlign w:val="center"/>
          </w:tcPr>
          <w:p w:rsidR="00F86988" w:rsidRPr="004B4B56" w:rsidRDefault="00F86988" w:rsidP="00EA4DF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4B4B56">
              <w:rPr>
                <w:rFonts w:ascii="Times New Roman" w:hAnsi="Times New Roman" w:cs="Times New Roman"/>
                <w:b/>
                <w:bCs/>
                <w:sz w:val="20"/>
                <w:szCs w:val="20"/>
                <w:lang w:val="en-US"/>
              </w:rPr>
              <w:t>Stability (%)</w:t>
            </w:r>
          </w:p>
        </w:tc>
        <w:tc>
          <w:tcPr>
            <w:tcW w:w="0" w:type="auto"/>
            <w:tcBorders>
              <w:top w:val="single" w:sz="4" w:space="0" w:color="auto"/>
              <w:bottom w:val="single" w:sz="4" w:space="0" w:color="auto"/>
            </w:tcBorders>
            <w:vAlign w:val="center"/>
          </w:tcPr>
          <w:p w:rsidR="00F86988" w:rsidRPr="004B4B56" w:rsidRDefault="00F86988" w:rsidP="00EA4DF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4B4B56">
              <w:rPr>
                <w:rFonts w:ascii="Times New Roman" w:hAnsi="Times New Roman" w:cs="Times New Roman"/>
                <w:b/>
                <w:bCs/>
                <w:sz w:val="20"/>
                <w:szCs w:val="20"/>
                <w:lang w:val="en-US"/>
              </w:rPr>
              <w:t>Measured Concentration</w:t>
            </w:r>
          </w:p>
          <w:p w:rsidR="00F86988" w:rsidRPr="004B4B56" w:rsidRDefault="00F86988" w:rsidP="00F86988">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4B4B56">
              <w:rPr>
                <w:rFonts w:ascii="Times New Roman" w:hAnsi="Times New Roman" w:cs="Times New Roman"/>
                <w:b/>
                <w:bCs/>
                <w:sz w:val="20"/>
                <w:szCs w:val="20"/>
                <w:lang w:val="en-US"/>
              </w:rPr>
              <w:t>(ng/mL)</w:t>
            </w:r>
          </w:p>
        </w:tc>
        <w:tc>
          <w:tcPr>
            <w:tcW w:w="0" w:type="auto"/>
            <w:tcBorders>
              <w:top w:val="single" w:sz="4" w:space="0" w:color="auto"/>
              <w:bottom w:val="single" w:sz="4" w:space="0" w:color="auto"/>
            </w:tcBorders>
            <w:vAlign w:val="center"/>
          </w:tcPr>
          <w:p w:rsidR="00F86988" w:rsidRPr="004B4B56" w:rsidRDefault="00F86988" w:rsidP="00EA4DF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4B4B56">
              <w:rPr>
                <w:rFonts w:ascii="Times New Roman" w:hAnsi="Times New Roman" w:cs="Times New Roman"/>
                <w:b/>
                <w:bCs/>
                <w:sz w:val="20"/>
                <w:szCs w:val="20"/>
                <w:lang w:val="en-US"/>
              </w:rPr>
              <w:t>Stability (%)</w:t>
            </w:r>
          </w:p>
        </w:tc>
        <w:tc>
          <w:tcPr>
            <w:tcW w:w="0" w:type="auto"/>
            <w:tcBorders>
              <w:top w:val="single" w:sz="4" w:space="0" w:color="auto"/>
              <w:bottom w:val="single" w:sz="4" w:space="0" w:color="auto"/>
            </w:tcBorders>
            <w:vAlign w:val="center"/>
          </w:tcPr>
          <w:p w:rsidR="00F86988" w:rsidRPr="00F86988" w:rsidRDefault="00F86988" w:rsidP="00EA4DF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20"/>
                <w:lang w:val="en-US"/>
              </w:rPr>
            </w:pPr>
            <w:r w:rsidRPr="00F86988">
              <w:rPr>
                <w:rFonts w:ascii="Times New Roman" w:hAnsi="Times New Roman" w:cs="Times New Roman"/>
                <w:b/>
                <w:bCs/>
                <w:sz w:val="18"/>
                <w:szCs w:val="20"/>
                <w:lang w:val="en-US"/>
              </w:rPr>
              <w:t>Measured Concentration</w:t>
            </w:r>
          </w:p>
          <w:p w:rsidR="00F86988" w:rsidRPr="00F86988" w:rsidRDefault="00F86988" w:rsidP="00F86988">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20"/>
                <w:lang w:val="en-US"/>
              </w:rPr>
            </w:pPr>
            <w:r w:rsidRPr="00F86988">
              <w:rPr>
                <w:rFonts w:ascii="Times New Roman" w:hAnsi="Times New Roman" w:cs="Times New Roman"/>
                <w:b/>
                <w:bCs/>
                <w:sz w:val="18"/>
                <w:szCs w:val="20"/>
                <w:lang w:val="en-US"/>
              </w:rPr>
              <w:t>(ng/mL)</w:t>
            </w:r>
          </w:p>
        </w:tc>
        <w:tc>
          <w:tcPr>
            <w:tcW w:w="0" w:type="auto"/>
            <w:tcBorders>
              <w:top w:val="single" w:sz="4" w:space="0" w:color="auto"/>
              <w:bottom w:val="single" w:sz="4" w:space="0" w:color="auto"/>
            </w:tcBorders>
            <w:vAlign w:val="center"/>
          </w:tcPr>
          <w:p w:rsidR="00F86988" w:rsidRPr="00F86988" w:rsidRDefault="00F86988" w:rsidP="00EA4DF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20"/>
                <w:lang w:val="en-US"/>
              </w:rPr>
            </w:pPr>
            <w:r w:rsidRPr="00F86988">
              <w:rPr>
                <w:rFonts w:ascii="Times New Roman" w:hAnsi="Times New Roman" w:cs="Times New Roman"/>
                <w:b/>
                <w:bCs/>
                <w:sz w:val="18"/>
                <w:szCs w:val="20"/>
                <w:lang w:val="en-US"/>
              </w:rPr>
              <w:t>Stability (%)</w:t>
            </w:r>
          </w:p>
        </w:tc>
      </w:tr>
      <w:tr w:rsidR="00F86988" w:rsidRPr="004B4B56" w:rsidTr="00F86988">
        <w:trPr>
          <w:trHeight w:val="91"/>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vAlign w:val="center"/>
          </w:tcPr>
          <w:p w:rsidR="00F86988" w:rsidRPr="004B4B56" w:rsidRDefault="00F86988" w:rsidP="00F86988">
            <w:pPr>
              <w:spacing w:before="60" w:after="0" w:line="240" w:lineRule="auto"/>
              <w:rPr>
                <w:rFonts w:ascii="Times New Roman" w:hAnsi="Times New Roman" w:cs="Times New Roman"/>
                <w:b w:val="0"/>
                <w:sz w:val="20"/>
                <w:szCs w:val="20"/>
                <w:lang w:val="en-US"/>
              </w:rPr>
            </w:pPr>
            <w:r w:rsidRPr="004B4B56">
              <w:rPr>
                <w:rFonts w:ascii="Times New Roman" w:hAnsi="Times New Roman" w:cs="Times New Roman"/>
                <w:b w:val="0"/>
                <w:sz w:val="20"/>
                <w:szCs w:val="20"/>
                <w:lang w:val="en-US"/>
              </w:rPr>
              <w:t>Cortisol</w:t>
            </w:r>
          </w:p>
        </w:tc>
        <w:tc>
          <w:tcPr>
            <w:tcW w:w="1692" w:type="dxa"/>
            <w:tcBorders>
              <w:top w:val="single" w:sz="4" w:space="0" w:color="auto"/>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18.70</w:t>
            </w:r>
          </w:p>
        </w:tc>
        <w:tc>
          <w:tcPr>
            <w:tcW w:w="952" w:type="dxa"/>
            <w:tcBorders>
              <w:top w:val="single" w:sz="4" w:space="0" w:color="auto"/>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21.18</w:t>
            </w:r>
          </w:p>
        </w:tc>
        <w:tc>
          <w:tcPr>
            <w:tcW w:w="0" w:type="auto"/>
            <w:tcBorders>
              <w:top w:val="single" w:sz="4" w:space="0" w:color="auto"/>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113.52</w:t>
            </w:r>
          </w:p>
        </w:tc>
        <w:tc>
          <w:tcPr>
            <w:tcW w:w="0" w:type="auto"/>
            <w:tcBorders>
              <w:top w:val="single" w:sz="4" w:space="0" w:color="auto"/>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20.64</w:t>
            </w:r>
          </w:p>
        </w:tc>
        <w:tc>
          <w:tcPr>
            <w:tcW w:w="0" w:type="auto"/>
            <w:tcBorders>
              <w:top w:val="single" w:sz="4" w:space="0" w:color="auto"/>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110.73</w:t>
            </w:r>
          </w:p>
        </w:tc>
        <w:tc>
          <w:tcPr>
            <w:tcW w:w="0" w:type="auto"/>
            <w:tcBorders>
              <w:top w:val="single" w:sz="4" w:space="0" w:color="auto"/>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15.73</w:t>
            </w:r>
          </w:p>
        </w:tc>
        <w:tc>
          <w:tcPr>
            <w:tcW w:w="0" w:type="auto"/>
            <w:tcBorders>
              <w:top w:val="single" w:sz="4" w:space="0" w:color="auto"/>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84.24</w:t>
            </w:r>
          </w:p>
        </w:tc>
      </w:tr>
      <w:tr w:rsidR="00F86988" w:rsidRPr="004B4B56" w:rsidTr="00EA4DF5">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vAlign w:val="center"/>
          </w:tcPr>
          <w:p w:rsidR="00F86988" w:rsidRPr="004B4B56" w:rsidRDefault="00F86988" w:rsidP="00F86988">
            <w:pPr>
              <w:spacing w:before="60" w:after="0" w:line="240" w:lineRule="auto"/>
              <w:ind w:firstLine="187"/>
              <w:rPr>
                <w:rFonts w:ascii="Times New Roman" w:hAnsi="Times New Roman" w:cs="Times New Roman"/>
                <w:b w:val="0"/>
                <w:sz w:val="20"/>
                <w:szCs w:val="20"/>
                <w:lang w:val="en-US"/>
              </w:rPr>
            </w:pPr>
          </w:p>
        </w:tc>
        <w:tc>
          <w:tcPr>
            <w:tcW w:w="1692" w:type="dxa"/>
            <w:tcBorders>
              <w:top w:val="nil"/>
              <w:bottom w:val="nil"/>
            </w:tcBorders>
            <w:vAlign w:val="center"/>
          </w:tcPr>
          <w:p w:rsidR="00F86988" w:rsidRPr="004B4B56" w:rsidRDefault="00F86988" w:rsidP="00F8698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223.15</w:t>
            </w:r>
          </w:p>
        </w:tc>
        <w:tc>
          <w:tcPr>
            <w:tcW w:w="952" w:type="dxa"/>
            <w:tcBorders>
              <w:top w:val="nil"/>
              <w:bottom w:val="nil"/>
            </w:tcBorders>
            <w:vAlign w:val="center"/>
          </w:tcPr>
          <w:p w:rsidR="00F86988" w:rsidRPr="004B4B56" w:rsidRDefault="00F86988" w:rsidP="00F8698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224.83</w:t>
            </w:r>
          </w:p>
        </w:tc>
        <w:tc>
          <w:tcPr>
            <w:tcW w:w="0" w:type="auto"/>
            <w:tcBorders>
              <w:top w:val="nil"/>
              <w:bottom w:val="nil"/>
            </w:tcBorders>
            <w:vAlign w:val="center"/>
          </w:tcPr>
          <w:p w:rsidR="00F86988" w:rsidRPr="004B4B56" w:rsidRDefault="00F86988" w:rsidP="00F8698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100.75</w:t>
            </w:r>
          </w:p>
        </w:tc>
        <w:tc>
          <w:tcPr>
            <w:tcW w:w="0" w:type="auto"/>
            <w:tcBorders>
              <w:top w:val="nil"/>
              <w:bottom w:val="nil"/>
            </w:tcBorders>
            <w:vAlign w:val="center"/>
          </w:tcPr>
          <w:p w:rsidR="00F86988" w:rsidRPr="004B4B56" w:rsidRDefault="00F86988" w:rsidP="00F8698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281.47</w:t>
            </w:r>
          </w:p>
        </w:tc>
        <w:tc>
          <w:tcPr>
            <w:tcW w:w="0" w:type="auto"/>
            <w:tcBorders>
              <w:top w:val="nil"/>
              <w:bottom w:val="nil"/>
            </w:tcBorders>
            <w:vAlign w:val="center"/>
          </w:tcPr>
          <w:p w:rsidR="00F86988" w:rsidRPr="004B4B56" w:rsidRDefault="00F86988" w:rsidP="00F8698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126.15</w:t>
            </w:r>
          </w:p>
        </w:tc>
        <w:tc>
          <w:tcPr>
            <w:tcW w:w="0" w:type="auto"/>
            <w:tcBorders>
              <w:top w:val="nil"/>
              <w:bottom w:val="nil"/>
            </w:tcBorders>
            <w:vAlign w:val="center"/>
          </w:tcPr>
          <w:p w:rsidR="00F86988" w:rsidRPr="004B4B56" w:rsidRDefault="00F86988" w:rsidP="00F8698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168.04</w:t>
            </w:r>
          </w:p>
        </w:tc>
        <w:tc>
          <w:tcPr>
            <w:tcW w:w="0" w:type="auto"/>
            <w:tcBorders>
              <w:top w:val="nil"/>
              <w:bottom w:val="nil"/>
            </w:tcBorders>
            <w:vAlign w:val="center"/>
          </w:tcPr>
          <w:p w:rsidR="00F86988" w:rsidRPr="004B4B56" w:rsidRDefault="00F86988" w:rsidP="00F86988">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75.30</w:t>
            </w:r>
          </w:p>
        </w:tc>
      </w:tr>
      <w:tr w:rsidR="00F86988" w:rsidRPr="004B4B56" w:rsidTr="00EA4DF5">
        <w:trPr>
          <w:trHeight w:val="53"/>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vAlign w:val="center"/>
          </w:tcPr>
          <w:p w:rsidR="00F86988" w:rsidRPr="004B4B56" w:rsidRDefault="00F86988" w:rsidP="00F86988">
            <w:pPr>
              <w:spacing w:before="60" w:after="0" w:line="240" w:lineRule="auto"/>
              <w:ind w:firstLine="187"/>
              <w:rPr>
                <w:rFonts w:ascii="Times New Roman" w:hAnsi="Times New Roman" w:cs="Times New Roman"/>
                <w:b w:val="0"/>
                <w:sz w:val="20"/>
                <w:szCs w:val="20"/>
                <w:lang w:val="en-US"/>
              </w:rPr>
            </w:pPr>
          </w:p>
        </w:tc>
        <w:tc>
          <w:tcPr>
            <w:tcW w:w="1692" w:type="dxa"/>
            <w:tcBorders>
              <w:top w:val="nil"/>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417.20</w:t>
            </w:r>
          </w:p>
        </w:tc>
        <w:tc>
          <w:tcPr>
            <w:tcW w:w="952" w:type="dxa"/>
            <w:tcBorders>
              <w:top w:val="nil"/>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431.48</w:t>
            </w:r>
          </w:p>
        </w:tc>
        <w:tc>
          <w:tcPr>
            <w:tcW w:w="0" w:type="auto"/>
            <w:tcBorders>
              <w:top w:val="nil"/>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103.05</w:t>
            </w:r>
          </w:p>
        </w:tc>
        <w:tc>
          <w:tcPr>
            <w:tcW w:w="0" w:type="auto"/>
            <w:tcBorders>
              <w:top w:val="nil"/>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503.74</w:t>
            </w:r>
          </w:p>
        </w:tc>
        <w:tc>
          <w:tcPr>
            <w:tcW w:w="0" w:type="auto"/>
            <w:tcBorders>
              <w:top w:val="nil"/>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121.01</w:t>
            </w:r>
          </w:p>
        </w:tc>
        <w:tc>
          <w:tcPr>
            <w:tcW w:w="0" w:type="auto"/>
            <w:tcBorders>
              <w:top w:val="nil"/>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342.17</w:t>
            </w:r>
          </w:p>
        </w:tc>
        <w:tc>
          <w:tcPr>
            <w:tcW w:w="0" w:type="auto"/>
            <w:tcBorders>
              <w:top w:val="nil"/>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82.13</w:t>
            </w:r>
          </w:p>
        </w:tc>
      </w:tr>
      <w:tr w:rsidR="00F86988" w:rsidRPr="004B4B56" w:rsidTr="00EA4DF5">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nil"/>
              <w:bottom w:val="nil"/>
            </w:tcBorders>
            <w:vAlign w:val="center"/>
          </w:tcPr>
          <w:p w:rsidR="00F86988" w:rsidRPr="004B4B56" w:rsidRDefault="00F86988" w:rsidP="00F86988">
            <w:pPr>
              <w:spacing w:before="60" w:after="0" w:line="240" w:lineRule="auto"/>
              <w:rPr>
                <w:rFonts w:ascii="Times New Roman" w:hAnsi="Times New Roman" w:cs="Times New Roman"/>
                <w:b w:val="0"/>
                <w:sz w:val="20"/>
                <w:szCs w:val="20"/>
                <w:lang w:val="en-US"/>
              </w:rPr>
            </w:pPr>
            <w:r w:rsidRPr="004B4B56">
              <w:rPr>
                <w:rFonts w:ascii="Times New Roman" w:hAnsi="Times New Roman" w:cs="Times New Roman"/>
                <w:b w:val="0"/>
                <w:sz w:val="20"/>
                <w:szCs w:val="20"/>
                <w:lang w:val="en-US"/>
              </w:rPr>
              <w:t>Cortisone</w:t>
            </w:r>
          </w:p>
        </w:tc>
        <w:tc>
          <w:tcPr>
            <w:tcW w:w="1692" w:type="dxa"/>
            <w:tcBorders>
              <w:top w:val="nil"/>
              <w:bottom w:val="nil"/>
            </w:tcBorders>
            <w:vAlign w:val="center"/>
          </w:tcPr>
          <w:p w:rsidR="00F86988" w:rsidRPr="004B4B56" w:rsidRDefault="00F86988" w:rsidP="00F8698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19.40</w:t>
            </w:r>
          </w:p>
        </w:tc>
        <w:tc>
          <w:tcPr>
            <w:tcW w:w="952" w:type="dxa"/>
            <w:tcBorders>
              <w:top w:val="nil"/>
              <w:bottom w:val="nil"/>
            </w:tcBorders>
            <w:vAlign w:val="center"/>
          </w:tcPr>
          <w:p w:rsidR="00F86988" w:rsidRPr="004B4B56" w:rsidRDefault="00F86988" w:rsidP="00F8698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21.22</w:t>
            </w:r>
          </w:p>
        </w:tc>
        <w:tc>
          <w:tcPr>
            <w:tcW w:w="0" w:type="auto"/>
            <w:tcBorders>
              <w:top w:val="nil"/>
              <w:bottom w:val="nil"/>
            </w:tcBorders>
            <w:vAlign w:val="center"/>
          </w:tcPr>
          <w:p w:rsidR="00F86988" w:rsidRPr="004B4B56" w:rsidRDefault="00F86988" w:rsidP="00F8698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109.62</w:t>
            </w:r>
          </w:p>
        </w:tc>
        <w:tc>
          <w:tcPr>
            <w:tcW w:w="0" w:type="auto"/>
            <w:tcBorders>
              <w:top w:val="nil"/>
              <w:bottom w:val="nil"/>
            </w:tcBorders>
            <w:vAlign w:val="center"/>
          </w:tcPr>
          <w:p w:rsidR="00F86988" w:rsidRPr="004B4B56" w:rsidRDefault="00F86988" w:rsidP="00F8698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19.74</w:t>
            </w:r>
          </w:p>
        </w:tc>
        <w:tc>
          <w:tcPr>
            <w:tcW w:w="0" w:type="auto"/>
            <w:tcBorders>
              <w:top w:val="nil"/>
              <w:bottom w:val="nil"/>
            </w:tcBorders>
            <w:vAlign w:val="center"/>
          </w:tcPr>
          <w:p w:rsidR="00F86988" w:rsidRPr="004B4B56" w:rsidRDefault="00F86988" w:rsidP="00F8698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101.96</w:t>
            </w:r>
          </w:p>
        </w:tc>
        <w:tc>
          <w:tcPr>
            <w:tcW w:w="0" w:type="auto"/>
            <w:tcBorders>
              <w:top w:val="nil"/>
              <w:bottom w:val="nil"/>
            </w:tcBorders>
            <w:vAlign w:val="center"/>
          </w:tcPr>
          <w:p w:rsidR="00F86988" w:rsidRPr="004B4B56" w:rsidRDefault="00F86988" w:rsidP="00F8698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16.40</w:t>
            </w:r>
          </w:p>
        </w:tc>
        <w:tc>
          <w:tcPr>
            <w:tcW w:w="0" w:type="auto"/>
            <w:tcBorders>
              <w:top w:val="nil"/>
              <w:bottom w:val="nil"/>
            </w:tcBorders>
            <w:vAlign w:val="center"/>
          </w:tcPr>
          <w:p w:rsidR="00F86988" w:rsidRPr="004B4B56" w:rsidRDefault="00F86988" w:rsidP="00F8698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84.6</w:t>
            </w:r>
          </w:p>
        </w:tc>
      </w:tr>
      <w:tr w:rsidR="00F86988" w:rsidRPr="004B4B56" w:rsidTr="00F86988">
        <w:trPr>
          <w:trHeight w:val="53"/>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vAlign w:val="center"/>
          </w:tcPr>
          <w:p w:rsidR="00F86988" w:rsidRPr="004B4B56" w:rsidRDefault="00F86988" w:rsidP="00F86988">
            <w:pPr>
              <w:spacing w:before="60" w:after="0" w:line="240" w:lineRule="auto"/>
              <w:ind w:firstLine="187"/>
              <w:rPr>
                <w:rFonts w:ascii="Times New Roman" w:hAnsi="Times New Roman" w:cs="Times New Roman"/>
                <w:b w:val="0"/>
                <w:bCs w:val="0"/>
                <w:sz w:val="20"/>
                <w:szCs w:val="20"/>
                <w:lang w:val="en-US"/>
              </w:rPr>
            </w:pPr>
          </w:p>
        </w:tc>
        <w:tc>
          <w:tcPr>
            <w:tcW w:w="1692" w:type="dxa"/>
            <w:tcBorders>
              <w:top w:val="nil"/>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222.99</w:t>
            </w:r>
          </w:p>
        </w:tc>
        <w:tc>
          <w:tcPr>
            <w:tcW w:w="952" w:type="dxa"/>
            <w:tcBorders>
              <w:top w:val="nil"/>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221.18</w:t>
            </w:r>
          </w:p>
        </w:tc>
        <w:tc>
          <w:tcPr>
            <w:tcW w:w="0" w:type="auto"/>
            <w:tcBorders>
              <w:top w:val="nil"/>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99.19</w:t>
            </w:r>
          </w:p>
        </w:tc>
        <w:tc>
          <w:tcPr>
            <w:tcW w:w="0" w:type="auto"/>
            <w:tcBorders>
              <w:top w:val="nil"/>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269.63</w:t>
            </w:r>
          </w:p>
        </w:tc>
        <w:tc>
          <w:tcPr>
            <w:tcW w:w="0" w:type="auto"/>
            <w:tcBorders>
              <w:top w:val="nil"/>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120.92</w:t>
            </w:r>
          </w:p>
        </w:tc>
        <w:tc>
          <w:tcPr>
            <w:tcW w:w="0" w:type="auto"/>
            <w:tcBorders>
              <w:top w:val="nil"/>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174.81</w:t>
            </w:r>
          </w:p>
        </w:tc>
        <w:tc>
          <w:tcPr>
            <w:tcW w:w="0" w:type="auto"/>
            <w:tcBorders>
              <w:top w:val="nil"/>
              <w:bottom w:val="nil"/>
            </w:tcBorders>
            <w:vAlign w:val="center"/>
          </w:tcPr>
          <w:p w:rsidR="00F86988" w:rsidRPr="004B4B56" w:rsidRDefault="00F86988" w:rsidP="00F8698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78.39</w:t>
            </w:r>
          </w:p>
        </w:tc>
      </w:tr>
      <w:tr w:rsidR="00F86988" w:rsidRPr="004B4B56" w:rsidTr="00F86988">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000000"/>
            </w:tcBorders>
            <w:vAlign w:val="center"/>
          </w:tcPr>
          <w:p w:rsidR="00F86988" w:rsidRPr="004B4B56" w:rsidRDefault="00F86988" w:rsidP="00F86988">
            <w:pPr>
              <w:spacing w:before="60" w:after="60" w:line="240" w:lineRule="auto"/>
              <w:ind w:firstLine="187"/>
              <w:rPr>
                <w:rFonts w:ascii="Times New Roman" w:hAnsi="Times New Roman" w:cs="Times New Roman"/>
                <w:b w:val="0"/>
                <w:bCs w:val="0"/>
                <w:sz w:val="20"/>
                <w:szCs w:val="20"/>
                <w:lang w:val="en-US"/>
              </w:rPr>
            </w:pPr>
          </w:p>
        </w:tc>
        <w:tc>
          <w:tcPr>
            <w:tcW w:w="1692" w:type="dxa"/>
            <w:tcBorders>
              <w:top w:val="nil"/>
              <w:bottom w:val="single" w:sz="4" w:space="0" w:color="auto"/>
            </w:tcBorders>
            <w:vAlign w:val="center"/>
          </w:tcPr>
          <w:p w:rsidR="00F86988" w:rsidRPr="004B4B56" w:rsidRDefault="00F86988" w:rsidP="00F8698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418.18</w:t>
            </w:r>
          </w:p>
        </w:tc>
        <w:tc>
          <w:tcPr>
            <w:tcW w:w="952" w:type="dxa"/>
            <w:tcBorders>
              <w:top w:val="nil"/>
              <w:bottom w:val="single" w:sz="4" w:space="0" w:color="auto"/>
            </w:tcBorders>
            <w:vAlign w:val="center"/>
          </w:tcPr>
          <w:p w:rsidR="00F86988" w:rsidRPr="004B4B56" w:rsidRDefault="00F86988" w:rsidP="00F8698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424.88</w:t>
            </w:r>
          </w:p>
        </w:tc>
        <w:tc>
          <w:tcPr>
            <w:tcW w:w="0" w:type="auto"/>
            <w:tcBorders>
              <w:top w:val="nil"/>
              <w:bottom w:val="single" w:sz="4" w:space="0" w:color="auto"/>
            </w:tcBorders>
            <w:vAlign w:val="center"/>
          </w:tcPr>
          <w:p w:rsidR="00F86988" w:rsidRPr="004B4B56" w:rsidRDefault="00F86988" w:rsidP="00F8698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101.30</w:t>
            </w:r>
          </w:p>
        </w:tc>
        <w:tc>
          <w:tcPr>
            <w:tcW w:w="0" w:type="auto"/>
            <w:tcBorders>
              <w:top w:val="nil"/>
              <w:bottom w:val="single" w:sz="4" w:space="0" w:color="auto"/>
            </w:tcBorders>
            <w:vAlign w:val="center"/>
          </w:tcPr>
          <w:p w:rsidR="00F86988" w:rsidRPr="004B4B56" w:rsidRDefault="00F86988" w:rsidP="00F8698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493.80</w:t>
            </w:r>
          </w:p>
        </w:tc>
        <w:tc>
          <w:tcPr>
            <w:tcW w:w="0" w:type="auto"/>
            <w:tcBorders>
              <w:top w:val="nil"/>
              <w:bottom w:val="single" w:sz="4" w:space="0" w:color="auto"/>
            </w:tcBorders>
            <w:vAlign w:val="center"/>
          </w:tcPr>
          <w:p w:rsidR="00F86988" w:rsidRPr="004B4B56" w:rsidRDefault="00F86988" w:rsidP="00F8698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118.27</w:t>
            </w:r>
          </w:p>
        </w:tc>
        <w:tc>
          <w:tcPr>
            <w:tcW w:w="0" w:type="auto"/>
            <w:tcBorders>
              <w:top w:val="nil"/>
              <w:bottom w:val="single" w:sz="4" w:space="0" w:color="auto"/>
            </w:tcBorders>
            <w:vAlign w:val="center"/>
          </w:tcPr>
          <w:p w:rsidR="00F86988" w:rsidRPr="004B4B56" w:rsidRDefault="00F86988" w:rsidP="00F8698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352.33</w:t>
            </w:r>
          </w:p>
        </w:tc>
        <w:tc>
          <w:tcPr>
            <w:tcW w:w="0" w:type="auto"/>
            <w:tcBorders>
              <w:top w:val="nil"/>
              <w:bottom w:val="single" w:sz="4" w:space="0" w:color="auto"/>
            </w:tcBorders>
            <w:vAlign w:val="center"/>
          </w:tcPr>
          <w:p w:rsidR="00F86988" w:rsidRPr="004B4B56" w:rsidRDefault="00F86988" w:rsidP="00F8698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B4B56">
              <w:rPr>
                <w:rFonts w:ascii="Times New Roman" w:hAnsi="Times New Roman" w:cs="Times New Roman"/>
                <w:sz w:val="20"/>
                <w:szCs w:val="20"/>
                <w:lang w:val="en-US"/>
              </w:rPr>
              <w:t>84.32</w:t>
            </w:r>
          </w:p>
        </w:tc>
      </w:tr>
    </w:tbl>
    <w:p w:rsidR="00605FC1" w:rsidRPr="004B6185" w:rsidRDefault="00605FC1" w:rsidP="00F86988">
      <w:pPr>
        <w:spacing w:before="60" w:after="60" w:line="240" w:lineRule="auto"/>
        <w:jc w:val="center"/>
        <w:rPr>
          <w:rFonts w:ascii="Times New Roman" w:hAnsi="Times New Roman"/>
          <w:sz w:val="20"/>
          <w:szCs w:val="20"/>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86988" w:rsidRPr="004B6185" w:rsidRDefault="00F86988" w:rsidP="00F86988">
      <w:pPr>
        <w:spacing w:after="0" w:line="240" w:lineRule="auto"/>
        <w:jc w:val="both"/>
        <w:rPr>
          <w:rFonts w:ascii="Times New Roman" w:hAnsi="Times New Roman"/>
          <w:sz w:val="20"/>
          <w:szCs w:val="20"/>
        </w:rPr>
      </w:pPr>
      <w:r w:rsidRPr="004B6185">
        <w:rPr>
          <w:rFonts w:ascii="Times New Roman" w:hAnsi="Times New Roman"/>
          <w:sz w:val="20"/>
          <w:szCs w:val="20"/>
        </w:rPr>
        <w:t xml:space="preserve">Charcoal-stripped serum was used for method validation process and a </w:t>
      </w:r>
      <w:r w:rsidRPr="004B6185">
        <w:rPr>
          <w:rFonts w:ascii="Times New Roman" w:hAnsi="Times New Roman"/>
          <w:noProof/>
          <w:sz w:val="20"/>
          <w:szCs w:val="20"/>
        </w:rPr>
        <w:t>highly</w:t>
      </w:r>
      <w:r w:rsidRPr="004B6185">
        <w:rPr>
          <w:rFonts w:ascii="Times New Roman" w:hAnsi="Times New Roman"/>
          <w:sz w:val="20"/>
          <w:szCs w:val="20"/>
        </w:rPr>
        <w:t xml:space="preserve"> selective, sensitive reliable and rapid quantitation method for cortisol and cortisone that fulfilled the criteria of European Medicines Agency (EMA) was developed and validated. The method developed may be useful to assess physiological response towards depression, anxiety and stress in future research work.</w:t>
      </w:r>
    </w:p>
    <w:p w:rsidR="00F86988" w:rsidRPr="004B6185" w:rsidRDefault="00F86988" w:rsidP="00F86988">
      <w:pPr>
        <w:spacing w:after="0" w:line="240" w:lineRule="auto"/>
        <w:jc w:val="center"/>
        <w:rPr>
          <w:rFonts w:ascii="Times New Roman" w:hAnsi="Times New Roman"/>
          <w:sz w:val="20"/>
          <w:szCs w:val="20"/>
        </w:rPr>
      </w:pPr>
    </w:p>
    <w:p w:rsidR="00F86988" w:rsidRPr="004B6185" w:rsidRDefault="00F86988" w:rsidP="00F86988">
      <w:pPr>
        <w:spacing w:after="0" w:line="240" w:lineRule="auto"/>
        <w:jc w:val="center"/>
        <w:rPr>
          <w:rFonts w:ascii="Times New Roman" w:hAnsi="Times New Roman"/>
          <w:b/>
          <w:bCs/>
          <w:sz w:val="20"/>
          <w:szCs w:val="20"/>
        </w:rPr>
      </w:pPr>
      <w:r w:rsidRPr="004B6185">
        <w:rPr>
          <w:rFonts w:ascii="Times New Roman" w:hAnsi="Times New Roman"/>
          <w:b/>
          <w:bCs/>
          <w:sz w:val="20"/>
          <w:szCs w:val="20"/>
        </w:rPr>
        <w:t>Acknowledgment</w:t>
      </w:r>
    </w:p>
    <w:p w:rsidR="00FA1BDF" w:rsidRPr="00FA1BDF" w:rsidRDefault="00F86988" w:rsidP="00FA1BDF">
      <w:pPr>
        <w:autoSpaceDE w:val="0"/>
        <w:autoSpaceDN w:val="0"/>
        <w:adjustRightInd w:val="0"/>
        <w:spacing w:after="0" w:line="240" w:lineRule="auto"/>
        <w:jc w:val="both"/>
        <w:rPr>
          <w:rFonts w:ascii="Times New Roman" w:eastAsia="Calibri" w:hAnsi="Times New Roman"/>
          <w:sz w:val="20"/>
          <w:szCs w:val="20"/>
          <w:lang w:bidi="ar-SA"/>
        </w:rPr>
      </w:pPr>
      <w:r w:rsidRPr="004B6185">
        <w:rPr>
          <w:rFonts w:ascii="Times New Roman" w:hAnsi="Times New Roman"/>
          <w:sz w:val="20"/>
          <w:szCs w:val="20"/>
        </w:rPr>
        <w:t>The authors fully ackn</w:t>
      </w:r>
      <w:r w:rsidR="00FA1BDF">
        <w:rPr>
          <w:rFonts w:ascii="Times New Roman" w:hAnsi="Times New Roman"/>
          <w:sz w:val="20"/>
          <w:szCs w:val="20"/>
        </w:rPr>
        <w:t xml:space="preserve">owledged the Ministry of </w:t>
      </w:r>
      <w:r w:rsidRPr="004B6185">
        <w:rPr>
          <w:rFonts w:ascii="Times New Roman" w:hAnsi="Times New Roman"/>
          <w:sz w:val="20"/>
          <w:szCs w:val="20"/>
        </w:rPr>
        <w:t xml:space="preserve">Education, Malaysia through the Fundamental Research Grant Scheme (FRGS, Sponsorship file number: FRGS/2/2014/SKK02/UITM/02/3) and Universiti Teknologi MARA </w:t>
      </w:r>
      <w:r w:rsidR="00FA1BDF" w:rsidRPr="00FA1BDF">
        <w:rPr>
          <w:rFonts w:ascii="Times New Roman" w:eastAsia="Calibri" w:hAnsi="Times New Roman"/>
          <w:color w:val="000000"/>
          <w:sz w:val="20"/>
          <w:szCs w:val="20"/>
          <w:lang w:bidi="ar-SA"/>
        </w:rPr>
        <w:t>through Bestari Perdana Grant (file number: 600-IRMI/DANA 5/3/BESTARI (P) 006/2018) and 241810/2016/RMJJ/15 for supporting this study. The authors wish to thank Professor Dr Azni Zain Ahmed of InQKA, Universiti Teknologi MARA, Malaysia for proofreading the article.</w:t>
      </w:r>
    </w:p>
    <w:p w:rsidR="006768E9" w:rsidRPr="00F447A7" w:rsidRDefault="006768E9" w:rsidP="00FA1BDF">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Knutson, U., Dahlgren, J., Marcus, C., Rosberg, S., Bronnegard, M., Stierna, P. and Albertsson-Wikland, K. (1997). Circadian cortisol rhythms in healthy boys and girls</w:t>
      </w:r>
      <w:r w:rsidRPr="004B4B56">
        <w:rPr>
          <w:rFonts w:ascii="Times New Roman" w:hAnsi="Times New Roman"/>
          <w:noProof/>
          <w:sz w:val="20"/>
          <w:szCs w:val="20"/>
        </w:rPr>
        <w:t>: Relationship</w:t>
      </w:r>
      <w:r w:rsidRPr="004B4B56">
        <w:rPr>
          <w:rFonts w:ascii="Times New Roman" w:hAnsi="Times New Roman"/>
          <w:sz w:val="20"/>
          <w:szCs w:val="20"/>
        </w:rPr>
        <w:t xml:space="preserve"> with age, growth, body composition, and pubertal development. </w:t>
      </w:r>
      <w:r w:rsidRPr="004B4B56">
        <w:rPr>
          <w:rFonts w:ascii="Times New Roman" w:hAnsi="Times New Roman"/>
          <w:i/>
          <w:iCs/>
          <w:sz w:val="20"/>
          <w:szCs w:val="20"/>
        </w:rPr>
        <w:t>Journal of Clinical Endocrinology and Metabolism</w:t>
      </w:r>
      <w:r w:rsidRPr="004B4B56">
        <w:rPr>
          <w:rFonts w:ascii="Times New Roman" w:hAnsi="Times New Roman"/>
          <w:sz w:val="20"/>
          <w:szCs w:val="20"/>
        </w:rPr>
        <w:t>, 82(2): 536.</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Aube, B. L. L., Cu</w:t>
      </w:r>
      <w:r w:rsidRPr="004B4B56">
        <w:rPr>
          <w:rFonts w:ascii="Times New Roman" w:hAnsi="Times New Roman"/>
          <w:noProof/>
          <w:sz w:val="20"/>
          <w:szCs w:val="20"/>
        </w:rPr>
        <w:t xml:space="preserve">rbow, </w:t>
      </w:r>
      <w:r w:rsidRPr="004B4B56">
        <w:rPr>
          <w:rFonts w:ascii="Times New Roman" w:hAnsi="Times New Roman"/>
          <w:sz w:val="20"/>
          <w:szCs w:val="20"/>
        </w:rPr>
        <w:t>B. A., Ostello, R. W. and Fi</w:t>
      </w:r>
      <w:r w:rsidRPr="004B4B56">
        <w:rPr>
          <w:rFonts w:ascii="Times New Roman" w:hAnsi="Times New Roman"/>
          <w:noProof/>
          <w:sz w:val="20"/>
          <w:szCs w:val="20"/>
        </w:rPr>
        <w:t>tzgerald, S. T.</w:t>
      </w:r>
      <w:r w:rsidRPr="004B4B56">
        <w:rPr>
          <w:rFonts w:ascii="Times New Roman" w:hAnsi="Times New Roman"/>
          <w:sz w:val="20"/>
          <w:szCs w:val="20"/>
        </w:rPr>
        <w:t xml:space="preserve"> (2002). A pilot study examining the relationship between stress and serum cortisol concentrations in women with asthma. </w:t>
      </w:r>
      <w:r w:rsidRPr="004B4B56">
        <w:rPr>
          <w:rFonts w:ascii="Times New Roman" w:hAnsi="Times New Roman"/>
          <w:i/>
          <w:iCs/>
          <w:sz w:val="20"/>
          <w:szCs w:val="20"/>
        </w:rPr>
        <w:t>Respiratory Medicine</w:t>
      </w:r>
      <w:r w:rsidRPr="004B4B56">
        <w:rPr>
          <w:rFonts w:ascii="Times New Roman" w:hAnsi="Times New Roman"/>
          <w:sz w:val="20"/>
          <w:szCs w:val="20"/>
        </w:rPr>
        <w:t>, 96: 823 – 828.</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Lee, S., Lim, H. S., Shin, H. J., Kim, S. A., Park, J., Kim, H.C., Kim, H., Kim, H. J., Kim, Y.T., Lee, K. R. and Kim, Y. J. (2014). Simultaneous determination of cortisol and cortisone from human serum by liquid chromatography-tandem mass spectrometry. </w:t>
      </w:r>
      <w:r w:rsidRPr="004B4B56">
        <w:rPr>
          <w:rFonts w:ascii="Times New Roman" w:hAnsi="Times New Roman"/>
          <w:i/>
          <w:iCs/>
          <w:sz w:val="20"/>
          <w:szCs w:val="20"/>
        </w:rPr>
        <w:t>Journal of Analytical Methods in Chemistry</w:t>
      </w:r>
      <w:r w:rsidRPr="004B4B56">
        <w:rPr>
          <w:rFonts w:ascii="Times New Roman" w:hAnsi="Times New Roman"/>
          <w:sz w:val="20"/>
          <w:szCs w:val="20"/>
        </w:rPr>
        <w:t>, 2014: 787483.</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De Palo, E. F., Antonelli, G., Benetazzo, A., Prearo, M. and Gatti, R. (2009). Human saliva cortisone and cortisol simultaneous analysis using reverse phase HPLC technique.  </w:t>
      </w:r>
      <w:r w:rsidRPr="004B4B56">
        <w:rPr>
          <w:rFonts w:ascii="Times New Roman" w:hAnsi="Times New Roman"/>
          <w:i/>
          <w:iCs/>
          <w:sz w:val="20"/>
          <w:szCs w:val="20"/>
        </w:rPr>
        <w:t>Clinica Chimica Acta</w:t>
      </w:r>
      <w:r w:rsidRPr="004B4B56">
        <w:rPr>
          <w:rFonts w:ascii="Times New Roman" w:hAnsi="Times New Roman"/>
          <w:sz w:val="20"/>
          <w:szCs w:val="20"/>
        </w:rPr>
        <w:t>, 405: 60 – 65.</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Ray, J. A., Kushnir, M. M., Rockwood, A. L. and Meikle, A. W. (2011). Analysis of cortisol, cortisone and dexamethasone in human serum using liquid </w:t>
      </w:r>
      <w:r w:rsidRPr="004B4B56">
        <w:rPr>
          <w:rFonts w:ascii="Times New Roman" w:hAnsi="Times New Roman"/>
          <w:noProof/>
          <w:sz w:val="20"/>
          <w:szCs w:val="20"/>
        </w:rPr>
        <w:t>chromatography-tandem</w:t>
      </w:r>
      <w:r w:rsidRPr="004B4B56">
        <w:rPr>
          <w:rFonts w:ascii="Times New Roman" w:hAnsi="Times New Roman"/>
          <w:sz w:val="20"/>
          <w:szCs w:val="20"/>
        </w:rPr>
        <w:t xml:space="preserve"> mass spectrometry and assessment of cortisol: Cortisone ratios in patients with impaired kidney function. </w:t>
      </w:r>
      <w:r w:rsidRPr="004B4B56">
        <w:rPr>
          <w:rFonts w:ascii="Times New Roman" w:hAnsi="Times New Roman"/>
          <w:i/>
          <w:iCs/>
          <w:noProof/>
          <w:sz w:val="20"/>
          <w:szCs w:val="20"/>
        </w:rPr>
        <w:t>Clinica</w:t>
      </w:r>
      <w:r w:rsidRPr="004B4B56">
        <w:rPr>
          <w:rFonts w:ascii="Times New Roman" w:hAnsi="Times New Roman"/>
          <w:i/>
          <w:iCs/>
          <w:sz w:val="20"/>
          <w:szCs w:val="20"/>
        </w:rPr>
        <w:t xml:space="preserve"> Chimica Acta</w:t>
      </w:r>
      <w:r w:rsidRPr="004B4B56">
        <w:rPr>
          <w:rFonts w:ascii="Times New Roman" w:hAnsi="Times New Roman"/>
          <w:sz w:val="20"/>
          <w:szCs w:val="20"/>
        </w:rPr>
        <w:t>, 412: 1221 – 1228.</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Lee, S., Kwon, S., Shin, H. J., Lim, H. S., Singh, R. J., Lee, K. R. and Kim. Y. J. (2010). Simultaneous quantitative analysis of salivary cortisol and cortisone in Korean adults using LC-MS/MS. </w:t>
      </w:r>
      <w:r w:rsidRPr="004B4B56">
        <w:rPr>
          <w:rFonts w:ascii="Times New Roman" w:hAnsi="Times New Roman"/>
          <w:i/>
          <w:iCs/>
          <w:sz w:val="20"/>
          <w:szCs w:val="20"/>
        </w:rPr>
        <w:t>BMB Reports</w:t>
      </w:r>
      <w:r w:rsidRPr="004B4B56">
        <w:rPr>
          <w:rFonts w:ascii="Times New Roman" w:hAnsi="Times New Roman"/>
          <w:sz w:val="20"/>
          <w:szCs w:val="20"/>
        </w:rPr>
        <w:t>, 43(7): 506 – 511.</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Zhai, X., Chen, F., Zhu, C. and Lu. Y. (2015). </w:t>
      </w:r>
      <w:bookmarkStart w:id="3" w:name="OLE_LINK1"/>
      <w:bookmarkStart w:id="4" w:name="OLE_LINK2"/>
      <w:r w:rsidRPr="004B4B56">
        <w:rPr>
          <w:rFonts w:ascii="Times New Roman" w:hAnsi="Times New Roman"/>
          <w:sz w:val="20"/>
          <w:szCs w:val="20"/>
        </w:rPr>
        <w:t xml:space="preserve">A simple LC-MS/MS method for the determination of cortisol, cortisone and tetrahydro-metabolites in human urine: Assay development, validation and application in depression patients. </w:t>
      </w:r>
      <w:r w:rsidRPr="004B4B56">
        <w:rPr>
          <w:rFonts w:ascii="Times New Roman" w:hAnsi="Times New Roman"/>
          <w:i/>
          <w:iCs/>
          <w:sz w:val="20"/>
          <w:szCs w:val="20"/>
        </w:rPr>
        <w:t>Journal of Pharmaceutical and Biomedical Analysis</w:t>
      </w:r>
      <w:bookmarkEnd w:id="3"/>
      <w:bookmarkEnd w:id="4"/>
      <w:r w:rsidRPr="004B4B56">
        <w:rPr>
          <w:rFonts w:ascii="Times New Roman" w:hAnsi="Times New Roman"/>
          <w:sz w:val="20"/>
          <w:szCs w:val="20"/>
        </w:rPr>
        <w:t>, 107: 450 – 455.</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lastRenderedPageBreak/>
        <w:t xml:space="preserve">Levine, A., Zagoory-Sharon, O., Feldman, R., Lewis, J. G., and Weller. A. (2007). Measuring cortisol in human psychobiological studies. </w:t>
      </w:r>
      <w:r w:rsidRPr="004B4B56">
        <w:rPr>
          <w:rFonts w:ascii="Times New Roman" w:hAnsi="Times New Roman"/>
          <w:i/>
          <w:iCs/>
          <w:sz w:val="20"/>
          <w:szCs w:val="20"/>
        </w:rPr>
        <w:t>Physiology and Behavior</w:t>
      </w:r>
      <w:r w:rsidRPr="004B4B56">
        <w:rPr>
          <w:rFonts w:ascii="Times New Roman" w:hAnsi="Times New Roman"/>
          <w:sz w:val="20"/>
          <w:szCs w:val="20"/>
        </w:rPr>
        <w:t>, 90(1): 43 – 53.</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Milam, J., Slaughter, R., Verma, G. and McConnell. R. (2014). Hair cortisol, perceived stress and dispositional optimism: a pilot study among adolescents. </w:t>
      </w:r>
      <w:r w:rsidRPr="004B4B56">
        <w:rPr>
          <w:rFonts w:ascii="Times New Roman" w:hAnsi="Times New Roman"/>
          <w:i/>
          <w:iCs/>
          <w:sz w:val="20"/>
          <w:szCs w:val="20"/>
        </w:rPr>
        <w:t>Journal of Traumatic Stress Disorders &amp; Treatment</w:t>
      </w:r>
      <w:r w:rsidRPr="004B4B56">
        <w:rPr>
          <w:rFonts w:ascii="Times New Roman" w:hAnsi="Times New Roman"/>
          <w:sz w:val="20"/>
          <w:szCs w:val="20"/>
        </w:rPr>
        <w:t>, 3(3): 1 – 13.</w:t>
      </w:r>
    </w:p>
    <w:p w:rsidR="00F86988" w:rsidRPr="004B4B56" w:rsidRDefault="00F86988" w:rsidP="00F86988">
      <w:pPr>
        <w:numPr>
          <w:ilvl w:val="0"/>
          <w:numId w:val="2"/>
        </w:numPr>
        <w:spacing w:after="0" w:line="240" w:lineRule="auto"/>
        <w:jc w:val="both"/>
        <w:rPr>
          <w:rFonts w:ascii="Times New Roman" w:hAnsi="Times New Roman"/>
          <w:sz w:val="20"/>
          <w:szCs w:val="20"/>
        </w:rPr>
      </w:pPr>
      <w:r w:rsidRPr="004B4B56">
        <w:rPr>
          <w:rFonts w:ascii="Times New Roman" w:hAnsi="Times New Roman"/>
          <w:noProof/>
          <w:sz w:val="20"/>
          <w:szCs w:val="20"/>
        </w:rPr>
        <w:t>Herane</w:t>
      </w:r>
      <w:r w:rsidRPr="004B4B56">
        <w:rPr>
          <w:rFonts w:ascii="Times New Roman" w:hAnsi="Times New Roman"/>
          <w:sz w:val="20"/>
          <w:szCs w:val="20"/>
        </w:rPr>
        <w:t xml:space="preserve"> Vives, A., De Angel, V., Papadopoulos, A., Strawbridge, R., Wise, T., Young, A. H., Arnone, D. and Cleare. A. J. (2015). The relationship between cortisol, stress and psychiatric illness: New insights using hair analysis</w:t>
      </w:r>
      <w:r w:rsidRPr="004B4B56">
        <w:rPr>
          <w:rFonts w:ascii="Times New Roman" w:hAnsi="Times New Roman"/>
          <w:i/>
          <w:iCs/>
          <w:sz w:val="20"/>
          <w:szCs w:val="20"/>
        </w:rPr>
        <w:t>. Journal of Psychiatric Research</w:t>
      </w:r>
      <w:r w:rsidRPr="004B4B56">
        <w:rPr>
          <w:rFonts w:ascii="Times New Roman" w:hAnsi="Times New Roman"/>
          <w:sz w:val="20"/>
          <w:szCs w:val="20"/>
        </w:rPr>
        <w:t>, 70: 38 – 49.</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Pani, S. C., Al Askar, A. M., Al </w:t>
      </w:r>
      <w:r w:rsidRPr="004B4B56">
        <w:rPr>
          <w:rFonts w:ascii="Times New Roman" w:hAnsi="Times New Roman"/>
          <w:noProof/>
          <w:sz w:val="20"/>
          <w:szCs w:val="20"/>
        </w:rPr>
        <w:t>Mohrij</w:t>
      </w:r>
      <w:r w:rsidRPr="004B4B56">
        <w:rPr>
          <w:rFonts w:ascii="Times New Roman" w:hAnsi="Times New Roman"/>
          <w:sz w:val="20"/>
          <w:szCs w:val="20"/>
        </w:rPr>
        <w:t>, S. I. and Al Ohali, T. A. (2011). Evaluation of stress in final-year Saudi dental students using salivary cortisol as a biomarker</w:t>
      </w:r>
      <w:r w:rsidRPr="004B4B56">
        <w:rPr>
          <w:rFonts w:ascii="Times New Roman" w:hAnsi="Times New Roman"/>
          <w:i/>
          <w:iCs/>
          <w:sz w:val="20"/>
          <w:szCs w:val="20"/>
        </w:rPr>
        <w:t>. Journal of Dental Education</w:t>
      </w:r>
      <w:r w:rsidRPr="004B4B56">
        <w:rPr>
          <w:rFonts w:ascii="Times New Roman" w:hAnsi="Times New Roman"/>
          <w:sz w:val="20"/>
          <w:szCs w:val="20"/>
        </w:rPr>
        <w:t>, 75(3): 377 – 384.</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Lundberg</w:t>
      </w:r>
      <w:r w:rsidRPr="004B4B56">
        <w:rPr>
          <w:rFonts w:ascii="Times New Roman" w:hAnsi="Times New Roman"/>
          <w:noProof/>
          <w:sz w:val="20"/>
          <w:szCs w:val="20"/>
        </w:rPr>
        <w:t xml:space="preserve">, </w:t>
      </w:r>
      <w:r w:rsidRPr="004B4B56">
        <w:rPr>
          <w:rFonts w:ascii="Times New Roman" w:hAnsi="Times New Roman"/>
          <w:sz w:val="20"/>
          <w:szCs w:val="20"/>
        </w:rPr>
        <w:t xml:space="preserve">U. (2005). Stress hormones in health and illness: The roles of work and gender. </w:t>
      </w:r>
      <w:r w:rsidRPr="004B4B56">
        <w:rPr>
          <w:rFonts w:ascii="Times New Roman" w:hAnsi="Times New Roman"/>
          <w:i/>
          <w:iCs/>
          <w:sz w:val="20"/>
          <w:szCs w:val="20"/>
        </w:rPr>
        <w:t>Psychoneuroendocrinology</w:t>
      </w:r>
      <w:r w:rsidRPr="004B4B56">
        <w:rPr>
          <w:rFonts w:ascii="Times New Roman" w:hAnsi="Times New Roman"/>
          <w:sz w:val="20"/>
          <w:szCs w:val="20"/>
        </w:rPr>
        <w:t xml:space="preserve">, 30(10): 1017 – 1021. </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Institute for Public Health (2015). </w:t>
      </w:r>
      <w:r w:rsidRPr="004B4B56">
        <w:rPr>
          <w:rFonts w:ascii="Times New Roman" w:hAnsi="Times New Roman"/>
          <w:iCs/>
          <w:sz w:val="20"/>
          <w:szCs w:val="20"/>
        </w:rPr>
        <w:t>National Health and Morbidity Survey 2015 (NHMS 2015): Non-Communicable Diseases</w:t>
      </w:r>
      <w:r w:rsidRPr="004B4B56">
        <w:rPr>
          <w:rFonts w:ascii="Times New Roman" w:hAnsi="Times New Roman"/>
          <w:sz w:val="20"/>
          <w:szCs w:val="20"/>
        </w:rPr>
        <w:t>, Vol. II. San Diego, California.</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Armitage, C. J., </w:t>
      </w:r>
      <w:r w:rsidRPr="004B4B56">
        <w:rPr>
          <w:rFonts w:ascii="Times New Roman" w:hAnsi="Times New Roman"/>
          <w:noProof/>
          <w:sz w:val="20"/>
          <w:szCs w:val="20"/>
        </w:rPr>
        <w:t>Panagioti</w:t>
      </w:r>
      <w:r w:rsidRPr="004B4B56">
        <w:rPr>
          <w:rFonts w:ascii="Times New Roman" w:hAnsi="Times New Roman"/>
          <w:sz w:val="20"/>
          <w:szCs w:val="20"/>
        </w:rPr>
        <w:t xml:space="preserve">, M., Rahim, W. A., Rowe, R., O’Connor, R. C. (2015). Completed suicides and self-harm in Malaysia: A systematic review. </w:t>
      </w:r>
      <w:r w:rsidRPr="004B4B56">
        <w:rPr>
          <w:rFonts w:ascii="Times New Roman" w:hAnsi="Times New Roman"/>
          <w:i/>
          <w:iCs/>
          <w:sz w:val="20"/>
          <w:szCs w:val="20"/>
        </w:rPr>
        <w:t>General Hospital Psychiatry</w:t>
      </w:r>
      <w:r w:rsidRPr="004B4B56">
        <w:rPr>
          <w:rFonts w:ascii="Times New Roman" w:hAnsi="Times New Roman"/>
          <w:sz w:val="20"/>
          <w:szCs w:val="20"/>
        </w:rPr>
        <w:t>, 37(2): 153 – 165.</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Singh, R., Goyal, M., Tiwari, S., Ghildiyal, A., Nattu, S. M. and Das, S. (2012). Effect of examination stress on mood, performance and cortisol levels in medical students. </w:t>
      </w:r>
      <w:r w:rsidRPr="004B4B56">
        <w:rPr>
          <w:rFonts w:ascii="Times New Roman" w:hAnsi="Times New Roman"/>
          <w:i/>
          <w:iCs/>
          <w:sz w:val="20"/>
          <w:szCs w:val="20"/>
        </w:rPr>
        <w:t>Indian Journal of Physiology and Pharmacology</w:t>
      </w:r>
      <w:r w:rsidRPr="004B4B56">
        <w:rPr>
          <w:rFonts w:ascii="Times New Roman" w:hAnsi="Times New Roman"/>
          <w:sz w:val="20"/>
          <w:szCs w:val="20"/>
        </w:rPr>
        <w:t>, 56(1): 48 – 55.</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Owen, L. J., Adaway, J. E., Davies, S., Neale, S., El-Farhan, N., Ducroq, D., Evans, C., Rees, D. A., Mackenzie, F. and Keevil, B. G. (2013). Development of a rapid assay for the analysis of serum cortisol and its implementation into a routine service laboratory. </w:t>
      </w:r>
      <w:r w:rsidRPr="004B4B56">
        <w:rPr>
          <w:rFonts w:ascii="Times New Roman" w:hAnsi="Times New Roman"/>
          <w:i/>
          <w:iCs/>
          <w:sz w:val="20"/>
          <w:szCs w:val="20"/>
        </w:rPr>
        <w:t>Annals of Clinical Biochemistry</w:t>
      </w:r>
      <w:r w:rsidRPr="004B4B56">
        <w:rPr>
          <w:rFonts w:ascii="Times New Roman" w:hAnsi="Times New Roman"/>
          <w:sz w:val="20"/>
          <w:szCs w:val="20"/>
        </w:rPr>
        <w:t>, 50(4): 345 –352.</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Turpeinen, U. and Hämäläinen, E. (2013). Determination of cortisol in serum, saliva and urine. </w:t>
      </w:r>
      <w:r w:rsidRPr="004B4B56">
        <w:rPr>
          <w:rFonts w:ascii="Times New Roman" w:hAnsi="Times New Roman"/>
          <w:i/>
          <w:iCs/>
          <w:sz w:val="20"/>
          <w:szCs w:val="20"/>
        </w:rPr>
        <w:t>Best Practice and Research: Clinical Endocrinology and Metabolism</w:t>
      </w:r>
      <w:r w:rsidRPr="004B4B56">
        <w:rPr>
          <w:rFonts w:ascii="Times New Roman" w:hAnsi="Times New Roman"/>
          <w:sz w:val="20"/>
          <w:szCs w:val="20"/>
        </w:rPr>
        <w:t>, 27(6): 795 – 801.</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Monaghan, P. J., Keevil, B. G. and Trainer, P. J. (2013). The use of mass spectrometry to improve the diagnosis and the management of the HPA axis. </w:t>
      </w:r>
      <w:r w:rsidRPr="004B4B56">
        <w:rPr>
          <w:rFonts w:ascii="Times New Roman" w:hAnsi="Times New Roman"/>
          <w:i/>
          <w:iCs/>
          <w:sz w:val="20"/>
          <w:szCs w:val="20"/>
        </w:rPr>
        <w:t>Reviews in Endocrine &amp; Metabolic Disorder</w:t>
      </w:r>
      <w:r w:rsidRPr="004B4B56">
        <w:rPr>
          <w:rFonts w:ascii="Times New Roman" w:hAnsi="Times New Roman"/>
          <w:sz w:val="20"/>
          <w:szCs w:val="20"/>
        </w:rPr>
        <w:t>, 14(2): 143 – 157.</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Lopes Alves, A. N., Mendonca, B. B. and </w:t>
      </w:r>
      <w:r w:rsidRPr="004B4B56">
        <w:rPr>
          <w:rFonts w:ascii="Times New Roman" w:hAnsi="Times New Roman"/>
          <w:noProof/>
          <w:sz w:val="20"/>
          <w:szCs w:val="20"/>
        </w:rPr>
        <w:t xml:space="preserve">Valassi, </w:t>
      </w:r>
      <w:r w:rsidRPr="004B4B56">
        <w:rPr>
          <w:rFonts w:ascii="Times New Roman" w:hAnsi="Times New Roman"/>
          <w:sz w:val="20"/>
          <w:szCs w:val="20"/>
        </w:rPr>
        <w:t xml:space="preserve">H. P. L. (2015). Analytical performance of LC-MS/MS method for simultaneous determination of five steroids in serum. </w:t>
      </w:r>
      <w:r w:rsidRPr="004B4B56">
        <w:rPr>
          <w:rFonts w:ascii="Times New Roman" w:hAnsi="Times New Roman"/>
          <w:i/>
          <w:iCs/>
          <w:sz w:val="20"/>
          <w:szCs w:val="20"/>
        </w:rPr>
        <w:t>Mass Spectrometry &amp; Purification Techniques</w:t>
      </w:r>
      <w:r w:rsidRPr="004B4B56">
        <w:rPr>
          <w:rFonts w:ascii="Times New Roman" w:hAnsi="Times New Roman"/>
          <w:sz w:val="20"/>
          <w:szCs w:val="20"/>
        </w:rPr>
        <w:t>, 1(2): 1 – 5.</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Huang, W., Kalhorn, T. F., Baillie, M., Shen, D. D. and Thummel, K. E. (2007). Determination of free and total cortisol in plasma and urine by liquid chromatography-tandem mass spectrometry. </w:t>
      </w:r>
      <w:r w:rsidRPr="004B4B56">
        <w:rPr>
          <w:rFonts w:ascii="Times New Roman" w:hAnsi="Times New Roman"/>
          <w:i/>
          <w:iCs/>
          <w:sz w:val="20"/>
          <w:szCs w:val="20"/>
        </w:rPr>
        <w:t>Therapeutic Drug Monitoring</w:t>
      </w:r>
      <w:r w:rsidRPr="004B4B56">
        <w:rPr>
          <w:rFonts w:ascii="Times New Roman" w:hAnsi="Times New Roman"/>
          <w:sz w:val="20"/>
          <w:szCs w:val="20"/>
        </w:rPr>
        <w:t>, 29 (2): 215 – 224.</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Kushnir, M. M., Rockwood, A. L., Roberts, W. L., Yue, B., Bergquist, J. and Meikle, A. W. (2011). Liquid </w:t>
      </w:r>
      <w:r w:rsidRPr="004B4B56">
        <w:rPr>
          <w:rFonts w:ascii="Times New Roman" w:hAnsi="Times New Roman"/>
          <w:noProof/>
          <w:sz w:val="20"/>
          <w:szCs w:val="20"/>
        </w:rPr>
        <w:t>chromatography-tandem</w:t>
      </w:r>
      <w:r w:rsidRPr="004B4B56">
        <w:rPr>
          <w:rFonts w:ascii="Times New Roman" w:hAnsi="Times New Roman"/>
          <w:sz w:val="20"/>
          <w:szCs w:val="20"/>
        </w:rPr>
        <w:t xml:space="preserve"> mass spectrometry for analysis of steroids in clinical laboratories. </w:t>
      </w:r>
      <w:r w:rsidRPr="004B4B56">
        <w:rPr>
          <w:rFonts w:ascii="Times New Roman" w:hAnsi="Times New Roman"/>
          <w:i/>
          <w:iCs/>
          <w:sz w:val="20"/>
          <w:szCs w:val="20"/>
        </w:rPr>
        <w:t>Clinical Biochemistry</w:t>
      </w:r>
      <w:r w:rsidRPr="004B4B56">
        <w:rPr>
          <w:rFonts w:ascii="Times New Roman" w:hAnsi="Times New Roman"/>
          <w:sz w:val="20"/>
          <w:szCs w:val="20"/>
        </w:rPr>
        <w:t>, 44(1): 77 – 88.</w:t>
      </w:r>
    </w:p>
    <w:p w:rsidR="00F86988" w:rsidRPr="004B4B56" w:rsidRDefault="00F86988" w:rsidP="00F86988">
      <w:pPr>
        <w:pStyle w:val="ListParagraph"/>
        <w:widowControl w:val="0"/>
        <w:numPr>
          <w:ilvl w:val="0"/>
          <w:numId w:val="2"/>
        </w:numPr>
        <w:autoSpaceDE w:val="0"/>
        <w:autoSpaceDN w:val="0"/>
        <w:adjustRightInd w:val="0"/>
        <w:spacing w:after="0" w:line="240" w:lineRule="auto"/>
        <w:contextualSpacing w:val="0"/>
        <w:jc w:val="both"/>
        <w:rPr>
          <w:rFonts w:ascii="Times New Roman" w:hAnsi="Times New Roman"/>
          <w:noProof/>
          <w:sz w:val="20"/>
          <w:szCs w:val="20"/>
        </w:rPr>
      </w:pPr>
      <w:r w:rsidRPr="004B4B56">
        <w:rPr>
          <w:rFonts w:ascii="Times New Roman" w:hAnsi="Times New Roman"/>
          <w:noProof/>
          <w:sz w:val="20"/>
          <w:szCs w:val="20"/>
        </w:rPr>
        <w:t>Cao, Z., West, C., Norton-Wenzel, C. and Rej, R. (2009). Effects of resin or charcoal treatment on fetal bovine serum and bovine calf serum</w:t>
      </w:r>
      <w:r w:rsidRPr="004B4B56">
        <w:rPr>
          <w:rFonts w:ascii="Times New Roman" w:hAnsi="Times New Roman"/>
          <w:i/>
          <w:iCs/>
          <w:noProof/>
          <w:sz w:val="20"/>
          <w:szCs w:val="20"/>
        </w:rPr>
        <w:t>. Endocrine Research</w:t>
      </w:r>
      <w:r w:rsidRPr="004B4B56">
        <w:rPr>
          <w:rFonts w:ascii="Times New Roman" w:hAnsi="Times New Roman"/>
          <w:noProof/>
          <w:sz w:val="20"/>
          <w:szCs w:val="20"/>
        </w:rPr>
        <w:t>, 34(4): 101 – 108.</w:t>
      </w:r>
    </w:p>
    <w:p w:rsidR="00F86988" w:rsidRPr="004B4B56" w:rsidRDefault="00F86988" w:rsidP="00F86988">
      <w:pPr>
        <w:pStyle w:val="ListParagraph"/>
        <w:widowControl w:val="0"/>
        <w:numPr>
          <w:ilvl w:val="0"/>
          <w:numId w:val="2"/>
        </w:numPr>
        <w:autoSpaceDE w:val="0"/>
        <w:autoSpaceDN w:val="0"/>
        <w:adjustRightInd w:val="0"/>
        <w:spacing w:after="0" w:line="240" w:lineRule="auto"/>
        <w:contextualSpacing w:val="0"/>
        <w:jc w:val="both"/>
        <w:rPr>
          <w:rFonts w:ascii="Times New Roman" w:hAnsi="Times New Roman"/>
          <w:noProof/>
          <w:sz w:val="20"/>
          <w:szCs w:val="20"/>
        </w:rPr>
      </w:pPr>
      <w:r w:rsidRPr="004B4B56">
        <w:rPr>
          <w:rFonts w:ascii="Times New Roman" w:hAnsi="Times New Roman"/>
          <w:noProof/>
          <w:sz w:val="20"/>
          <w:szCs w:val="20"/>
        </w:rPr>
        <w:t xml:space="preserve">Ifelebuegu, A. O. (2012). Removal of steroid hormones by activated carbon adsorption—kinetic and thermodynamic studies. </w:t>
      </w:r>
      <w:r w:rsidRPr="004B4B56">
        <w:rPr>
          <w:rFonts w:ascii="Times New Roman" w:hAnsi="Times New Roman"/>
          <w:i/>
          <w:iCs/>
          <w:noProof/>
          <w:sz w:val="20"/>
          <w:szCs w:val="20"/>
        </w:rPr>
        <w:t>Journal of Environmental Protection</w:t>
      </w:r>
      <w:r w:rsidRPr="004B4B56">
        <w:rPr>
          <w:rFonts w:ascii="Times New Roman" w:hAnsi="Times New Roman"/>
          <w:noProof/>
          <w:sz w:val="20"/>
          <w:szCs w:val="20"/>
        </w:rPr>
        <w:t xml:space="preserve">, 3(6): 469 – 475. </w:t>
      </w:r>
    </w:p>
    <w:p w:rsidR="00F86988" w:rsidRPr="004B4B56" w:rsidRDefault="00F86988" w:rsidP="00F86988">
      <w:pPr>
        <w:pStyle w:val="ListParagraph"/>
        <w:widowControl w:val="0"/>
        <w:numPr>
          <w:ilvl w:val="0"/>
          <w:numId w:val="2"/>
        </w:numPr>
        <w:autoSpaceDE w:val="0"/>
        <w:autoSpaceDN w:val="0"/>
        <w:adjustRightInd w:val="0"/>
        <w:spacing w:after="0" w:line="240" w:lineRule="auto"/>
        <w:contextualSpacing w:val="0"/>
        <w:jc w:val="both"/>
        <w:rPr>
          <w:rFonts w:ascii="Times New Roman" w:hAnsi="Times New Roman"/>
          <w:noProof/>
          <w:sz w:val="20"/>
          <w:szCs w:val="20"/>
        </w:rPr>
      </w:pPr>
      <w:r w:rsidRPr="004B4B56">
        <w:rPr>
          <w:rFonts w:ascii="Times New Roman" w:hAnsi="Times New Roman"/>
          <w:noProof/>
          <w:sz w:val="20"/>
          <w:szCs w:val="20"/>
        </w:rPr>
        <w:t xml:space="preserve">Cooper, N., Khosravan, R., Erdmann, C., Fiene, J. and Lee, J. W. (2006). Quantification of uric acid, xanthine and hypoxanthine in human serum by HPLC for pharmacodynamic studies. </w:t>
      </w:r>
      <w:r w:rsidRPr="004B4B56">
        <w:rPr>
          <w:rFonts w:ascii="Times New Roman" w:hAnsi="Times New Roman"/>
          <w:i/>
          <w:iCs/>
          <w:noProof/>
          <w:sz w:val="20"/>
          <w:szCs w:val="20"/>
        </w:rPr>
        <w:t>Journal of Chromatography B: Analytical Technologies in the Biomedical and Life Sciences</w:t>
      </w:r>
      <w:r w:rsidRPr="004B4B56">
        <w:rPr>
          <w:rFonts w:ascii="Times New Roman" w:hAnsi="Times New Roman"/>
          <w:noProof/>
          <w:sz w:val="20"/>
          <w:szCs w:val="20"/>
        </w:rPr>
        <w:t>, 837: 1 – 10.</w:t>
      </w:r>
    </w:p>
    <w:p w:rsidR="00F86988" w:rsidRPr="004B4B56" w:rsidRDefault="00F86988" w:rsidP="00F86988">
      <w:pPr>
        <w:pStyle w:val="ListParagraph"/>
        <w:widowControl w:val="0"/>
        <w:numPr>
          <w:ilvl w:val="0"/>
          <w:numId w:val="2"/>
        </w:numPr>
        <w:autoSpaceDE w:val="0"/>
        <w:autoSpaceDN w:val="0"/>
        <w:adjustRightInd w:val="0"/>
        <w:spacing w:after="0" w:line="240" w:lineRule="auto"/>
        <w:contextualSpacing w:val="0"/>
        <w:jc w:val="both"/>
        <w:rPr>
          <w:rFonts w:ascii="Times New Roman" w:hAnsi="Times New Roman"/>
          <w:noProof/>
          <w:sz w:val="20"/>
          <w:szCs w:val="20"/>
        </w:rPr>
      </w:pPr>
      <w:r w:rsidRPr="004B4B56">
        <w:rPr>
          <w:rFonts w:ascii="Times New Roman" w:hAnsi="Times New Roman"/>
          <w:noProof/>
          <w:sz w:val="20"/>
          <w:szCs w:val="20"/>
        </w:rPr>
        <w:t xml:space="preserve">Ke, Y., Bertin, J., Gonthier, R., Simard, J. N. and Labrie, F. (2014). A sensitive, simple and robust LC-MS/MS method for the simultaneous quantification of seven androgen- and estrogen-related steroids in postmenopausal serum. </w:t>
      </w:r>
      <w:r w:rsidRPr="004B4B56">
        <w:rPr>
          <w:rFonts w:ascii="Times New Roman" w:hAnsi="Times New Roman"/>
          <w:i/>
          <w:iCs/>
          <w:noProof/>
          <w:sz w:val="20"/>
          <w:szCs w:val="20"/>
        </w:rPr>
        <w:t>Journal of Steroid Biochemistry and Molecular Biology</w:t>
      </w:r>
      <w:r w:rsidRPr="004B4B56">
        <w:rPr>
          <w:rFonts w:ascii="Times New Roman" w:hAnsi="Times New Roman"/>
          <w:noProof/>
          <w:sz w:val="20"/>
          <w:szCs w:val="20"/>
        </w:rPr>
        <w:t xml:space="preserve">, 144: 523 – 534. </w:t>
      </w:r>
    </w:p>
    <w:p w:rsidR="00F86988" w:rsidRPr="004B4B56" w:rsidRDefault="00F86988" w:rsidP="00F86988">
      <w:pPr>
        <w:pStyle w:val="ListParagraph"/>
        <w:widowControl w:val="0"/>
        <w:numPr>
          <w:ilvl w:val="0"/>
          <w:numId w:val="2"/>
        </w:numPr>
        <w:autoSpaceDE w:val="0"/>
        <w:autoSpaceDN w:val="0"/>
        <w:adjustRightInd w:val="0"/>
        <w:spacing w:after="0" w:line="240" w:lineRule="auto"/>
        <w:contextualSpacing w:val="0"/>
        <w:jc w:val="both"/>
        <w:rPr>
          <w:rFonts w:ascii="Times New Roman" w:hAnsi="Times New Roman"/>
          <w:noProof/>
          <w:sz w:val="20"/>
          <w:szCs w:val="20"/>
        </w:rPr>
      </w:pPr>
      <w:r w:rsidRPr="004B4B56">
        <w:rPr>
          <w:rFonts w:ascii="Times New Roman" w:hAnsi="Times New Roman"/>
          <w:noProof/>
          <w:sz w:val="20"/>
          <w:szCs w:val="20"/>
        </w:rPr>
        <w:t xml:space="preserve">Sánchez-Guijo, A., Oji, V., Hartmann, M. F., Traupe, H. and Wudy, S. A. (2015). Simultaneous quantification of cholesterol sulfate, androgen sulfates, and progestagen sulfates in human serum by LC-MS/MS. </w:t>
      </w:r>
      <w:r w:rsidRPr="004B4B56">
        <w:rPr>
          <w:rFonts w:ascii="Times New Roman" w:hAnsi="Times New Roman"/>
          <w:i/>
          <w:iCs/>
          <w:noProof/>
          <w:sz w:val="20"/>
          <w:szCs w:val="20"/>
        </w:rPr>
        <w:t>Journal of Lipid Research</w:t>
      </w:r>
      <w:r w:rsidRPr="004B4B56">
        <w:rPr>
          <w:rFonts w:ascii="Times New Roman" w:hAnsi="Times New Roman"/>
          <w:noProof/>
          <w:sz w:val="20"/>
          <w:szCs w:val="20"/>
        </w:rPr>
        <w:t xml:space="preserve">, 56(9): 1843 – 1851. </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European Medicines Agency (2011). Guideline on bioanalytical method validation.  Access from </w:t>
      </w:r>
      <w:r w:rsidRPr="00F86988">
        <w:rPr>
          <w:rFonts w:ascii="Times New Roman" w:hAnsi="Times New Roman"/>
          <w:sz w:val="20"/>
          <w:szCs w:val="20"/>
        </w:rPr>
        <w:t>http://www.ema.europa.eu/docs/en_GB/document_library/Scientific_guideline/2011/08/WC500109686.pdf</w:t>
      </w:r>
      <w:r w:rsidRPr="004B4B56">
        <w:rPr>
          <w:rFonts w:ascii="Times New Roman" w:hAnsi="Times New Roman"/>
          <w:sz w:val="20"/>
          <w:szCs w:val="20"/>
        </w:rPr>
        <w:t xml:space="preserve"> </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Tai, S. S.-C. and Welch, M. J. (2004). Development and evaluation of a candidate reference method for the determination of total cortisol in human serum using isotope dilution liquid chromatography/mass spectrometry and liquid chromatography/tandem mass spectrometry. </w:t>
      </w:r>
      <w:r w:rsidRPr="004B4B56">
        <w:rPr>
          <w:rFonts w:ascii="Times New Roman" w:hAnsi="Times New Roman"/>
          <w:i/>
          <w:iCs/>
          <w:sz w:val="20"/>
          <w:szCs w:val="20"/>
        </w:rPr>
        <w:t>Analytical Chemistry</w:t>
      </w:r>
      <w:r w:rsidRPr="004B4B56">
        <w:rPr>
          <w:rFonts w:ascii="Times New Roman" w:hAnsi="Times New Roman"/>
          <w:sz w:val="20"/>
          <w:szCs w:val="20"/>
        </w:rPr>
        <w:t xml:space="preserve">, 76 (4): 1008 – 1014. </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lastRenderedPageBreak/>
        <w:t xml:space="preserve">DiFrancesco, R., Frerichs, V., Donnelly, J., Hagler, C., Hochreiter, J. and Tornatore, K. M. (2007). Simultaneous determination of cortisol, dexamethasone, methylprednisolone, prednisone, prednisolone, mycophenolic acid and mycophenolic acid glucuronide in human plasma utilizing liquid chromatography-tandem mass spectrometry. </w:t>
      </w:r>
      <w:r w:rsidRPr="004B4B56">
        <w:rPr>
          <w:rFonts w:ascii="Times New Roman" w:hAnsi="Times New Roman"/>
          <w:i/>
          <w:iCs/>
          <w:sz w:val="20"/>
          <w:szCs w:val="20"/>
        </w:rPr>
        <w:t>Journal of Chromatography B: Analytical Technologies in the Biomedical and Life Sciences</w:t>
      </w:r>
      <w:r w:rsidRPr="004B4B56">
        <w:rPr>
          <w:rFonts w:ascii="Times New Roman" w:hAnsi="Times New Roman"/>
          <w:sz w:val="20"/>
          <w:szCs w:val="20"/>
        </w:rPr>
        <w:t xml:space="preserve">, 859(1): 42 – 51. </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Ionita, I. A., Fast, D. M. and Akhlaghi, F. (2009). Development of a sensitive and selective method for the quantitative analysis of cortisol, cortisone, prednisolone and prednisone in human plasma. </w:t>
      </w:r>
      <w:r w:rsidRPr="004B4B56">
        <w:rPr>
          <w:rFonts w:ascii="Times New Roman" w:hAnsi="Times New Roman"/>
          <w:i/>
          <w:iCs/>
          <w:sz w:val="20"/>
          <w:szCs w:val="20"/>
        </w:rPr>
        <w:t>Journal of Chromatography B: Analytical Technologies in the Biomedical and Life Sciences</w:t>
      </w:r>
      <w:r w:rsidRPr="004B4B56">
        <w:rPr>
          <w:rFonts w:ascii="Times New Roman" w:hAnsi="Times New Roman"/>
          <w:sz w:val="20"/>
          <w:szCs w:val="20"/>
        </w:rPr>
        <w:t>, 877: 765 – 772.</w:t>
      </w:r>
    </w:p>
    <w:p w:rsidR="00F86988" w:rsidRPr="004B4B56" w:rsidRDefault="00F86988" w:rsidP="00F86988">
      <w:pPr>
        <w:pStyle w:val="ListParagraph"/>
        <w:numPr>
          <w:ilvl w:val="0"/>
          <w:numId w:val="2"/>
        </w:numPr>
        <w:spacing w:after="0" w:line="240" w:lineRule="auto"/>
        <w:contextualSpacing w:val="0"/>
        <w:jc w:val="both"/>
        <w:rPr>
          <w:rFonts w:ascii="Times New Roman" w:hAnsi="Times New Roman"/>
          <w:sz w:val="20"/>
          <w:szCs w:val="20"/>
        </w:rPr>
      </w:pPr>
      <w:r w:rsidRPr="004B4B56">
        <w:rPr>
          <w:rFonts w:ascii="Times New Roman" w:hAnsi="Times New Roman"/>
          <w:sz w:val="20"/>
          <w:szCs w:val="20"/>
        </w:rPr>
        <w:t xml:space="preserve">Brinc, D., Chan, M. K., Venner, A. A., Pasic, M. D., Colantonio, D., Kyriakopolou, L. and Adeli, K. (2012). Long-term stability of biochemical markers in pediatric serum specimens stored at -80 °C: A CALIPER sub study. </w:t>
      </w:r>
      <w:r w:rsidRPr="004B4B56">
        <w:rPr>
          <w:rFonts w:ascii="Times New Roman" w:hAnsi="Times New Roman"/>
          <w:i/>
          <w:iCs/>
          <w:sz w:val="20"/>
          <w:szCs w:val="20"/>
        </w:rPr>
        <w:t>Clinical Biochemistry</w:t>
      </w:r>
      <w:r w:rsidRPr="004B4B56">
        <w:rPr>
          <w:rFonts w:ascii="Times New Roman" w:hAnsi="Times New Roman"/>
          <w:sz w:val="20"/>
          <w:szCs w:val="20"/>
        </w:rPr>
        <w:t xml:space="preserve">, 45: 816 – 826. </w:t>
      </w:r>
    </w:p>
    <w:p w:rsidR="00A74A7E" w:rsidRPr="007A738C" w:rsidRDefault="00A74A7E" w:rsidP="00F86988">
      <w:pPr>
        <w:spacing w:after="0" w:line="240" w:lineRule="auto"/>
        <w:ind w:left="360" w:hanging="360"/>
        <w:jc w:val="both"/>
        <w:rPr>
          <w:rFonts w:ascii="Times New Roman" w:hAnsi="Times New Roman"/>
          <w:noProof/>
          <w:lang w:bidi="ar-SA"/>
        </w:rPr>
      </w:pPr>
    </w:p>
    <w:sectPr w:rsidR="00A74A7E" w:rsidRPr="007A738C" w:rsidSect="00770E9E">
      <w:headerReference w:type="even" r:id="rId14"/>
      <w:headerReference w:type="default" r:id="rId15"/>
      <w:footerReference w:type="even" r:id="rId16"/>
      <w:footerReference w:type="default" r:id="rId17"/>
      <w:pgSz w:w="12240" w:h="15840" w:code="1"/>
      <w:pgMar w:top="1800" w:right="1469" w:bottom="1699" w:left="1440" w:header="706" w:footer="706" w:gutter="0"/>
      <w:pgNumType w:start="33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9A19D8">
          <w:rPr>
            <w:rFonts w:ascii="Times New Roman" w:hAnsi="Times New Roman"/>
            <w:noProof/>
          </w:rPr>
          <w:t>344</w:t>
        </w:r>
        <w:r w:rsidRPr="00C0756D">
          <w:rPr>
            <w:rFonts w:ascii="Times New Roman" w:hAnsi="Times New Roman"/>
            <w:noProof/>
          </w:rPr>
          <w:fldChar w:fldCharType="end"/>
        </w:r>
      </w:p>
    </w:sdtContent>
  </w:sdt>
  <w:p w:rsidR="00562108" w:rsidRDefault="0056210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9A19D8">
          <w:rPr>
            <w:rFonts w:ascii="Times New Roman" w:hAnsi="Times New Roman"/>
            <w:noProof/>
          </w:rPr>
          <w:t>343</w:t>
        </w:r>
        <w:r w:rsidRPr="00C0756D">
          <w:rPr>
            <w:rFonts w:ascii="Times New Roman" w:hAnsi="Times New Roman"/>
            <w:noProof/>
          </w:rPr>
          <w:fldChar w:fldCharType="end"/>
        </w:r>
      </w:p>
    </w:sdtContent>
  </w:sdt>
  <w:p w:rsidR="00562108" w:rsidRDefault="0056210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B7255A">
      <w:rPr>
        <w:rFonts w:ascii="Times New Roman" w:hAnsi="Times New Roman"/>
        <w:i/>
        <w:lang w:val="en-US"/>
      </w:rPr>
      <w:t>No 2</w:t>
    </w:r>
    <w:r w:rsidR="00B25B65">
      <w:rPr>
        <w:rFonts w:ascii="Times New Roman" w:hAnsi="Times New Roman"/>
        <w:i/>
      </w:rPr>
      <w:t xml:space="preserve"> (201</w:t>
    </w:r>
    <w:r w:rsidR="00624C7C">
      <w:rPr>
        <w:rFonts w:ascii="Times New Roman" w:hAnsi="Times New Roman"/>
        <w:i/>
        <w:lang w:val="en-US"/>
      </w:rPr>
      <w:t>9</w:t>
    </w:r>
    <w:r w:rsidRPr="00D75B35">
      <w:rPr>
        <w:rFonts w:ascii="Times New Roman" w:hAnsi="Times New Roman"/>
        <w:i/>
      </w:rPr>
      <w:t xml:space="preserve">): </w:t>
    </w:r>
    <w:r w:rsidR="00770E9E">
      <w:rPr>
        <w:rFonts w:ascii="Times New Roman" w:hAnsi="Times New Roman"/>
        <w:i/>
        <w:lang w:val="en-US"/>
      </w:rPr>
      <w:t>336</w:t>
    </w:r>
    <w:r w:rsidR="004B43FF">
      <w:rPr>
        <w:rFonts w:ascii="Times New Roman" w:hAnsi="Times New Roman"/>
        <w:i/>
        <w:lang w:val="en-US"/>
      </w:rPr>
      <w:t xml:space="preserve"> </w:t>
    </w:r>
    <w:r w:rsidR="00583C85">
      <w:rPr>
        <w:rFonts w:ascii="Times New Roman" w:hAnsi="Times New Roman"/>
        <w:i/>
        <w:lang w:val="en-US"/>
      </w:rPr>
      <w:t>-</w:t>
    </w:r>
    <w:r w:rsidR="00770E9E">
      <w:rPr>
        <w:rFonts w:ascii="Times New Roman" w:hAnsi="Times New Roman"/>
        <w:i/>
        <w:lang w:val="en-US"/>
      </w:rPr>
      <w:t xml:space="preserve"> 344</w:t>
    </w:r>
  </w:p>
  <w:p w:rsidR="00562108" w:rsidRPr="008C2AD5" w:rsidRDefault="006A3A0F" w:rsidP="008C2AD5">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B7255A">
      <w:rPr>
        <w:rFonts w:ascii="Times New Roman" w:hAnsi="Times New Roman"/>
        <w:i/>
        <w:lang w:val="en-US"/>
      </w:rPr>
      <w:t>2</w:t>
    </w:r>
    <w:r w:rsidR="00770E9E">
      <w:rPr>
        <w:rFonts w:ascii="Times New Roman" w:hAnsi="Times New Roman"/>
        <w:i/>
        <w:lang w:val="en-US"/>
      </w:rPr>
      <w:t>-17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08" w:rsidRPr="008C2AD5" w:rsidRDefault="008C2AD5" w:rsidP="008C2AD5">
    <w:pPr>
      <w:spacing w:after="0" w:line="240" w:lineRule="auto"/>
      <w:ind w:left="1260" w:hanging="1260"/>
      <w:rPr>
        <w:rFonts w:ascii="Times New Roman" w:hAnsi="Times New Roman"/>
        <w:sz w:val="20"/>
        <w:szCs w:val="20"/>
      </w:rPr>
    </w:pPr>
    <w:r>
      <w:rPr>
        <w:rFonts w:ascii="Times New Roman" w:hAnsi="Times New Roman"/>
        <w:sz w:val="20"/>
        <w:szCs w:val="20"/>
      </w:rPr>
      <w:t>Hazirah et al</w:t>
    </w:r>
    <w:r w:rsidR="008E6968" w:rsidRPr="008C2AD5">
      <w:rPr>
        <w:rFonts w:ascii="Times New Roman" w:hAnsi="Times New Roman"/>
        <w:sz w:val="20"/>
        <w:szCs w:val="20"/>
      </w:rPr>
      <w:t xml:space="preserve">:  </w:t>
    </w:r>
    <w:r w:rsidRPr="008C2AD5">
      <w:rPr>
        <w:rFonts w:ascii="Times New Roman" w:hAnsi="Times New Roman"/>
        <w:sz w:val="20"/>
        <w:szCs w:val="20"/>
      </w:rPr>
      <w:t xml:space="preserve"> </w:t>
    </w:r>
    <w:r>
      <w:rPr>
        <w:rFonts w:ascii="Times New Roman" w:hAnsi="Times New Roman"/>
        <w:sz w:val="20"/>
        <w:szCs w:val="20"/>
      </w:rPr>
      <w:tab/>
    </w:r>
    <w:r w:rsidRPr="008C2AD5">
      <w:rPr>
        <w:rFonts w:ascii="Times New Roman" w:hAnsi="Times New Roman"/>
        <w:sz w:val="20"/>
        <w:szCs w:val="20"/>
      </w:rPr>
      <w:t>METHOD DEVELOPMENT AND VALIDATION FOR QUANTIFICATION OF CORTISOL AND CORTISONE USING ULTRA-HIGH PERFORMANCE LIQUID CHROMATOGRAPHY-TANDEM MASS SPECTROMETRY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15CCC"/>
    <w:multiLevelType w:val="hybridMultilevel"/>
    <w:tmpl w:val="6512BA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06F7"/>
    <w:rsid w:val="00117BCD"/>
    <w:rsid w:val="001D035A"/>
    <w:rsid w:val="001D3855"/>
    <w:rsid w:val="001D6F2C"/>
    <w:rsid w:val="00221D39"/>
    <w:rsid w:val="002B188F"/>
    <w:rsid w:val="002B3BD8"/>
    <w:rsid w:val="002C046F"/>
    <w:rsid w:val="002F3F91"/>
    <w:rsid w:val="00304767"/>
    <w:rsid w:val="00304B34"/>
    <w:rsid w:val="00312C0E"/>
    <w:rsid w:val="00361BAF"/>
    <w:rsid w:val="00367D1F"/>
    <w:rsid w:val="00373A9B"/>
    <w:rsid w:val="00383F26"/>
    <w:rsid w:val="003D585B"/>
    <w:rsid w:val="003E7DA6"/>
    <w:rsid w:val="003F12FF"/>
    <w:rsid w:val="004760D4"/>
    <w:rsid w:val="00494C46"/>
    <w:rsid w:val="004A2EB0"/>
    <w:rsid w:val="004B43FF"/>
    <w:rsid w:val="00502641"/>
    <w:rsid w:val="00534441"/>
    <w:rsid w:val="00545363"/>
    <w:rsid w:val="00562108"/>
    <w:rsid w:val="00583C85"/>
    <w:rsid w:val="00584156"/>
    <w:rsid w:val="005C6768"/>
    <w:rsid w:val="00605FC1"/>
    <w:rsid w:val="00624C7C"/>
    <w:rsid w:val="00634C25"/>
    <w:rsid w:val="006416AB"/>
    <w:rsid w:val="006768E9"/>
    <w:rsid w:val="00687982"/>
    <w:rsid w:val="00695D0E"/>
    <w:rsid w:val="006A3A0F"/>
    <w:rsid w:val="006B3EC8"/>
    <w:rsid w:val="006D695E"/>
    <w:rsid w:val="00725A6A"/>
    <w:rsid w:val="00730CB3"/>
    <w:rsid w:val="00770E9E"/>
    <w:rsid w:val="007943F3"/>
    <w:rsid w:val="007A738C"/>
    <w:rsid w:val="007B1349"/>
    <w:rsid w:val="007E25BD"/>
    <w:rsid w:val="007F4ECC"/>
    <w:rsid w:val="00801E18"/>
    <w:rsid w:val="00802C35"/>
    <w:rsid w:val="0082181A"/>
    <w:rsid w:val="00826902"/>
    <w:rsid w:val="008B470E"/>
    <w:rsid w:val="008C14D6"/>
    <w:rsid w:val="008C2AD5"/>
    <w:rsid w:val="008E1211"/>
    <w:rsid w:val="008E5BBF"/>
    <w:rsid w:val="008E6968"/>
    <w:rsid w:val="009A0922"/>
    <w:rsid w:val="009A19D8"/>
    <w:rsid w:val="00A14DB9"/>
    <w:rsid w:val="00A4762A"/>
    <w:rsid w:val="00A721C8"/>
    <w:rsid w:val="00A74A7E"/>
    <w:rsid w:val="00A87399"/>
    <w:rsid w:val="00AD1B8A"/>
    <w:rsid w:val="00AD76AF"/>
    <w:rsid w:val="00AE713F"/>
    <w:rsid w:val="00B1121C"/>
    <w:rsid w:val="00B25B65"/>
    <w:rsid w:val="00B2770A"/>
    <w:rsid w:val="00B314AD"/>
    <w:rsid w:val="00B373D7"/>
    <w:rsid w:val="00B7255A"/>
    <w:rsid w:val="00B75BF6"/>
    <w:rsid w:val="00B7639D"/>
    <w:rsid w:val="00BA1F7B"/>
    <w:rsid w:val="00BB58AF"/>
    <w:rsid w:val="00BE7C30"/>
    <w:rsid w:val="00C055BF"/>
    <w:rsid w:val="00C0756D"/>
    <w:rsid w:val="00C2226A"/>
    <w:rsid w:val="00C7052C"/>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287E"/>
    <w:rsid w:val="00E66197"/>
    <w:rsid w:val="00EB5BA5"/>
    <w:rsid w:val="00EF4195"/>
    <w:rsid w:val="00F202C3"/>
    <w:rsid w:val="00F23D94"/>
    <w:rsid w:val="00F31093"/>
    <w:rsid w:val="00F412AF"/>
    <w:rsid w:val="00F43667"/>
    <w:rsid w:val="00F447A7"/>
    <w:rsid w:val="00F467A2"/>
    <w:rsid w:val="00F86988"/>
    <w:rsid w:val="00FA1BDF"/>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
    <w:name w:val="Plain Table 2"/>
    <w:basedOn w:val="TableNormal"/>
    <w:uiPriority w:val="42"/>
    <w:rsid w:val="00F86988"/>
    <w:rPr>
      <w:rFonts w:asciiTheme="minorHAnsi" w:eastAsiaTheme="minorHAnsi" w:hAnsiTheme="minorHAnsi" w:cstheme="minorBidi"/>
      <w:sz w:val="22"/>
      <w:szCs w:val="22"/>
      <w:lang w:val="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F8698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
    <w:name w:val="Plain Table 2"/>
    <w:basedOn w:val="TableNormal"/>
    <w:uiPriority w:val="42"/>
    <w:rsid w:val="00F86988"/>
    <w:rPr>
      <w:rFonts w:asciiTheme="minorHAnsi" w:eastAsiaTheme="minorHAnsi" w:hAnsiTheme="minorHAnsi" w:cstheme="minorBidi"/>
      <w:sz w:val="22"/>
      <w:szCs w:val="22"/>
      <w:lang w:val="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F869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49A93-3337-4982-B7AA-68E6DB707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9</Pages>
  <Words>4184</Words>
  <Characters>24305</Characters>
  <Application>Microsoft Office Word</Application>
  <DocSecurity>0</DocSecurity>
  <Lines>544</Lines>
  <Paragraphs>253</Paragraphs>
  <ScaleCrop>false</ScaleCrop>
  <HeadingPairs>
    <vt:vector size="2" baseType="variant">
      <vt:variant>
        <vt:lpstr>Title</vt:lpstr>
      </vt:variant>
      <vt:variant>
        <vt:i4>1</vt:i4>
      </vt:variant>
    </vt:vector>
  </HeadingPairs>
  <TitlesOfParts>
    <vt:vector size="1" baseType="lpstr">
      <vt:lpstr>MJAS Vol 23 No 2 (2019)</vt:lpstr>
    </vt:vector>
  </TitlesOfParts>
  <Company>UKM</Company>
  <LinksUpToDate>false</LinksUpToDate>
  <CharactersWithSpaces>28335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2 (2019)</dc:title>
  <dc:creator>Harun Hj Hamzah</dc:creator>
  <cp:lastModifiedBy>Harun Hamzah</cp:lastModifiedBy>
  <cp:revision>13</cp:revision>
  <cp:lastPrinted>2019-04-22T03:31:00Z</cp:lastPrinted>
  <dcterms:created xsi:type="dcterms:W3CDTF">2019-04-15T01:11:00Z</dcterms:created>
  <dcterms:modified xsi:type="dcterms:W3CDTF">2019-04-22T03:31:00Z</dcterms:modified>
</cp:coreProperties>
</file>