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EF3436" w:rsidRPr="00EF3436" w:rsidRDefault="00EF3436" w:rsidP="00EF3436">
      <w:pPr>
        <w:spacing w:after="0" w:line="240" w:lineRule="auto"/>
        <w:jc w:val="center"/>
        <w:outlineLvl w:val="0"/>
        <w:rPr>
          <w:rFonts w:ascii="Times New Roman" w:hAnsi="Times New Roman"/>
          <w:sz w:val="28"/>
        </w:rPr>
      </w:pPr>
      <w:r w:rsidRPr="00EF3436">
        <w:rPr>
          <w:rFonts w:ascii="Times New Roman" w:hAnsi="Times New Roman"/>
          <w:sz w:val="28"/>
        </w:rPr>
        <w:t>SYNTHESIS AND MOLECULAR DOCKING OF 2,4,5-TRISUBSTITUTED-1,3-THIAZOLE DERIVATIVES AS ANTIBACTERIAL AGENTS</w:t>
      </w:r>
    </w:p>
    <w:p w:rsidR="00EF3436" w:rsidRPr="00EF3436" w:rsidRDefault="00EF3436" w:rsidP="00EF3436">
      <w:pPr>
        <w:spacing w:after="0" w:line="240" w:lineRule="auto"/>
        <w:jc w:val="center"/>
        <w:outlineLvl w:val="0"/>
        <w:rPr>
          <w:rFonts w:ascii="Times New Roman" w:hAnsi="Times New Roman"/>
          <w:b/>
          <w:sz w:val="24"/>
        </w:rPr>
      </w:pPr>
    </w:p>
    <w:p w:rsidR="00EF3436" w:rsidRPr="00EF3436" w:rsidRDefault="00EF3436" w:rsidP="00EF3436">
      <w:pPr>
        <w:spacing w:after="0" w:line="240" w:lineRule="auto"/>
        <w:jc w:val="center"/>
        <w:outlineLvl w:val="0"/>
        <w:rPr>
          <w:rFonts w:ascii="Times New Roman" w:hAnsi="Times New Roman"/>
          <w:sz w:val="24"/>
          <w:lang w:val="ms-MY"/>
        </w:rPr>
      </w:pPr>
      <w:r w:rsidRPr="00EF3436">
        <w:rPr>
          <w:rFonts w:ascii="Times New Roman" w:hAnsi="Times New Roman"/>
          <w:sz w:val="24"/>
        </w:rPr>
        <w:t>(</w:t>
      </w:r>
      <w:r w:rsidRPr="00EF3436">
        <w:rPr>
          <w:rFonts w:ascii="Times New Roman" w:hAnsi="Times New Roman"/>
          <w:sz w:val="24"/>
          <w:lang w:val="ms-MY"/>
        </w:rPr>
        <w:t xml:space="preserve">Sintesis dan Penyatuan Molekul </w:t>
      </w:r>
      <w:r>
        <w:rPr>
          <w:rFonts w:ascii="Times New Roman" w:hAnsi="Times New Roman"/>
          <w:sz w:val="24"/>
          <w:lang w:val="ms-MY"/>
        </w:rPr>
        <w:t>Terbitan 1,3-Tiazol Berpenggantian-2,4,</w:t>
      </w:r>
      <w:r w:rsidRPr="00EF3436">
        <w:rPr>
          <w:rFonts w:ascii="Times New Roman" w:hAnsi="Times New Roman"/>
          <w:sz w:val="24"/>
          <w:lang w:val="ms-MY"/>
        </w:rPr>
        <w:t>5</w:t>
      </w:r>
      <w:r>
        <w:rPr>
          <w:rFonts w:ascii="Times New Roman" w:hAnsi="Times New Roman"/>
          <w:sz w:val="24"/>
          <w:lang w:val="ms-MY"/>
        </w:rPr>
        <w:t xml:space="preserve"> </w:t>
      </w:r>
      <w:r w:rsidRPr="00EF3436">
        <w:rPr>
          <w:rFonts w:ascii="Times New Roman" w:hAnsi="Times New Roman"/>
          <w:sz w:val="24"/>
          <w:lang w:val="ms-MY"/>
        </w:rPr>
        <w:t>Sebagai Agen Antibakteria</w:t>
      </w:r>
      <w:r w:rsidRPr="00EF3436">
        <w:rPr>
          <w:rFonts w:ascii="Times New Roman" w:hAnsi="Times New Roman"/>
          <w:sz w:val="24"/>
        </w:rPr>
        <w:t>)</w:t>
      </w:r>
    </w:p>
    <w:p w:rsidR="00EF3436" w:rsidRPr="00EF3436" w:rsidRDefault="00EF3436" w:rsidP="00EF3436">
      <w:pPr>
        <w:spacing w:after="0" w:line="240" w:lineRule="auto"/>
        <w:jc w:val="center"/>
        <w:outlineLvl w:val="0"/>
        <w:rPr>
          <w:rFonts w:ascii="Times New Roman" w:hAnsi="Times New Roman"/>
          <w:b/>
          <w:sz w:val="20"/>
          <w:szCs w:val="20"/>
        </w:rPr>
      </w:pPr>
    </w:p>
    <w:p w:rsidR="00EF3436" w:rsidRPr="00EF3436" w:rsidRDefault="00EF3436" w:rsidP="00EF3436">
      <w:pPr>
        <w:spacing w:after="0" w:line="240" w:lineRule="auto"/>
        <w:jc w:val="center"/>
        <w:outlineLvl w:val="0"/>
        <w:rPr>
          <w:rFonts w:ascii="Times New Roman" w:hAnsi="Times New Roman"/>
          <w:sz w:val="20"/>
          <w:szCs w:val="20"/>
        </w:rPr>
      </w:pPr>
      <w:r w:rsidRPr="00EF3436">
        <w:rPr>
          <w:rFonts w:ascii="Times New Roman" w:hAnsi="Times New Roman"/>
          <w:sz w:val="20"/>
          <w:szCs w:val="20"/>
        </w:rPr>
        <w:t>Iswatun Hasanah Abdullah Ripain</w:t>
      </w:r>
      <w:r w:rsidRPr="00EF3436">
        <w:rPr>
          <w:rFonts w:ascii="Times New Roman" w:hAnsi="Times New Roman"/>
          <w:sz w:val="20"/>
          <w:szCs w:val="20"/>
          <w:vertAlign w:val="superscript"/>
        </w:rPr>
        <w:t>1</w:t>
      </w:r>
      <w:r w:rsidRPr="00EF3436">
        <w:rPr>
          <w:rFonts w:ascii="Times New Roman" w:hAnsi="Times New Roman"/>
          <w:sz w:val="20"/>
          <w:szCs w:val="20"/>
        </w:rPr>
        <w:t>, Norashikin Roslan</w:t>
      </w:r>
      <w:r w:rsidRPr="00EF3436">
        <w:rPr>
          <w:rFonts w:ascii="Times New Roman" w:hAnsi="Times New Roman"/>
          <w:sz w:val="20"/>
          <w:szCs w:val="20"/>
          <w:vertAlign w:val="superscript"/>
        </w:rPr>
        <w:t>1</w:t>
      </w:r>
      <w:r w:rsidRPr="00EF3436">
        <w:rPr>
          <w:rFonts w:ascii="Times New Roman" w:hAnsi="Times New Roman"/>
          <w:sz w:val="20"/>
          <w:szCs w:val="20"/>
        </w:rPr>
        <w:t>, Nurul Shazana Norshahimi</w:t>
      </w:r>
      <w:r w:rsidRPr="00EF3436">
        <w:rPr>
          <w:rFonts w:ascii="Times New Roman" w:hAnsi="Times New Roman"/>
          <w:sz w:val="20"/>
          <w:szCs w:val="20"/>
          <w:vertAlign w:val="superscript"/>
        </w:rPr>
        <w:t>1</w:t>
      </w:r>
      <w:r w:rsidRPr="00EF3436">
        <w:rPr>
          <w:rFonts w:ascii="Times New Roman" w:hAnsi="Times New Roman"/>
          <w:sz w:val="20"/>
          <w:szCs w:val="20"/>
        </w:rPr>
        <w:t>,</w:t>
      </w:r>
      <w:r>
        <w:rPr>
          <w:rFonts w:ascii="Times New Roman" w:hAnsi="Times New Roman"/>
          <w:sz w:val="20"/>
          <w:szCs w:val="20"/>
        </w:rPr>
        <w:t xml:space="preserve"> </w:t>
      </w:r>
      <w:r w:rsidRPr="00EF3436">
        <w:rPr>
          <w:rFonts w:ascii="Times New Roman" w:hAnsi="Times New Roman"/>
          <w:sz w:val="20"/>
          <w:szCs w:val="20"/>
        </w:rPr>
        <w:t>Siti Salwa Mohamed Salleh</w:t>
      </w:r>
      <w:r w:rsidRPr="00EF3436">
        <w:rPr>
          <w:rFonts w:ascii="Times New Roman" w:hAnsi="Times New Roman"/>
          <w:sz w:val="20"/>
          <w:szCs w:val="20"/>
          <w:vertAlign w:val="superscript"/>
        </w:rPr>
        <w:t>1</w:t>
      </w:r>
      <w:r w:rsidRPr="00EF3436">
        <w:rPr>
          <w:rFonts w:ascii="Times New Roman" w:hAnsi="Times New Roman"/>
          <w:sz w:val="20"/>
          <w:szCs w:val="20"/>
        </w:rPr>
        <w:t>, Noraslinda Muhamad Bunnori</w:t>
      </w:r>
      <w:r w:rsidRPr="00EF3436">
        <w:rPr>
          <w:rFonts w:ascii="Times New Roman" w:hAnsi="Times New Roman"/>
          <w:sz w:val="20"/>
          <w:szCs w:val="20"/>
          <w:vertAlign w:val="superscript"/>
        </w:rPr>
        <w:t>2</w:t>
      </w:r>
      <w:r w:rsidRPr="00EF3436">
        <w:rPr>
          <w:rFonts w:ascii="Times New Roman" w:hAnsi="Times New Roman"/>
          <w:sz w:val="20"/>
          <w:szCs w:val="20"/>
        </w:rPr>
        <w:t>, Nurziana Ngah</w:t>
      </w:r>
      <w:r w:rsidRPr="00EF3436">
        <w:rPr>
          <w:rFonts w:ascii="Times New Roman" w:hAnsi="Times New Roman"/>
          <w:sz w:val="20"/>
          <w:szCs w:val="20"/>
          <w:vertAlign w:val="superscript"/>
        </w:rPr>
        <w:t>1</w:t>
      </w:r>
      <w:r w:rsidRPr="00EF3436">
        <w:rPr>
          <w:rFonts w:ascii="Times New Roman" w:hAnsi="Times New Roman"/>
          <w:sz w:val="20"/>
          <w:szCs w:val="20"/>
        </w:rPr>
        <w:t>*</w:t>
      </w:r>
    </w:p>
    <w:p w:rsidR="00EF3436" w:rsidRPr="00EF3436" w:rsidRDefault="00EF3436" w:rsidP="00EF3436">
      <w:pPr>
        <w:spacing w:after="0" w:line="240" w:lineRule="auto"/>
        <w:jc w:val="center"/>
        <w:outlineLvl w:val="0"/>
        <w:rPr>
          <w:rFonts w:ascii="Times New Roman" w:hAnsi="Times New Roman"/>
          <w:b/>
          <w:sz w:val="18"/>
          <w:szCs w:val="18"/>
        </w:rPr>
      </w:pPr>
    </w:p>
    <w:p w:rsidR="00EF3436" w:rsidRPr="00EF3436" w:rsidRDefault="00EF3436" w:rsidP="00EF3436">
      <w:pPr>
        <w:spacing w:after="0" w:line="240" w:lineRule="auto"/>
        <w:jc w:val="center"/>
        <w:outlineLvl w:val="0"/>
        <w:rPr>
          <w:rFonts w:ascii="Times New Roman" w:hAnsi="Times New Roman"/>
          <w:bCs/>
          <w:i/>
          <w:iCs/>
          <w:sz w:val="18"/>
          <w:szCs w:val="18"/>
        </w:rPr>
      </w:pPr>
      <w:r w:rsidRPr="00EF3436">
        <w:rPr>
          <w:rFonts w:ascii="Times New Roman" w:hAnsi="Times New Roman"/>
          <w:bCs/>
          <w:i/>
          <w:iCs/>
          <w:sz w:val="18"/>
          <w:szCs w:val="18"/>
          <w:vertAlign w:val="superscript"/>
        </w:rPr>
        <w:t>1</w:t>
      </w:r>
      <w:r w:rsidRPr="00EF3436">
        <w:rPr>
          <w:rFonts w:ascii="Times New Roman" w:hAnsi="Times New Roman"/>
          <w:bCs/>
          <w:i/>
          <w:iCs/>
          <w:sz w:val="18"/>
          <w:szCs w:val="18"/>
        </w:rPr>
        <w:t xml:space="preserve">Department of </w:t>
      </w:r>
      <w:r>
        <w:rPr>
          <w:rFonts w:ascii="Times New Roman" w:hAnsi="Times New Roman"/>
          <w:bCs/>
          <w:i/>
          <w:iCs/>
          <w:sz w:val="18"/>
          <w:szCs w:val="18"/>
        </w:rPr>
        <w:t>Chemistry, Kulliyyah of Science</w:t>
      </w:r>
    </w:p>
    <w:p w:rsidR="00EF3436" w:rsidRPr="00EF3436" w:rsidRDefault="00EF3436" w:rsidP="00EF3436">
      <w:pPr>
        <w:spacing w:after="0" w:line="240" w:lineRule="auto"/>
        <w:jc w:val="center"/>
        <w:outlineLvl w:val="0"/>
        <w:rPr>
          <w:rFonts w:ascii="Times New Roman" w:hAnsi="Times New Roman"/>
          <w:bCs/>
          <w:i/>
          <w:iCs/>
          <w:sz w:val="18"/>
          <w:szCs w:val="18"/>
        </w:rPr>
      </w:pPr>
      <w:r w:rsidRPr="00EF3436">
        <w:rPr>
          <w:rFonts w:ascii="Times New Roman" w:hAnsi="Times New Roman"/>
          <w:bCs/>
          <w:i/>
          <w:iCs/>
          <w:sz w:val="18"/>
          <w:szCs w:val="18"/>
          <w:vertAlign w:val="superscript"/>
        </w:rPr>
        <w:t>2</w:t>
      </w:r>
      <w:r w:rsidRPr="00EF3436">
        <w:rPr>
          <w:rFonts w:ascii="Times New Roman" w:hAnsi="Times New Roman"/>
          <w:bCs/>
          <w:i/>
          <w:iCs/>
          <w:sz w:val="18"/>
          <w:szCs w:val="18"/>
        </w:rPr>
        <w:t>Department of Biot</w:t>
      </w:r>
      <w:r>
        <w:rPr>
          <w:rFonts w:ascii="Times New Roman" w:hAnsi="Times New Roman"/>
          <w:bCs/>
          <w:i/>
          <w:iCs/>
          <w:sz w:val="18"/>
          <w:szCs w:val="18"/>
        </w:rPr>
        <w:t>echnology, Kulliyyah of Science</w:t>
      </w:r>
    </w:p>
    <w:p w:rsidR="00EF3436" w:rsidRPr="00EF3436" w:rsidRDefault="00EF3436" w:rsidP="00EF3436">
      <w:pPr>
        <w:spacing w:after="0" w:line="240" w:lineRule="auto"/>
        <w:jc w:val="center"/>
        <w:outlineLvl w:val="0"/>
        <w:rPr>
          <w:rFonts w:ascii="Times New Roman" w:hAnsi="Times New Roman"/>
          <w:bCs/>
          <w:i/>
          <w:iCs/>
          <w:sz w:val="18"/>
          <w:szCs w:val="18"/>
        </w:rPr>
      </w:pPr>
      <w:r w:rsidRPr="00EF3436">
        <w:rPr>
          <w:rFonts w:ascii="Times New Roman" w:hAnsi="Times New Roman"/>
          <w:bCs/>
          <w:i/>
          <w:iCs/>
          <w:sz w:val="18"/>
          <w:szCs w:val="18"/>
        </w:rPr>
        <w:t>International I</w:t>
      </w:r>
      <w:r>
        <w:rPr>
          <w:rFonts w:ascii="Times New Roman" w:hAnsi="Times New Roman"/>
          <w:bCs/>
          <w:i/>
          <w:iCs/>
          <w:sz w:val="18"/>
          <w:szCs w:val="18"/>
        </w:rPr>
        <w:t>slamic University Malaysia</w:t>
      </w:r>
      <w:r w:rsidRPr="00EF3436">
        <w:rPr>
          <w:rFonts w:ascii="Times New Roman" w:hAnsi="Times New Roman"/>
          <w:bCs/>
          <w:i/>
          <w:iCs/>
          <w:sz w:val="18"/>
          <w:szCs w:val="18"/>
        </w:rPr>
        <w:t>, Kuantan Campus,</w:t>
      </w:r>
      <w:r>
        <w:rPr>
          <w:rFonts w:ascii="Times New Roman" w:hAnsi="Times New Roman"/>
          <w:bCs/>
          <w:i/>
          <w:iCs/>
          <w:sz w:val="18"/>
          <w:szCs w:val="18"/>
        </w:rPr>
        <w:t xml:space="preserve"> </w:t>
      </w:r>
      <w:r w:rsidRPr="00EF3436">
        <w:rPr>
          <w:rFonts w:ascii="Times New Roman" w:hAnsi="Times New Roman"/>
          <w:bCs/>
          <w:i/>
          <w:iCs/>
          <w:sz w:val="18"/>
          <w:szCs w:val="18"/>
        </w:rPr>
        <w:t>Bandar Indera Mahkota, 25200 Kuantan, Pahang, Malaysia</w:t>
      </w:r>
    </w:p>
    <w:p w:rsidR="00EF3436" w:rsidRPr="00EF3436" w:rsidRDefault="00EF3436" w:rsidP="00EF3436">
      <w:pPr>
        <w:spacing w:after="0" w:line="240" w:lineRule="auto"/>
        <w:jc w:val="center"/>
        <w:outlineLvl w:val="0"/>
        <w:rPr>
          <w:rFonts w:ascii="Times New Roman" w:hAnsi="Times New Roman"/>
          <w:b/>
          <w:sz w:val="18"/>
          <w:szCs w:val="18"/>
        </w:rPr>
      </w:pPr>
    </w:p>
    <w:p w:rsidR="00EF3436" w:rsidRPr="00EF3436" w:rsidRDefault="00EF3436" w:rsidP="00EF3436">
      <w:pPr>
        <w:spacing w:after="0" w:line="240" w:lineRule="auto"/>
        <w:jc w:val="center"/>
        <w:outlineLvl w:val="0"/>
        <w:rPr>
          <w:rFonts w:ascii="Times New Roman" w:hAnsi="Times New Roman"/>
          <w:i/>
          <w:sz w:val="18"/>
        </w:rPr>
      </w:pPr>
      <w:r w:rsidRPr="00EF3436">
        <w:rPr>
          <w:rFonts w:ascii="Times New Roman" w:hAnsi="Times New Roman"/>
          <w:i/>
          <w:sz w:val="18"/>
        </w:rPr>
        <w:t xml:space="preserve">*Corresponding author: </w:t>
      </w:r>
      <w:r>
        <w:rPr>
          <w:rFonts w:ascii="Times New Roman" w:hAnsi="Times New Roman"/>
          <w:i/>
          <w:sz w:val="18"/>
        </w:rPr>
        <w:t xml:space="preserve"> </w:t>
      </w:r>
      <w:r w:rsidRPr="00EF3436">
        <w:rPr>
          <w:rFonts w:ascii="Times New Roman" w:hAnsi="Times New Roman"/>
          <w:i/>
          <w:sz w:val="18"/>
        </w:rPr>
        <w:t>nurziana@iium.edu.my</w:t>
      </w:r>
    </w:p>
    <w:p w:rsidR="00AC0033" w:rsidRPr="00F447A7" w:rsidRDefault="00AC0033" w:rsidP="00EF3436">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F3436">
        <w:rPr>
          <w:rFonts w:ascii="Times New Roman" w:hAnsi="Times New Roman"/>
          <w:noProof/>
          <w:sz w:val="18"/>
          <w:szCs w:val="18"/>
          <w:lang w:bidi="ar-SA"/>
        </w:rPr>
        <w:t>19 August 2018</w:t>
      </w:r>
      <w:r>
        <w:rPr>
          <w:rFonts w:ascii="Times New Roman" w:hAnsi="Times New Roman"/>
          <w:noProof/>
          <w:sz w:val="18"/>
          <w:szCs w:val="18"/>
          <w:lang w:bidi="ar-SA"/>
        </w:rPr>
        <w:t xml:space="preserve">; Accepted: </w:t>
      </w:r>
      <w:r w:rsidR="00EF3436">
        <w:rPr>
          <w:rFonts w:ascii="Times New Roman" w:hAnsi="Times New Roman"/>
          <w:noProof/>
          <w:sz w:val="18"/>
          <w:szCs w:val="18"/>
          <w:lang w:bidi="ar-SA"/>
        </w:rPr>
        <w:t>18 February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F3436" w:rsidRPr="00F9217D" w:rsidRDefault="00EF3436" w:rsidP="00EF3436">
      <w:pPr>
        <w:spacing w:after="0" w:line="240" w:lineRule="auto"/>
        <w:jc w:val="both"/>
        <w:outlineLvl w:val="0"/>
        <w:rPr>
          <w:rFonts w:ascii="Times New Roman" w:hAnsi="Times New Roman"/>
          <w:sz w:val="18"/>
          <w:szCs w:val="18"/>
        </w:rPr>
      </w:pPr>
      <w:r w:rsidRPr="00F9217D">
        <w:rPr>
          <w:rFonts w:ascii="Times New Roman" w:hAnsi="Times New Roman"/>
          <w:sz w:val="18"/>
          <w:szCs w:val="18"/>
        </w:rPr>
        <w:t>The emergence of antibiotic resistance against bacterial strains has attracted great interest in the discovery and development of new antibacterial agents. Thiazole derivatives have been widely used in the biological as well as pharmacological fields and their efficiency as pharmaceutical drugs are well established. In this study, a series of thiazole derivatives were synthesized in reaction between 3-chloroacetyl acetone and ammonium thiocyanate followed by incorporating selected amines in one-pot synthesis manner. The compounds were structurally characterized by Fourier Transform Infrared (FTIR), Proton Nuclear Magnetic Resonance (</w:t>
      </w:r>
      <w:r w:rsidRPr="00F9217D">
        <w:rPr>
          <w:rFonts w:ascii="Times New Roman" w:hAnsi="Times New Roman"/>
          <w:sz w:val="18"/>
          <w:szCs w:val="18"/>
          <w:vertAlign w:val="superscript"/>
        </w:rPr>
        <w:t>1</w:t>
      </w:r>
      <w:r w:rsidRPr="00F9217D">
        <w:rPr>
          <w:rFonts w:ascii="Times New Roman" w:hAnsi="Times New Roman"/>
          <w:sz w:val="18"/>
          <w:szCs w:val="18"/>
        </w:rPr>
        <w:t>H NMR), Ultraviolet-Visible (UV-Vis) and Gas Chromatography-Mass Spectrometry (GC-MS). Their antibacterial properties were screened using disc diffusion technique against selected Gram-positive (</w:t>
      </w:r>
      <w:r w:rsidRPr="00F9217D">
        <w:rPr>
          <w:rFonts w:ascii="Times New Roman" w:hAnsi="Times New Roman"/>
          <w:i/>
          <w:iCs/>
          <w:sz w:val="18"/>
          <w:szCs w:val="18"/>
        </w:rPr>
        <w:t>Bacillus cereus</w:t>
      </w:r>
      <w:r w:rsidRPr="00F9217D">
        <w:rPr>
          <w:rFonts w:ascii="Times New Roman" w:hAnsi="Times New Roman"/>
          <w:sz w:val="18"/>
          <w:szCs w:val="18"/>
        </w:rPr>
        <w:t xml:space="preserve"> and </w:t>
      </w:r>
      <w:r w:rsidRPr="00F9217D">
        <w:rPr>
          <w:rFonts w:ascii="Times New Roman" w:hAnsi="Times New Roman"/>
          <w:i/>
          <w:iCs/>
          <w:sz w:val="18"/>
          <w:szCs w:val="18"/>
        </w:rPr>
        <w:t>Staphylococcus epidermidis</w:t>
      </w:r>
      <w:r w:rsidRPr="00F9217D">
        <w:rPr>
          <w:rFonts w:ascii="Times New Roman" w:hAnsi="Times New Roman"/>
          <w:sz w:val="18"/>
          <w:szCs w:val="18"/>
        </w:rPr>
        <w:t>) as well as Gram-negative bacteria (</w:t>
      </w:r>
      <w:r w:rsidRPr="00F9217D">
        <w:rPr>
          <w:rFonts w:ascii="Times New Roman" w:hAnsi="Times New Roman"/>
          <w:i/>
          <w:iCs/>
          <w:sz w:val="18"/>
          <w:szCs w:val="18"/>
        </w:rPr>
        <w:t>Escherichia coli</w:t>
      </w:r>
      <w:r w:rsidRPr="00F9217D">
        <w:rPr>
          <w:rFonts w:ascii="Times New Roman" w:hAnsi="Times New Roman"/>
          <w:sz w:val="18"/>
          <w:szCs w:val="18"/>
        </w:rPr>
        <w:t xml:space="preserve"> and </w:t>
      </w:r>
      <w:r w:rsidRPr="00F9217D">
        <w:rPr>
          <w:rFonts w:ascii="Times New Roman" w:hAnsi="Times New Roman"/>
          <w:i/>
          <w:iCs/>
          <w:sz w:val="18"/>
          <w:szCs w:val="18"/>
        </w:rPr>
        <w:t>Pseudomonas aeruginosa</w:t>
      </w:r>
      <w:r w:rsidRPr="00F9217D">
        <w:rPr>
          <w:rFonts w:ascii="Times New Roman" w:hAnsi="Times New Roman"/>
          <w:sz w:val="18"/>
          <w:szCs w:val="18"/>
        </w:rPr>
        <w:t xml:space="preserve">) with </w:t>
      </w:r>
      <w:r w:rsidRPr="00F9217D">
        <w:rPr>
          <w:rFonts w:ascii="Times New Roman" w:hAnsi="Times New Roman"/>
          <w:b/>
          <w:bCs/>
          <w:sz w:val="18"/>
          <w:szCs w:val="18"/>
        </w:rPr>
        <w:t>T3</w:t>
      </w:r>
      <w:r w:rsidRPr="00F9217D">
        <w:rPr>
          <w:rFonts w:ascii="Times New Roman" w:hAnsi="Times New Roman"/>
          <w:sz w:val="18"/>
          <w:szCs w:val="18"/>
        </w:rPr>
        <w:t xml:space="preserve"> exhibited the most potent antibacterial activity.</w:t>
      </w:r>
      <w:r w:rsidRPr="00F9217D">
        <w:rPr>
          <w:rFonts w:ascii="Times New Roman" w:hAnsi="Times New Roman"/>
          <w:i/>
          <w:iCs/>
          <w:sz w:val="18"/>
          <w:szCs w:val="18"/>
        </w:rPr>
        <w:t xml:space="preserve"> </w:t>
      </w:r>
      <w:r w:rsidRPr="00F9217D">
        <w:rPr>
          <w:rFonts w:ascii="Times New Roman" w:hAnsi="Times New Roman"/>
          <w:sz w:val="18"/>
          <w:szCs w:val="18"/>
        </w:rPr>
        <w:t xml:space="preserve">Molecular docking studies were also performed against Glucosamine-6-phosphate (GlcN-6-P) synthase which is known as the essential building block of most bacteria. The docking result displayed that </w:t>
      </w:r>
      <w:r w:rsidRPr="00F9217D">
        <w:rPr>
          <w:rFonts w:ascii="Times New Roman" w:hAnsi="Times New Roman"/>
          <w:b/>
          <w:bCs/>
          <w:sz w:val="18"/>
          <w:szCs w:val="18"/>
        </w:rPr>
        <w:t>T3</w:t>
      </w:r>
      <w:r w:rsidRPr="00F9217D">
        <w:rPr>
          <w:rFonts w:ascii="Times New Roman" w:hAnsi="Times New Roman"/>
          <w:sz w:val="18"/>
          <w:szCs w:val="18"/>
        </w:rPr>
        <w:t xml:space="preserve"> exhibited the minimum binding energy of -7.09 kcal mol</w:t>
      </w:r>
      <w:r w:rsidRPr="00F9217D">
        <w:rPr>
          <w:rFonts w:ascii="Times New Roman" w:hAnsi="Times New Roman"/>
          <w:sz w:val="18"/>
          <w:szCs w:val="18"/>
          <w:vertAlign w:val="superscript"/>
        </w:rPr>
        <w:t>-1</w:t>
      </w:r>
      <w:r w:rsidRPr="00F9217D">
        <w:rPr>
          <w:rFonts w:ascii="Times New Roman" w:hAnsi="Times New Roman"/>
          <w:sz w:val="18"/>
          <w:szCs w:val="18"/>
        </w:rPr>
        <w:t xml:space="preserve"> as compared to </w:t>
      </w:r>
      <w:r w:rsidRPr="00F9217D">
        <w:rPr>
          <w:rFonts w:ascii="Times New Roman" w:hAnsi="Times New Roman"/>
          <w:b/>
          <w:bCs/>
          <w:sz w:val="18"/>
          <w:szCs w:val="18"/>
        </w:rPr>
        <w:t>T1</w:t>
      </w:r>
      <w:r w:rsidRPr="00F9217D">
        <w:rPr>
          <w:rFonts w:ascii="Times New Roman" w:hAnsi="Times New Roman"/>
          <w:sz w:val="18"/>
          <w:szCs w:val="18"/>
        </w:rPr>
        <w:t xml:space="preserve"> and </w:t>
      </w:r>
      <w:r w:rsidRPr="00F9217D">
        <w:rPr>
          <w:rFonts w:ascii="Times New Roman" w:hAnsi="Times New Roman"/>
          <w:b/>
          <w:bCs/>
          <w:sz w:val="18"/>
          <w:szCs w:val="18"/>
        </w:rPr>
        <w:t>T2</w:t>
      </w:r>
      <w:r w:rsidRPr="00F9217D">
        <w:rPr>
          <w:rFonts w:ascii="Times New Roman" w:hAnsi="Times New Roman"/>
          <w:sz w:val="18"/>
          <w:szCs w:val="18"/>
        </w:rPr>
        <w:t xml:space="preserve"> with -6.49 and -6.76 kcal mol</w:t>
      </w:r>
      <w:r w:rsidRPr="00F9217D">
        <w:rPr>
          <w:rFonts w:ascii="Times New Roman" w:hAnsi="Times New Roman"/>
          <w:sz w:val="18"/>
          <w:szCs w:val="18"/>
          <w:vertAlign w:val="superscript"/>
        </w:rPr>
        <w:t>-1</w:t>
      </w:r>
      <w:r w:rsidRPr="00F9217D">
        <w:rPr>
          <w:rFonts w:ascii="Times New Roman" w:hAnsi="Times New Roman"/>
          <w:sz w:val="18"/>
          <w:szCs w:val="18"/>
        </w:rPr>
        <w:t xml:space="preserve">, respectively which is in agreement with antibacterial result. The output of this preliminary study will contribute in structural enhancement in drug discovery.  </w:t>
      </w:r>
    </w:p>
    <w:p w:rsidR="00EF3436" w:rsidRPr="00F9217D" w:rsidRDefault="00EF3436" w:rsidP="00EF3436">
      <w:pPr>
        <w:spacing w:after="0" w:line="240" w:lineRule="auto"/>
        <w:jc w:val="both"/>
        <w:outlineLvl w:val="0"/>
        <w:rPr>
          <w:rFonts w:ascii="Times New Roman" w:hAnsi="Times New Roman"/>
          <w:sz w:val="18"/>
          <w:szCs w:val="18"/>
        </w:rPr>
      </w:pPr>
    </w:p>
    <w:p w:rsidR="00EF3436" w:rsidRPr="00F9217D" w:rsidRDefault="00EF3436" w:rsidP="00EF3436">
      <w:pPr>
        <w:spacing w:after="0" w:line="240" w:lineRule="auto"/>
        <w:jc w:val="both"/>
        <w:outlineLvl w:val="0"/>
        <w:rPr>
          <w:rFonts w:ascii="Times New Roman" w:hAnsi="Times New Roman"/>
        </w:rPr>
      </w:pPr>
      <w:r w:rsidRPr="00F9217D">
        <w:rPr>
          <w:rFonts w:ascii="Times New Roman" w:hAnsi="Times New Roman"/>
          <w:b/>
          <w:sz w:val="18"/>
          <w:szCs w:val="18"/>
        </w:rPr>
        <w:t>Keywords:</w:t>
      </w:r>
      <w:r>
        <w:rPr>
          <w:rFonts w:ascii="Times New Roman" w:hAnsi="Times New Roman"/>
          <w:bCs/>
          <w:szCs w:val="20"/>
        </w:rPr>
        <w:t xml:space="preserve">  </w:t>
      </w:r>
      <w:r w:rsidRPr="00F9217D">
        <w:rPr>
          <w:rFonts w:ascii="Times New Roman" w:hAnsi="Times New Roman"/>
          <w:bCs/>
          <w:sz w:val="18"/>
          <w:szCs w:val="18"/>
        </w:rPr>
        <w:t>thiazole derivatives, antibacterial, disc diffusion, molecular docking, GlcN-6-P synthase</w:t>
      </w:r>
      <w:r w:rsidRPr="00F9217D">
        <w:rPr>
          <w:rFonts w:ascii="Times New Roman" w:hAnsi="Times New Roman"/>
          <w:sz w:val="18"/>
          <w:szCs w:val="18"/>
        </w:rPr>
        <w:t xml:space="preserve"> </w:t>
      </w:r>
      <w:r w:rsidRPr="00F9217D">
        <w:rPr>
          <w:rFonts w:ascii="Times New Roman" w:hAnsi="Times New Roman"/>
        </w:rPr>
        <w:t xml:space="preserve"> </w:t>
      </w:r>
    </w:p>
    <w:p w:rsidR="00EF3436" w:rsidRPr="00F9217D" w:rsidRDefault="00EF3436" w:rsidP="00EF3436">
      <w:pPr>
        <w:spacing w:after="0" w:line="240" w:lineRule="auto"/>
        <w:jc w:val="center"/>
        <w:outlineLvl w:val="0"/>
        <w:rPr>
          <w:rFonts w:ascii="Times New Roman" w:hAnsi="Times New Roman"/>
          <w:b/>
          <w:sz w:val="18"/>
          <w:szCs w:val="18"/>
        </w:rPr>
      </w:pPr>
    </w:p>
    <w:p w:rsidR="00EF3436" w:rsidRPr="00F9217D" w:rsidRDefault="00EF3436" w:rsidP="00EF3436">
      <w:pPr>
        <w:spacing w:after="0" w:line="240" w:lineRule="auto"/>
        <w:jc w:val="center"/>
        <w:outlineLvl w:val="0"/>
        <w:rPr>
          <w:rFonts w:ascii="Times New Roman" w:hAnsi="Times New Roman"/>
          <w:b/>
          <w:sz w:val="18"/>
          <w:szCs w:val="18"/>
        </w:rPr>
      </w:pPr>
      <w:r w:rsidRPr="00F9217D">
        <w:rPr>
          <w:rFonts w:ascii="Times New Roman" w:hAnsi="Times New Roman"/>
          <w:b/>
          <w:sz w:val="18"/>
          <w:szCs w:val="18"/>
        </w:rPr>
        <w:t>Abstrak</w:t>
      </w:r>
    </w:p>
    <w:p w:rsidR="00EF3436" w:rsidRPr="00F9217D" w:rsidRDefault="00EF3436" w:rsidP="00EF3436">
      <w:pPr>
        <w:spacing w:after="0" w:line="240" w:lineRule="auto"/>
        <w:jc w:val="both"/>
        <w:outlineLvl w:val="0"/>
        <w:rPr>
          <w:rFonts w:ascii="Times New Roman" w:hAnsi="Times New Roman"/>
          <w:sz w:val="18"/>
          <w:szCs w:val="18"/>
          <w:lang w:val="ms-MY"/>
        </w:rPr>
      </w:pPr>
      <w:r w:rsidRPr="00F9217D">
        <w:rPr>
          <w:rFonts w:ascii="Times New Roman" w:hAnsi="Times New Roman"/>
          <w:sz w:val="18"/>
          <w:szCs w:val="18"/>
          <w:lang w:val="ms-MY"/>
        </w:rPr>
        <w:t xml:space="preserve">Kewujudan rintangan terhadap bakteria telah menarik minat dalam penemuan dan perkembangan agen antibakteria yang terkini. Terbitan tiazol telah digunakan dengan meluas dalam bidang biologi dan farmakologi di mana keberkesanannya sebagai ubat farmaseutikal telah ditemui. Dalam kajian ini, terbitan tiazol telah disintesis dengan menindakbalaskan </w:t>
      </w:r>
      <w:r w:rsidRPr="00F9217D">
        <w:rPr>
          <w:rFonts w:asciiTheme="majorBidi" w:hAnsiTheme="majorBidi" w:cstheme="majorBidi"/>
          <w:sz w:val="18"/>
          <w:szCs w:val="18"/>
          <w:lang w:val="ms-MY"/>
        </w:rPr>
        <w:t>α</w:t>
      </w:r>
      <w:r w:rsidRPr="00F9217D">
        <w:rPr>
          <w:rFonts w:ascii="Times New Roman" w:hAnsi="Times New Roman"/>
          <w:sz w:val="18"/>
          <w:szCs w:val="18"/>
          <w:lang w:val="ms-MY"/>
        </w:rPr>
        <w:t>-haloketon (3-kloroasetil aseton), ammonium tiosianat dan beberapa sebatian amina terpilih secara sintesi</w:t>
      </w:r>
      <w:r>
        <w:rPr>
          <w:rFonts w:ascii="Times New Roman" w:hAnsi="Times New Roman"/>
          <w:sz w:val="18"/>
          <w:szCs w:val="18"/>
          <w:lang w:val="ms-MY"/>
        </w:rPr>
        <w:t>s satu pot</w:t>
      </w:r>
      <w:r w:rsidRPr="00F9217D">
        <w:rPr>
          <w:rFonts w:ascii="Times New Roman" w:hAnsi="Times New Roman"/>
          <w:sz w:val="18"/>
          <w:szCs w:val="18"/>
          <w:lang w:val="ms-MY"/>
        </w:rPr>
        <w:t>. Produk tindak balas yang terhasil telah dicirikan dengan Transformasi Fourier-Inframerah (FTIR), Proton Resonans Magnet Nukleus (</w:t>
      </w:r>
      <w:r w:rsidRPr="00F9217D">
        <w:rPr>
          <w:rFonts w:ascii="Times New Roman" w:hAnsi="Times New Roman"/>
          <w:sz w:val="18"/>
          <w:szCs w:val="18"/>
          <w:vertAlign w:val="superscript"/>
          <w:lang w:val="ms-MY"/>
        </w:rPr>
        <w:t>1</w:t>
      </w:r>
      <w:r w:rsidRPr="00F9217D">
        <w:rPr>
          <w:rFonts w:ascii="Times New Roman" w:hAnsi="Times New Roman"/>
          <w:sz w:val="18"/>
          <w:szCs w:val="18"/>
          <w:lang w:val="ms-MY"/>
        </w:rPr>
        <w:t>H NMR), Ultralembayung-Sinar Nampak (UV-Vis) serta Kromatografi Gas-Spektrometer Jisim (GC-MS). Sifat antibakteria sebatian ini telah disaring menggunakan teknik serapan cakera terhadap bakteria Gram-positif (</w:t>
      </w:r>
      <w:r w:rsidRPr="00F9217D">
        <w:rPr>
          <w:rFonts w:ascii="Times New Roman" w:hAnsi="Times New Roman"/>
          <w:i/>
          <w:iCs/>
          <w:sz w:val="18"/>
          <w:szCs w:val="18"/>
          <w:lang w:val="ms-MY"/>
        </w:rPr>
        <w:t>Bacillus cereus</w:t>
      </w:r>
      <w:r w:rsidRPr="00F9217D">
        <w:rPr>
          <w:rFonts w:ascii="Times New Roman" w:hAnsi="Times New Roman"/>
          <w:sz w:val="18"/>
          <w:szCs w:val="18"/>
          <w:lang w:val="ms-MY"/>
        </w:rPr>
        <w:t xml:space="preserve"> dan </w:t>
      </w:r>
      <w:r w:rsidRPr="00F9217D">
        <w:rPr>
          <w:rFonts w:ascii="Times New Roman" w:hAnsi="Times New Roman"/>
          <w:i/>
          <w:iCs/>
          <w:sz w:val="18"/>
          <w:szCs w:val="18"/>
          <w:lang w:val="ms-MY"/>
        </w:rPr>
        <w:t>Staphylococcus epidermidis</w:t>
      </w:r>
      <w:r w:rsidRPr="00F9217D">
        <w:rPr>
          <w:rFonts w:ascii="Times New Roman" w:hAnsi="Times New Roman"/>
          <w:sz w:val="18"/>
          <w:szCs w:val="18"/>
          <w:lang w:val="ms-MY"/>
        </w:rPr>
        <w:t>) dan Gram-negatif (</w:t>
      </w:r>
      <w:r w:rsidRPr="00F9217D">
        <w:rPr>
          <w:rFonts w:ascii="Times New Roman" w:hAnsi="Times New Roman"/>
          <w:i/>
          <w:iCs/>
          <w:sz w:val="18"/>
          <w:szCs w:val="18"/>
          <w:lang w:val="ms-MY"/>
        </w:rPr>
        <w:t>Escherichia coli</w:t>
      </w:r>
      <w:r w:rsidRPr="00F9217D">
        <w:rPr>
          <w:rFonts w:ascii="Times New Roman" w:hAnsi="Times New Roman"/>
          <w:sz w:val="18"/>
          <w:szCs w:val="18"/>
          <w:lang w:val="ms-MY"/>
        </w:rPr>
        <w:t xml:space="preserve"> dan </w:t>
      </w:r>
      <w:r w:rsidRPr="00F9217D">
        <w:rPr>
          <w:rFonts w:ascii="Times New Roman" w:hAnsi="Times New Roman"/>
          <w:i/>
          <w:iCs/>
          <w:sz w:val="18"/>
          <w:szCs w:val="18"/>
          <w:lang w:val="ms-MY"/>
        </w:rPr>
        <w:t>Pseudomonas aeruginosa</w:t>
      </w:r>
      <w:r w:rsidRPr="00F9217D">
        <w:rPr>
          <w:rFonts w:ascii="Times New Roman" w:hAnsi="Times New Roman"/>
          <w:sz w:val="18"/>
          <w:szCs w:val="18"/>
          <w:lang w:val="ms-MY"/>
        </w:rPr>
        <w:t xml:space="preserve">) dengan </w:t>
      </w:r>
      <w:r w:rsidRPr="00F9217D">
        <w:rPr>
          <w:rFonts w:ascii="Times New Roman" w:hAnsi="Times New Roman"/>
          <w:b/>
          <w:bCs/>
          <w:sz w:val="18"/>
          <w:szCs w:val="18"/>
          <w:lang w:val="ms-MY"/>
        </w:rPr>
        <w:t>T3</w:t>
      </w:r>
      <w:r w:rsidRPr="00F9217D">
        <w:rPr>
          <w:rFonts w:ascii="Times New Roman" w:hAnsi="Times New Roman"/>
          <w:sz w:val="18"/>
          <w:szCs w:val="18"/>
          <w:lang w:val="ms-MY"/>
        </w:rPr>
        <w:t xml:space="preserve"> menunjukkan aktiviti antibakteria yang paling berkesan. Penyatuan molekul telah dilakukan terhadap enzim Glukosamina-6-fosfat sintase (GlcN-6-P) yang merupakan unsur binaan penting bagi kebanyakan bakteria. Merujuk kepada keputusan penyatuan molekul, </w:t>
      </w:r>
      <w:r w:rsidRPr="00F9217D">
        <w:rPr>
          <w:rFonts w:ascii="Times New Roman" w:hAnsi="Times New Roman"/>
          <w:b/>
          <w:bCs/>
          <w:sz w:val="18"/>
          <w:szCs w:val="18"/>
          <w:lang w:val="ms-MY"/>
        </w:rPr>
        <w:t>T3</w:t>
      </w:r>
      <w:r w:rsidRPr="00F9217D">
        <w:rPr>
          <w:rFonts w:ascii="Times New Roman" w:hAnsi="Times New Roman"/>
          <w:sz w:val="18"/>
          <w:szCs w:val="18"/>
          <w:lang w:val="ms-MY"/>
        </w:rPr>
        <w:t xml:space="preserve"> menunjukkan tenaga pengikatan yang paling minima iaitu -7.09 kcal mol</w:t>
      </w:r>
      <w:r w:rsidRPr="00F9217D">
        <w:rPr>
          <w:rFonts w:ascii="Times New Roman" w:hAnsi="Times New Roman"/>
          <w:sz w:val="18"/>
          <w:szCs w:val="18"/>
          <w:vertAlign w:val="superscript"/>
          <w:lang w:val="ms-MY"/>
        </w:rPr>
        <w:t>-1</w:t>
      </w:r>
      <w:r w:rsidRPr="00F9217D">
        <w:rPr>
          <w:rFonts w:ascii="Times New Roman" w:hAnsi="Times New Roman"/>
          <w:sz w:val="18"/>
          <w:szCs w:val="18"/>
          <w:lang w:val="ms-MY"/>
        </w:rPr>
        <w:t xml:space="preserve"> berbanding </w:t>
      </w:r>
      <w:r w:rsidRPr="00F9217D">
        <w:rPr>
          <w:rFonts w:ascii="Times New Roman" w:hAnsi="Times New Roman"/>
          <w:b/>
          <w:bCs/>
          <w:sz w:val="18"/>
          <w:szCs w:val="18"/>
          <w:lang w:val="ms-MY"/>
        </w:rPr>
        <w:t>T1</w:t>
      </w:r>
      <w:r w:rsidRPr="00F9217D">
        <w:rPr>
          <w:rFonts w:ascii="Times New Roman" w:hAnsi="Times New Roman"/>
          <w:sz w:val="18"/>
          <w:szCs w:val="18"/>
          <w:lang w:val="ms-MY"/>
        </w:rPr>
        <w:t xml:space="preserve"> dan </w:t>
      </w:r>
      <w:r w:rsidRPr="00F9217D">
        <w:rPr>
          <w:rFonts w:ascii="Times New Roman" w:hAnsi="Times New Roman"/>
          <w:b/>
          <w:bCs/>
          <w:sz w:val="18"/>
          <w:szCs w:val="18"/>
          <w:lang w:val="ms-MY"/>
        </w:rPr>
        <w:t>T2</w:t>
      </w:r>
      <w:r w:rsidRPr="00F9217D">
        <w:rPr>
          <w:rFonts w:ascii="Times New Roman" w:hAnsi="Times New Roman"/>
          <w:sz w:val="18"/>
          <w:szCs w:val="18"/>
          <w:lang w:val="ms-MY"/>
        </w:rPr>
        <w:t xml:space="preserve"> masing-masing pada -6.49 dan -6.76 kcal mol</w:t>
      </w:r>
      <w:r w:rsidRPr="00F9217D">
        <w:rPr>
          <w:rFonts w:ascii="Times New Roman" w:hAnsi="Times New Roman"/>
          <w:sz w:val="18"/>
          <w:szCs w:val="18"/>
          <w:vertAlign w:val="superscript"/>
          <w:lang w:val="ms-MY"/>
        </w:rPr>
        <w:t>-1</w:t>
      </w:r>
      <w:r w:rsidRPr="00F9217D">
        <w:rPr>
          <w:rFonts w:ascii="Times New Roman" w:hAnsi="Times New Roman"/>
          <w:sz w:val="18"/>
          <w:szCs w:val="18"/>
          <w:lang w:val="ms-MY"/>
        </w:rPr>
        <w:t>, menunjukkan nilai-nilai ini bersetuju dengan keputusan saringan antibakteria. Keputusan kajian awal ini akan menyumbang kepada penambahbaikan struktur untuk penghasilan ubat.</w:t>
      </w:r>
    </w:p>
    <w:p w:rsidR="00EF3436" w:rsidRPr="00F9217D" w:rsidRDefault="00EF3436" w:rsidP="00EF3436">
      <w:pPr>
        <w:spacing w:after="0" w:line="240" w:lineRule="auto"/>
        <w:jc w:val="both"/>
        <w:outlineLvl w:val="0"/>
        <w:rPr>
          <w:rFonts w:ascii="Times New Roman" w:hAnsi="Times New Roman"/>
          <w:sz w:val="18"/>
          <w:szCs w:val="18"/>
          <w:lang w:val="ms-MY"/>
        </w:rPr>
      </w:pPr>
    </w:p>
    <w:p w:rsidR="00EF3436" w:rsidRPr="00F9217D" w:rsidRDefault="00EF3436" w:rsidP="00EF3436">
      <w:pPr>
        <w:spacing w:after="0" w:line="240" w:lineRule="auto"/>
        <w:jc w:val="both"/>
        <w:outlineLvl w:val="0"/>
        <w:rPr>
          <w:rFonts w:ascii="Times New Roman" w:hAnsi="Times New Roman"/>
          <w:b/>
          <w:lang w:val="ms-MY"/>
        </w:rPr>
      </w:pPr>
      <w:r w:rsidRPr="00F9217D">
        <w:rPr>
          <w:rFonts w:ascii="Times New Roman" w:hAnsi="Times New Roman"/>
          <w:b/>
          <w:sz w:val="18"/>
          <w:szCs w:val="18"/>
          <w:lang w:val="ms-MY"/>
        </w:rPr>
        <w:t>Kata kunci:</w:t>
      </w:r>
      <w:r w:rsidRPr="00F9217D">
        <w:rPr>
          <w:rFonts w:ascii="Times New Roman" w:hAnsi="Times New Roman"/>
          <w:b/>
          <w:lang w:val="ms-MY"/>
        </w:rPr>
        <w:t xml:space="preserve"> </w:t>
      </w:r>
      <w:r>
        <w:rPr>
          <w:rFonts w:ascii="Times New Roman" w:hAnsi="Times New Roman"/>
          <w:b/>
          <w:lang w:val="ms-MY"/>
        </w:rPr>
        <w:t xml:space="preserve"> </w:t>
      </w:r>
      <w:r w:rsidRPr="00F9217D">
        <w:rPr>
          <w:rFonts w:ascii="Times New Roman" w:hAnsi="Times New Roman"/>
          <w:bCs/>
          <w:sz w:val="18"/>
          <w:szCs w:val="18"/>
          <w:lang w:val="ms-MY"/>
        </w:rPr>
        <w:t>terbitan tiazol, antibakteria, resapan cakera, penyatuan molekul, GlcN-6-P sintase</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5D4BF3" w:rsidRPr="005D4BF3" w:rsidRDefault="005D4BF3" w:rsidP="005D4BF3">
      <w:pPr>
        <w:spacing w:after="0" w:line="240" w:lineRule="auto"/>
        <w:jc w:val="both"/>
        <w:outlineLvl w:val="0"/>
        <w:rPr>
          <w:rFonts w:ascii="Times New Roman" w:hAnsi="Times New Roman"/>
          <w:sz w:val="20"/>
          <w:szCs w:val="20"/>
        </w:rPr>
      </w:pPr>
      <w:r w:rsidRPr="005D4BF3">
        <w:rPr>
          <w:rFonts w:ascii="Times New Roman" w:hAnsi="Times New Roman"/>
          <w:sz w:val="20"/>
          <w:szCs w:val="20"/>
        </w:rPr>
        <w:t xml:space="preserve">Bacteria are described as harmful tiny living things which can cause serious diseases such as diarrhea, infections to intravascular organ, nausea, inflammation and abdominal pain [1, 2]. Thus, there is a growing urge to develop treatment system to cure the diseases and one of the main options is in antibiotic field. Synthesized organic compound is turning into most suitable candidate as compared to other options such as inorganic and natural product extract because of its ease of structural design, high percentage yield and reduction of natural resources consumption [3-9]. A major challenge for this approach is to design a suitable compound which can surpass the increasing concern on antibiotic resistance. </w:t>
      </w:r>
    </w:p>
    <w:p w:rsidR="005D4BF3" w:rsidRPr="005D4BF3" w:rsidRDefault="005D4BF3" w:rsidP="005D4BF3">
      <w:pPr>
        <w:spacing w:after="0" w:line="240" w:lineRule="auto"/>
        <w:jc w:val="both"/>
        <w:outlineLvl w:val="0"/>
        <w:rPr>
          <w:rFonts w:ascii="Times New Roman" w:hAnsi="Times New Roman"/>
          <w:sz w:val="20"/>
          <w:szCs w:val="20"/>
        </w:rPr>
      </w:pPr>
    </w:p>
    <w:p w:rsidR="005D4BF3" w:rsidRPr="005D4BF3" w:rsidRDefault="005D4BF3" w:rsidP="005D4BF3">
      <w:pPr>
        <w:spacing w:after="0" w:line="240" w:lineRule="auto"/>
        <w:jc w:val="both"/>
        <w:outlineLvl w:val="0"/>
        <w:rPr>
          <w:rFonts w:ascii="Times New Roman" w:hAnsi="Times New Roman"/>
          <w:sz w:val="20"/>
          <w:szCs w:val="20"/>
          <w:lang w:val="en-MY"/>
        </w:rPr>
      </w:pPr>
      <w:r w:rsidRPr="005D4BF3">
        <w:rPr>
          <w:rFonts w:ascii="Times New Roman" w:hAnsi="Times New Roman"/>
          <w:sz w:val="20"/>
          <w:szCs w:val="20"/>
          <w:lang w:val="en-MY"/>
        </w:rPr>
        <w:t xml:space="preserve">In recent years, studies on structural and biological properties of thiazole have been the subject of considerable interest in the field of pharmacological among researchers. Thiazole derivatives were reported to exhibit excellent activities in biological fields such as anti-inflammatory, antifungal, anticancer, antibacterial, anticonvulsant, antiviral and antitumor [9]. Presence of nitrogen and sulphur atoms in thiazole structure has enhanced its physiochemical properties to be biologically active in most pharmacological areas [5]. Besides, incorporating different groups into the core structure of thiazole moiety at 2, 4 and 5- positions were reported to further enhance overall performance in term of efficiency of active site [10]. </w:t>
      </w:r>
    </w:p>
    <w:p w:rsidR="005D4BF3" w:rsidRPr="005D4BF3" w:rsidRDefault="005D4BF3" w:rsidP="005D4BF3">
      <w:pPr>
        <w:spacing w:after="0" w:line="240" w:lineRule="auto"/>
        <w:jc w:val="both"/>
        <w:outlineLvl w:val="0"/>
        <w:rPr>
          <w:rFonts w:ascii="Times New Roman" w:hAnsi="Times New Roman"/>
          <w:sz w:val="20"/>
          <w:szCs w:val="20"/>
          <w:lang w:val="en-MY"/>
        </w:rPr>
      </w:pPr>
    </w:p>
    <w:p w:rsidR="005D4BF3" w:rsidRPr="005D4BF3" w:rsidRDefault="005D4BF3" w:rsidP="005D4BF3">
      <w:pPr>
        <w:adjustRightInd w:val="0"/>
        <w:spacing w:after="0" w:line="240" w:lineRule="auto"/>
        <w:jc w:val="both"/>
        <w:rPr>
          <w:rFonts w:ascii="Times New Roman" w:eastAsiaTheme="minorHAnsi" w:hAnsi="Times New Roman"/>
          <w:sz w:val="20"/>
          <w:szCs w:val="20"/>
          <w:lang w:val="en-MY"/>
        </w:rPr>
      </w:pPr>
      <w:r w:rsidRPr="005D4BF3">
        <w:rPr>
          <w:rFonts w:ascii="Times New Roman" w:eastAsiaTheme="minorHAnsi" w:hAnsi="Times New Roman"/>
          <w:sz w:val="20"/>
          <w:szCs w:val="20"/>
          <w:lang w:val="en-MY"/>
        </w:rPr>
        <w:t>Furthermore, glucosamine-6-phosphate (GlcN-6-P) synthase represents an interesting protein target because it plays vital role in the protection of cell wall for most microorganisms as well as for human cell [11].  Inactivation of the enzyme in microbial cells significantly decreases population of bacteria without affecting the mammalian cells [12, 13]. Therefore there are a large number of studies on molecular docking for antibacterial agents focusing on GlcN-6-P synthase as their target enzyme [14, 15]. The potential inhibitor will form interaction with the active site of the enzyme and form a ligand-enzyme complex which is responsible in inhibition mechanism [16]. Thus, molecular docking studies are widely required in this field as the process will provide information on the interaction energy between ligand and target site of the enzyme.</w:t>
      </w:r>
    </w:p>
    <w:p w:rsidR="005D4BF3" w:rsidRPr="005D4BF3" w:rsidRDefault="005D4BF3" w:rsidP="005D4BF3">
      <w:pPr>
        <w:spacing w:after="0" w:line="240" w:lineRule="auto"/>
        <w:jc w:val="both"/>
        <w:outlineLvl w:val="0"/>
        <w:rPr>
          <w:rFonts w:ascii="Times New Roman" w:hAnsi="Times New Roman"/>
          <w:sz w:val="20"/>
          <w:szCs w:val="20"/>
          <w:lang w:val="en-MY"/>
        </w:rPr>
      </w:pPr>
    </w:p>
    <w:p w:rsidR="005D4BF3" w:rsidRPr="005D4BF3" w:rsidRDefault="005D4BF3" w:rsidP="005D4BF3">
      <w:pPr>
        <w:spacing w:after="0" w:line="240" w:lineRule="auto"/>
        <w:jc w:val="both"/>
        <w:outlineLvl w:val="0"/>
        <w:rPr>
          <w:rFonts w:ascii="Times New Roman" w:hAnsi="Times New Roman"/>
          <w:sz w:val="20"/>
          <w:szCs w:val="20"/>
          <w:lang w:val="en-MY"/>
        </w:rPr>
      </w:pPr>
      <w:r w:rsidRPr="005D4BF3">
        <w:rPr>
          <w:rFonts w:ascii="Times New Roman" w:hAnsi="Times New Roman"/>
          <w:sz w:val="20"/>
          <w:szCs w:val="20"/>
          <w:lang w:val="en-MY"/>
        </w:rPr>
        <w:t xml:space="preserve">In continuation to this effort, a series of 2, 4, 5-trisubstituted-1, 3-thiazole derivatives (Figure 1) of </w:t>
      </w:r>
      <w:r w:rsidRPr="005D4BF3">
        <w:rPr>
          <w:rFonts w:ascii="Times New Roman" w:hAnsi="Times New Roman"/>
          <w:b/>
          <w:bCs/>
          <w:sz w:val="20"/>
          <w:szCs w:val="20"/>
          <w:lang w:val="en-MY"/>
        </w:rPr>
        <w:t>T1</w:t>
      </w:r>
      <w:r w:rsidRPr="005D4BF3">
        <w:rPr>
          <w:rFonts w:ascii="Times New Roman" w:hAnsi="Times New Roman"/>
          <w:sz w:val="20"/>
          <w:szCs w:val="20"/>
          <w:lang w:val="en-MY"/>
        </w:rPr>
        <w:t>-</w:t>
      </w:r>
      <w:r w:rsidRPr="005D4BF3">
        <w:rPr>
          <w:rFonts w:ascii="Times New Roman" w:hAnsi="Times New Roman"/>
          <w:b/>
          <w:bCs/>
          <w:sz w:val="20"/>
          <w:szCs w:val="20"/>
          <w:lang w:val="en-MY"/>
        </w:rPr>
        <w:t>T3</w:t>
      </w:r>
      <w:r w:rsidRPr="005D4BF3">
        <w:rPr>
          <w:rFonts w:ascii="Times New Roman" w:hAnsi="Times New Roman"/>
          <w:sz w:val="20"/>
          <w:szCs w:val="20"/>
          <w:lang w:val="en-MY"/>
        </w:rPr>
        <w:t xml:space="preserve"> were synthesized and their usability as antibacterial agents were screened against selected Gram-positive and Gram–negative bacterial strains. Next, in order to further understand the interaction between thiazole derivatives and the significant target enzyme in bacterial strains known as glucosamine-6-phosphate synthase (GlcN-6-P), molecular docking study was applied.</w:t>
      </w:r>
    </w:p>
    <w:p w:rsidR="005D4BF3" w:rsidRPr="005D4BF3" w:rsidRDefault="005D4BF3" w:rsidP="005D4BF3">
      <w:pPr>
        <w:spacing w:after="0" w:line="240" w:lineRule="auto"/>
        <w:jc w:val="center"/>
        <w:outlineLvl w:val="0"/>
        <w:rPr>
          <w:rFonts w:ascii="Times New Roman" w:hAnsi="Times New Roman"/>
          <w:sz w:val="20"/>
          <w:szCs w:val="20"/>
        </w:rPr>
      </w:pPr>
    </w:p>
    <w:p w:rsidR="005D4BF3" w:rsidRPr="005D4BF3" w:rsidRDefault="005D4BF3" w:rsidP="005D4BF3">
      <w:pPr>
        <w:spacing w:after="0" w:line="240" w:lineRule="auto"/>
        <w:jc w:val="center"/>
        <w:outlineLvl w:val="0"/>
        <w:rPr>
          <w:rFonts w:ascii="Times New Roman" w:hAnsi="Times New Roman"/>
          <w:b/>
          <w:sz w:val="20"/>
          <w:szCs w:val="20"/>
        </w:rPr>
      </w:pPr>
      <w:r w:rsidRPr="005D4BF3">
        <w:rPr>
          <w:rFonts w:ascii="Times New Roman" w:hAnsi="Times New Roman"/>
          <w:b/>
          <w:sz w:val="20"/>
          <w:szCs w:val="20"/>
        </w:rPr>
        <w:t>Materials and Methods</w:t>
      </w:r>
    </w:p>
    <w:p w:rsidR="005D4BF3" w:rsidRPr="005D4BF3" w:rsidRDefault="005D4BF3" w:rsidP="005D4BF3">
      <w:pPr>
        <w:spacing w:after="0" w:line="240" w:lineRule="auto"/>
        <w:jc w:val="both"/>
        <w:outlineLvl w:val="0"/>
        <w:rPr>
          <w:rFonts w:ascii="Times New Roman" w:hAnsi="Times New Roman"/>
          <w:b/>
          <w:sz w:val="20"/>
          <w:szCs w:val="20"/>
        </w:rPr>
      </w:pPr>
      <w:r w:rsidRPr="005D4BF3">
        <w:rPr>
          <w:rFonts w:ascii="Times New Roman" w:hAnsi="Times New Roman"/>
          <w:b/>
          <w:sz w:val="20"/>
          <w:szCs w:val="20"/>
        </w:rPr>
        <w:t xml:space="preserve">Reagents </w:t>
      </w:r>
    </w:p>
    <w:p w:rsidR="005D4BF3" w:rsidRPr="005D4BF3" w:rsidRDefault="005D4BF3" w:rsidP="005D4BF3">
      <w:pPr>
        <w:spacing w:after="0" w:line="240" w:lineRule="auto"/>
        <w:jc w:val="both"/>
        <w:outlineLvl w:val="0"/>
        <w:rPr>
          <w:rFonts w:ascii="Times New Roman" w:hAnsi="Times New Roman"/>
          <w:sz w:val="20"/>
          <w:szCs w:val="20"/>
        </w:rPr>
      </w:pPr>
      <w:r w:rsidRPr="005D4BF3">
        <w:rPr>
          <w:rFonts w:ascii="Times New Roman" w:hAnsi="Times New Roman"/>
          <w:sz w:val="20"/>
          <w:szCs w:val="20"/>
        </w:rPr>
        <w:t xml:space="preserve">Ammonium thiocyanate, 3-chloroacetyl acetone, 3,4-dichloroaniline, 4-aminophenol, methyl-4-aminobenzoate, acetone, methanol, dichloromethane and dimethyl sulfoxide were purchased from standard commercial suppliers such as Sigma-Aldrich, Merck, Acrós Organics, Fisher Scientific and R &amp; M Chemical. All chemicals and solvents used in this study were of reagent grade (AR) and used without further purification. </w:t>
      </w:r>
    </w:p>
    <w:p w:rsidR="005D4BF3" w:rsidRPr="005D4BF3" w:rsidRDefault="005D4BF3" w:rsidP="005D4BF3">
      <w:pPr>
        <w:spacing w:after="0" w:line="240" w:lineRule="auto"/>
        <w:jc w:val="both"/>
        <w:outlineLvl w:val="0"/>
        <w:rPr>
          <w:rFonts w:ascii="Times New Roman" w:hAnsi="Times New Roman"/>
          <w:sz w:val="20"/>
          <w:szCs w:val="20"/>
        </w:rPr>
      </w:pPr>
    </w:p>
    <w:p w:rsidR="005D4BF3" w:rsidRPr="005D4BF3" w:rsidRDefault="005D4BF3" w:rsidP="005D4BF3">
      <w:pPr>
        <w:spacing w:after="0" w:line="240" w:lineRule="auto"/>
        <w:jc w:val="both"/>
        <w:outlineLvl w:val="0"/>
        <w:rPr>
          <w:rFonts w:ascii="Times New Roman" w:hAnsi="Times New Roman"/>
          <w:b/>
          <w:sz w:val="20"/>
          <w:szCs w:val="20"/>
        </w:rPr>
      </w:pPr>
      <w:r w:rsidRPr="005D4BF3">
        <w:rPr>
          <w:rFonts w:ascii="Times New Roman" w:hAnsi="Times New Roman"/>
          <w:b/>
          <w:sz w:val="20"/>
          <w:szCs w:val="20"/>
        </w:rPr>
        <w:t>Materials and physical measurements</w:t>
      </w:r>
    </w:p>
    <w:p w:rsidR="005D4BF3" w:rsidRPr="005D4BF3" w:rsidRDefault="005D4BF3" w:rsidP="005D4BF3">
      <w:pPr>
        <w:spacing w:after="0" w:line="240" w:lineRule="auto"/>
        <w:jc w:val="both"/>
        <w:outlineLvl w:val="0"/>
        <w:rPr>
          <w:rFonts w:ascii="Times New Roman" w:hAnsi="Times New Roman"/>
          <w:sz w:val="20"/>
          <w:szCs w:val="20"/>
        </w:rPr>
      </w:pPr>
      <w:r w:rsidRPr="005D4BF3">
        <w:rPr>
          <w:rFonts w:ascii="Times New Roman" w:hAnsi="Times New Roman"/>
          <w:sz w:val="20"/>
          <w:szCs w:val="20"/>
        </w:rPr>
        <w:t xml:space="preserve">Melting points were measured on a Stuart Scientific Melting Point Apparatus SMP3 and were uncorrected. </w:t>
      </w:r>
      <w:r w:rsidRPr="005D4BF3">
        <w:rPr>
          <w:rFonts w:ascii="Times New Roman" w:hAnsi="Times New Roman"/>
          <w:sz w:val="20"/>
          <w:szCs w:val="20"/>
          <w:vertAlign w:val="superscript"/>
        </w:rPr>
        <w:t>1</w:t>
      </w:r>
      <w:r w:rsidRPr="005D4BF3">
        <w:rPr>
          <w:rFonts w:ascii="Times New Roman" w:hAnsi="Times New Roman"/>
          <w:sz w:val="20"/>
          <w:szCs w:val="20"/>
        </w:rPr>
        <w:t>H NMR spectra were recorded at 500 MHz on NMR machine Bruker Ultra Shield Plus 500 MHz spectrometer in deuterated dimethyl sulfoxide-d</w:t>
      </w:r>
      <w:r w:rsidRPr="005D4BF3">
        <w:rPr>
          <w:rFonts w:ascii="Times New Roman" w:hAnsi="Times New Roman"/>
          <w:sz w:val="20"/>
          <w:szCs w:val="20"/>
          <w:vertAlign w:val="subscript"/>
        </w:rPr>
        <w:t>6</w:t>
      </w:r>
      <w:r w:rsidRPr="005D4BF3">
        <w:rPr>
          <w:rFonts w:ascii="Times New Roman" w:hAnsi="Times New Roman"/>
          <w:sz w:val="20"/>
          <w:szCs w:val="20"/>
        </w:rPr>
        <w:t xml:space="preserve"> (DMSO) using tetramethylsilane (TMS) as an internal standard. The chemical shifts were reported in ppm scale. IR spectra of the compounds were recorded from KBr pellets using Perkin Elmer FTIR GX spectrometer in the spectral range of 4000-400 cm</w:t>
      </w:r>
      <w:r w:rsidRPr="005D4BF3">
        <w:rPr>
          <w:rFonts w:ascii="Times New Roman" w:hAnsi="Times New Roman"/>
          <w:sz w:val="20"/>
          <w:szCs w:val="20"/>
          <w:vertAlign w:val="superscript"/>
        </w:rPr>
        <w:t>-1</w:t>
      </w:r>
      <w:r w:rsidRPr="005D4BF3">
        <w:rPr>
          <w:rFonts w:ascii="Times New Roman" w:hAnsi="Times New Roman"/>
          <w:sz w:val="20"/>
          <w:szCs w:val="20"/>
        </w:rPr>
        <w:t xml:space="preserve">. UV-Vis were measured </w:t>
      </w:r>
      <w:r w:rsidRPr="005D4BF3">
        <w:rPr>
          <w:rFonts w:ascii="Times New Roman" w:hAnsi="Times New Roman"/>
          <w:i/>
          <w:iCs/>
          <w:sz w:val="20"/>
          <w:szCs w:val="20"/>
        </w:rPr>
        <w:t>via</w:t>
      </w:r>
      <w:r w:rsidRPr="005D4BF3">
        <w:rPr>
          <w:rFonts w:ascii="Times New Roman" w:hAnsi="Times New Roman"/>
          <w:sz w:val="20"/>
          <w:szCs w:val="20"/>
        </w:rPr>
        <w:t xml:space="preserve"> Shimadzu UV-1601PC Spectrophotometer using methanol as solvent to generate absorption within 200-600 nm to study presence of electronic transition which the compounds might exhibit. The synthesized compounds were dissolved in dichloromethane (DCM) and analyzed using Perkin Elmer GC-MS (Clarus 500 Chromatography/Mass Spectrometry). </w:t>
      </w:r>
    </w:p>
    <w:p w:rsidR="005D4BF3" w:rsidRPr="005D4BF3" w:rsidRDefault="005D4BF3" w:rsidP="005D4BF3">
      <w:pPr>
        <w:spacing w:after="0" w:line="240" w:lineRule="auto"/>
        <w:jc w:val="both"/>
        <w:outlineLvl w:val="0"/>
        <w:rPr>
          <w:rFonts w:ascii="Times New Roman" w:hAnsi="Times New Roman"/>
          <w:sz w:val="20"/>
          <w:szCs w:val="20"/>
        </w:rPr>
      </w:pPr>
    </w:p>
    <w:p w:rsidR="005D4BF3" w:rsidRPr="005D4BF3" w:rsidRDefault="005D4BF3" w:rsidP="005D4BF3">
      <w:pPr>
        <w:spacing w:after="0" w:line="240" w:lineRule="auto"/>
        <w:jc w:val="both"/>
        <w:outlineLvl w:val="0"/>
        <w:rPr>
          <w:rFonts w:ascii="Times New Roman" w:hAnsi="Times New Roman"/>
          <w:b/>
          <w:sz w:val="20"/>
          <w:szCs w:val="20"/>
        </w:rPr>
      </w:pPr>
      <w:r w:rsidRPr="005D4BF3">
        <w:rPr>
          <w:rFonts w:ascii="Times New Roman" w:hAnsi="Times New Roman"/>
          <w:b/>
          <w:sz w:val="20"/>
          <w:szCs w:val="20"/>
        </w:rPr>
        <w:t xml:space="preserve">General experimental procedure </w:t>
      </w:r>
    </w:p>
    <w:p w:rsidR="005D4BF3" w:rsidRPr="005D4BF3" w:rsidRDefault="005D4BF3" w:rsidP="005D4BF3">
      <w:pPr>
        <w:spacing w:after="0" w:line="240" w:lineRule="auto"/>
        <w:jc w:val="both"/>
        <w:outlineLvl w:val="0"/>
        <w:rPr>
          <w:rFonts w:ascii="Times New Roman" w:hAnsi="Times New Roman"/>
          <w:sz w:val="20"/>
          <w:szCs w:val="20"/>
        </w:rPr>
      </w:pPr>
      <w:r w:rsidRPr="005D4BF3">
        <w:rPr>
          <w:rFonts w:ascii="Times New Roman" w:hAnsi="Times New Roman"/>
          <w:sz w:val="20"/>
          <w:szCs w:val="20"/>
        </w:rPr>
        <w:t xml:space="preserve">Ammonium thiocyanate (13 mmol) in acetone was added into a solution of 3-chloroacetyl acetone (13 mmol) in acetone and stirred for </w:t>
      </w:r>
      <w:r w:rsidRPr="005D4BF3">
        <w:rPr>
          <w:rFonts w:ascii="Times New Roman" w:hAnsi="Times New Roman"/>
          <w:i/>
          <w:iCs/>
          <w:sz w:val="20"/>
          <w:szCs w:val="20"/>
        </w:rPr>
        <w:t>ca</w:t>
      </w:r>
      <w:r w:rsidRPr="005D4BF3">
        <w:rPr>
          <w:rFonts w:ascii="Times New Roman" w:hAnsi="Times New Roman"/>
          <w:sz w:val="20"/>
          <w:szCs w:val="20"/>
        </w:rPr>
        <w:t xml:space="preserve">. 15 minutes at room temperature. After the formation of white precipitate, an equimolar amount of amine derivatives (13 mmol) in acetone was added drop wise and stirred at refluxed condition for </w:t>
      </w:r>
      <w:r w:rsidRPr="005D4BF3">
        <w:rPr>
          <w:rFonts w:ascii="Times New Roman" w:hAnsi="Times New Roman"/>
          <w:i/>
          <w:iCs/>
          <w:sz w:val="20"/>
          <w:szCs w:val="20"/>
        </w:rPr>
        <w:t>ca</w:t>
      </w:r>
      <w:r w:rsidRPr="005D4BF3">
        <w:rPr>
          <w:rFonts w:ascii="Times New Roman" w:hAnsi="Times New Roman"/>
          <w:sz w:val="20"/>
          <w:szCs w:val="20"/>
        </w:rPr>
        <w:t xml:space="preserve">. 2 hours. The reaction was carried out to give yellow solution with white precipitate of salt as by products. After completion, the reaction mixture was cooled to room temperature and filtered. The filtrate was allowed to be evaporated to form precipitate. The product formed was recrystallized from methanol to produce </w:t>
      </w:r>
      <w:r w:rsidRPr="005D4BF3">
        <w:rPr>
          <w:rFonts w:ascii="Times New Roman" w:hAnsi="Times New Roman"/>
          <w:b/>
          <w:bCs/>
          <w:sz w:val="20"/>
          <w:szCs w:val="20"/>
        </w:rPr>
        <w:t>T1</w:t>
      </w:r>
      <w:r w:rsidRPr="005D4BF3">
        <w:rPr>
          <w:rFonts w:ascii="Times New Roman" w:hAnsi="Times New Roman"/>
          <w:sz w:val="20"/>
          <w:szCs w:val="20"/>
        </w:rPr>
        <w:t>-</w:t>
      </w:r>
      <w:r w:rsidRPr="005D4BF3">
        <w:rPr>
          <w:rFonts w:ascii="Times New Roman" w:hAnsi="Times New Roman"/>
          <w:b/>
          <w:bCs/>
          <w:sz w:val="20"/>
          <w:szCs w:val="20"/>
        </w:rPr>
        <w:t>T3</w:t>
      </w:r>
      <w:r w:rsidRPr="005D4BF3">
        <w:rPr>
          <w:rFonts w:ascii="Times New Roman" w:hAnsi="Times New Roman"/>
          <w:sz w:val="20"/>
          <w:szCs w:val="20"/>
        </w:rPr>
        <w:t>. The synthetic route of the synthesized compounds is described in Scheme 1.</w:t>
      </w:r>
    </w:p>
    <w:p w:rsidR="005D4BF3" w:rsidRPr="005D4BF3" w:rsidRDefault="005D4BF3" w:rsidP="005D4BF3">
      <w:pPr>
        <w:spacing w:after="120" w:line="240" w:lineRule="auto"/>
        <w:jc w:val="both"/>
        <w:outlineLvl w:val="0"/>
        <w:rPr>
          <w:rFonts w:ascii="Times New Roman" w:hAnsi="Times New Roman"/>
          <w:sz w:val="20"/>
          <w:szCs w:val="20"/>
        </w:rPr>
      </w:pPr>
      <w:r w:rsidRPr="005D4BF3">
        <w:rPr>
          <w:rFonts w:ascii="Times New Roman" w:hAnsi="Times New Roman"/>
          <w:sz w:val="20"/>
          <w:szCs w:val="20"/>
        </w:rPr>
        <w:t xml:space="preserve">  </w:t>
      </w:r>
    </w:p>
    <w:p w:rsidR="005D4BF3" w:rsidRPr="005D4BF3" w:rsidRDefault="005D4BF3" w:rsidP="00771CD5">
      <w:pPr>
        <w:spacing w:line="240" w:lineRule="auto"/>
        <w:jc w:val="center"/>
        <w:outlineLvl w:val="0"/>
        <w:rPr>
          <w:rFonts w:ascii="Times New Roman" w:hAnsi="Times New Roman"/>
          <w:sz w:val="20"/>
          <w:szCs w:val="20"/>
        </w:rPr>
      </w:pPr>
      <w:r w:rsidRPr="005D4BF3">
        <w:rPr>
          <w:rFonts w:ascii="Times New Roman" w:hAnsi="Times New Roman"/>
          <w:b/>
          <w:bCs/>
          <w:noProof/>
          <w:sz w:val="20"/>
          <w:szCs w:val="20"/>
        </w:rPr>
        <w:object w:dxaOrig="8390" w:dyaOrig="52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19.9pt;height:264.65pt;mso-width-percent:0;mso-height-percent:0;mso-width-percent:0;mso-height-percent:0" o:ole="">
            <v:imagedata r:id="rId11" o:title=""/>
          </v:shape>
          <o:OLEObject Type="Embed" ProgID="ChemDraw.Document.6.0" ShapeID="_x0000_i1025" DrawAspect="Content" ObjectID="_1617133309" r:id="rId12"/>
        </w:object>
      </w:r>
    </w:p>
    <w:p w:rsidR="005D4BF3" w:rsidRPr="005D4BF3" w:rsidRDefault="005D4BF3" w:rsidP="005D4BF3">
      <w:pPr>
        <w:spacing w:after="0" w:line="240" w:lineRule="auto"/>
        <w:jc w:val="center"/>
        <w:outlineLvl w:val="0"/>
        <w:rPr>
          <w:rFonts w:ascii="Times New Roman" w:hAnsi="Times New Roman"/>
          <w:sz w:val="20"/>
          <w:szCs w:val="20"/>
        </w:rPr>
      </w:pPr>
      <w:r w:rsidRPr="005D4BF3">
        <w:rPr>
          <w:rFonts w:ascii="Times New Roman" w:hAnsi="Times New Roman"/>
          <w:sz w:val="20"/>
          <w:szCs w:val="20"/>
        </w:rPr>
        <w:t xml:space="preserve">Scheme 1. </w:t>
      </w:r>
      <w:r>
        <w:rPr>
          <w:rFonts w:ascii="Times New Roman" w:hAnsi="Times New Roman"/>
          <w:sz w:val="20"/>
          <w:szCs w:val="20"/>
        </w:rPr>
        <w:t xml:space="preserve"> </w:t>
      </w:r>
      <w:r w:rsidRPr="005D4BF3">
        <w:rPr>
          <w:rFonts w:ascii="Times New Roman" w:hAnsi="Times New Roman"/>
          <w:sz w:val="20"/>
          <w:szCs w:val="20"/>
        </w:rPr>
        <w:t>The general synthetic work-up of thiazole derivatives</w:t>
      </w:r>
    </w:p>
    <w:p w:rsidR="005D4BF3" w:rsidRPr="005D4BF3" w:rsidRDefault="005D4BF3" w:rsidP="00771CD5">
      <w:pPr>
        <w:spacing w:after="120" w:line="240" w:lineRule="auto"/>
        <w:jc w:val="both"/>
        <w:outlineLvl w:val="0"/>
        <w:rPr>
          <w:rFonts w:ascii="Times New Roman" w:hAnsi="Times New Roman"/>
          <w:b/>
          <w:sz w:val="20"/>
          <w:szCs w:val="20"/>
        </w:rPr>
      </w:pPr>
    </w:p>
    <w:p w:rsidR="005D4BF3" w:rsidRPr="005D4BF3" w:rsidRDefault="005D4BF3" w:rsidP="005D4BF3">
      <w:pPr>
        <w:spacing w:after="0" w:line="240" w:lineRule="auto"/>
        <w:jc w:val="both"/>
        <w:outlineLvl w:val="0"/>
        <w:rPr>
          <w:rFonts w:ascii="Times New Roman" w:hAnsi="Times New Roman"/>
          <w:b/>
          <w:sz w:val="20"/>
          <w:szCs w:val="20"/>
        </w:rPr>
      </w:pPr>
      <w:r w:rsidRPr="005D4BF3">
        <w:rPr>
          <w:rFonts w:ascii="Times New Roman" w:hAnsi="Times New Roman"/>
          <w:b/>
          <w:sz w:val="20"/>
          <w:szCs w:val="20"/>
        </w:rPr>
        <w:t>Determination of antibacterial activity</w:t>
      </w:r>
    </w:p>
    <w:p w:rsidR="005D4BF3" w:rsidRPr="005D4BF3" w:rsidRDefault="005D4BF3" w:rsidP="005D4BF3">
      <w:pPr>
        <w:spacing w:after="0" w:line="240" w:lineRule="auto"/>
        <w:jc w:val="both"/>
        <w:outlineLvl w:val="0"/>
        <w:rPr>
          <w:rFonts w:ascii="Times New Roman" w:hAnsi="Times New Roman"/>
          <w:sz w:val="20"/>
          <w:szCs w:val="20"/>
        </w:rPr>
      </w:pPr>
      <w:r w:rsidRPr="005D4BF3">
        <w:rPr>
          <w:rFonts w:ascii="Times New Roman" w:hAnsi="Times New Roman"/>
          <w:sz w:val="20"/>
          <w:szCs w:val="20"/>
        </w:rPr>
        <w:t>The antibacterial properties of the synthesized compounds (</w:t>
      </w:r>
      <w:r w:rsidRPr="005D4BF3">
        <w:rPr>
          <w:rFonts w:ascii="Times New Roman" w:hAnsi="Times New Roman"/>
          <w:b/>
          <w:bCs/>
          <w:sz w:val="20"/>
          <w:szCs w:val="20"/>
        </w:rPr>
        <w:t>T1</w:t>
      </w:r>
      <w:r w:rsidRPr="005D4BF3">
        <w:rPr>
          <w:rFonts w:ascii="Times New Roman" w:hAnsi="Times New Roman"/>
          <w:sz w:val="20"/>
          <w:szCs w:val="20"/>
        </w:rPr>
        <w:t>-</w:t>
      </w:r>
      <w:r w:rsidRPr="005D4BF3">
        <w:rPr>
          <w:rFonts w:ascii="Times New Roman" w:hAnsi="Times New Roman"/>
          <w:b/>
          <w:bCs/>
          <w:sz w:val="20"/>
          <w:szCs w:val="20"/>
        </w:rPr>
        <w:t>T3</w:t>
      </w:r>
      <w:r w:rsidRPr="005D4BF3">
        <w:rPr>
          <w:rFonts w:ascii="Times New Roman" w:hAnsi="Times New Roman"/>
          <w:sz w:val="20"/>
          <w:szCs w:val="20"/>
        </w:rPr>
        <w:t>) were screened for their antibacterial activity against Gram-positive bacterial strains (</w:t>
      </w:r>
      <w:r w:rsidRPr="005D4BF3">
        <w:rPr>
          <w:rFonts w:ascii="Times New Roman" w:hAnsi="Times New Roman"/>
          <w:i/>
          <w:iCs/>
          <w:sz w:val="20"/>
          <w:szCs w:val="20"/>
        </w:rPr>
        <w:t>Bacillus cereus</w:t>
      </w:r>
      <w:r w:rsidRPr="005D4BF3">
        <w:rPr>
          <w:rFonts w:ascii="Times New Roman" w:hAnsi="Times New Roman"/>
          <w:sz w:val="20"/>
          <w:szCs w:val="20"/>
        </w:rPr>
        <w:t xml:space="preserve"> and </w:t>
      </w:r>
      <w:r w:rsidRPr="005D4BF3">
        <w:rPr>
          <w:rFonts w:ascii="Times New Roman" w:hAnsi="Times New Roman"/>
          <w:i/>
          <w:iCs/>
          <w:sz w:val="20"/>
          <w:szCs w:val="20"/>
        </w:rPr>
        <w:t>Staphylococcus epidermidis</w:t>
      </w:r>
      <w:r w:rsidRPr="005D4BF3">
        <w:rPr>
          <w:rFonts w:ascii="Times New Roman" w:hAnsi="Times New Roman"/>
          <w:sz w:val="20"/>
          <w:szCs w:val="20"/>
        </w:rPr>
        <w:t>) as well as Gram-negative bacterial strains (</w:t>
      </w:r>
      <w:r w:rsidRPr="005D4BF3">
        <w:rPr>
          <w:rFonts w:ascii="Times New Roman" w:hAnsi="Times New Roman"/>
          <w:i/>
          <w:iCs/>
          <w:sz w:val="20"/>
          <w:szCs w:val="20"/>
        </w:rPr>
        <w:t>Escherichia coli</w:t>
      </w:r>
      <w:r w:rsidRPr="005D4BF3">
        <w:rPr>
          <w:rFonts w:ascii="Times New Roman" w:hAnsi="Times New Roman"/>
          <w:sz w:val="20"/>
          <w:szCs w:val="20"/>
        </w:rPr>
        <w:t xml:space="preserve"> and </w:t>
      </w:r>
      <w:r w:rsidRPr="005D4BF3">
        <w:rPr>
          <w:rFonts w:ascii="Times New Roman" w:hAnsi="Times New Roman"/>
          <w:i/>
          <w:iCs/>
          <w:sz w:val="20"/>
          <w:szCs w:val="20"/>
        </w:rPr>
        <w:t>Pseudomonas aeruginosa</w:t>
      </w:r>
      <w:r w:rsidRPr="005D4BF3">
        <w:rPr>
          <w:rFonts w:ascii="Times New Roman" w:hAnsi="Times New Roman"/>
          <w:sz w:val="20"/>
          <w:szCs w:val="20"/>
        </w:rPr>
        <w:t>) by disc diffusion technique [17]. Synthesized compounds were dissolved in DMSO at concentration of 50 mg/mL and impregnated on blank discs. The discs were placed on the agar surface pre-inoculated with suspension of bacteria (0.5 Mc Farland standards) and incubated for 24 hours at 37 ºC. Streptomycin served as antibiotic positive control and solvent blank (DMSO) as negative control respectively. After 18-24 hours of incubation at 37 ºC, the diameter of inhibition zone was observed and measured in mm.</w:t>
      </w:r>
    </w:p>
    <w:p w:rsidR="005D4BF3" w:rsidRPr="005D4BF3" w:rsidRDefault="005D4BF3" w:rsidP="005D4BF3">
      <w:pPr>
        <w:spacing w:after="0" w:line="240" w:lineRule="auto"/>
        <w:jc w:val="both"/>
        <w:outlineLvl w:val="0"/>
        <w:rPr>
          <w:rFonts w:ascii="Times New Roman" w:hAnsi="Times New Roman"/>
          <w:sz w:val="20"/>
          <w:szCs w:val="20"/>
        </w:rPr>
      </w:pPr>
    </w:p>
    <w:p w:rsidR="005D4BF3" w:rsidRPr="005D4BF3" w:rsidRDefault="005D4BF3" w:rsidP="005D4BF3">
      <w:pPr>
        <w:spacing w:after="0" w:line="240" w:lineRule="auto"/>
        <w:jc w:val="both"/>
        <w:outlineLvl w:val="0"/>
        <w:rPr>
          <w:rFonts w:ascii="Times New Roman" w:hAnsi="Times New Roman"/>
          <w:b/>
          <w:bCs/>
          <w:sz w:val="20"/>
          <w:szCs w:val="20"/>
        </w:rPr>
      </w:pPr>
      <w:r w:rsidRPr="005D4BF3">
        <w:rPr>
          <w:rFonts w:ascii="Times New Roman" w:hAnsi="Times New Roman"/>
          <w:b/>
          <w:bCs/>
          <w:sz w:val="20"/>
          <w:szCs w:val="20"/>
        </w:rPr>
        <w:t>Molecular docking</w:t>
      </w:r>
    </w:p>
    <w:p w:rsidR="005D4BF3" w:rsidRPr="005D4BF3" w:rsidRDefault="005D4BF3" w:rsidP="005D4BF3">
      <w:pPr>
        <w:spacing w:after="0" w:line="240" w:lineRule="auto"/>
        <w:jc w:val="both"/>
        <w:outlineLvl w:val="0"/>
        <w:rPr>
          <w:rFonts w:ascii="Times New Roman" w:hAnsi="Times New Roman"/>
          <w:sz w:val="20"/>
          <w:szCs w:val="20"/>
        </w:rPr>
      </w:pPr>
      <w:r w:rsidRPr="005D4BF3">
        <w:rPr>
          <w:rFonts w:ascii="Times New Roman" w:hAnsi="Times New Roman"/>
          <w:sz w:val="20"/>
          <w:szCs w:val="20"/>
        </w:rPr>
        <w:t>The synthesized molecules (</w:t>
      </w:r>
      <w:r w:rsidRPr="005D4BF3">
        <w:rPr>
          <w:rFonts w:ascii="Times New Roman" w:hAnsi="Times New Roman"/>
          <w:b/>
          <w:bCs/>
          <w:sz w:val="20"/>
          <w:szCs w:val="20"/>
        </w:rPr>
        <w:t>T1</w:t>
      </w:r>
      <w:r w:rsidRPr="005D4BF3">
        <w:rPr>
          <w:rFonts w:ascii="Times New Roman" w:hAnsi="Times New Roman"/>
          <w:sz w:val="20"/>
          <w:szCs w:val="20"/>
        </w:rPr>
        <w:t>-</w:t>
      </w:r>
      <w:r w:rsidRPr="005D4BF3">
        <w:rPr>
          <w:rFonts w:ascii="Times New Roman" w:hAnsi="Times New Roman"/>
          <w:b/>
          <w:bCs/>
          <w:sz w:val="20"/>
          <w:szCs w:val="20"/>
        </w:rPr>
        <w:t>T3</w:t>
      </w:r>
      <w:r w:rsidRPr="005D4BF3">
        <w:rPr>
          <w:rFonts w:ascii="Times New Roman" w:hAnsi="Times New Roman"/>
          <w:sz w:val="20"/>
          <w:szCs w:val="20"/>
        </w:rPr>
        <w:t xml:space="preserve">) were simulated for molecular docking using AutoDock 4.2 package software to investigate their affinity properties to the binding pocket of GlcN-6-P synthase. The enzyme as receptor was obtained from the RCSB Protein Data Bank (1MOQ) in pdb file format (https://www.rcsb.org/structure/1MOQ)  and used as a rigid molecule [18]. Hydrogen atoms were added and water molecules were removed from amino acids. All the ligands were drawn using Chem Draw Ultra 7.0 and saved in mol file and the energies of compounds </w:t>
      </w:r>
      <w:r w:rsidRPr="005D4BF3">
        <w:rPr>
          <w:rFonts w:ascii="Times New Roman" w:hAnsi="Times New Roman"/>
          <w:sz w:val="20"/>
          <w:szCs w:val="20"/>
        </w:rPr>
        <w:lastRenderedPageBreak/>
        <w:t xml:space="preserve">were minimized before converted into pdb format </w:t>
      </w:r>
      <w:r w:rsidRPr="005D4BF3">
        <w:rPr>
          <w:rFonts w:ascii="Times New Roman" w:hAnsi="Times New Roman"/>
          <w:i/>
          <w:sz w:val="20"/>
          <w:szCs w:val="20"/>
        </w:rPr>
        <w:t xml:space="preserve">via </w:t>
      </w:r>
      <w:r w:rsidRPr="005D4BF3">
        <w:rPr>
          <w:rFonts w:ascii="Times New Roman" w:hAnsi="Times New Roman"/>
          <w:sz w:val="20"/>
          <w:szCs w:val="20"/>
        </w:rPr>
        <w:t>open Babel 2.4.1 software. During docking, the grid dimensions must surround the region of the active site in the macromolecules. The grid box was set at 46, 54 and 48Ǻ for x, y and z axes respectively. The volume of the grid box was 31.98 Ǻ by 16.58 Ǻ by -2.57 Ǻ with points separated by 0.375Ǻ.  The grid center was set to 5.472, -6.194 and -10.694 for x, y and z respectively which covered all the amino acid residues in the active pocket. Lamarckian Genetic Algorithm was applied as the docking algorithm with 100 runs, 150 population size, 27,000 maximum numbers of generations and 2,500,000 maximum numbers of energy evaluation.</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71CD5" w:rsidRPr="00771CD5" w:rsidRDefault="00771CD5" w:rsidP="00771CD5">
      <w:pPr>
        <w:spacing w:after="0" w:line="240" w:lineRule="auto"/>
        <w:jc w:val="both"/>
        <w:outlineLvl w:val="0"/>
        <w:rPr>
          <w:rFonts w:ascii="Times New Roman" w:hAnsi="Times New Roman"/>
          <w:b/>
          <w:sz w:val="20"/>
          <w:szCs w:val="20"/>
        </w:rPr>
      </w:pPr>
      <w:r w:rsidRPr="00771CD5">
        <w:rPr>
          <w:rFonts w:ascii="Times New Roman" w:hAnsi="Times New Roman"/>
          <w:b/>
          <w:sz w:val="20"/>
          <w:szCs w:val="20"/>
        </w:rPr>
        <w:t>Characterization study: 5-acetyl-4-methyl-2-(3, 4-dichloroaniline)-1,3-thiazole (T1)</w:t>
      </w:r>
    </w:p>
    <w:p w:rsidR="00771CD5" w:rsidRPr="00771CD5" w:rsidRDefault="00771CD5" w:rsidP="00771CD5">
      <w:pPr>
        <w:spacing w:after="0" w:line="240" w:lineRule="auto"/>
        <w:jc w:val="both"/>
        <w:outlineLvl w:val="0"/>
        <w:rPr>
          <w:rFonts w:ascii="Times New Roman" w:eastAsia="+mn-ea" w:hAnsi="Times New Roman"/>
          <w:kern w:val="24"/>
          <w:sz w:val="20"/>
          <w:szCs w:val="20"/>
        </w:rPr>
      </w:pPr>
      <w:r w:rsidRPr="00771CD5">
        <w:rPr>
          <w:rFonts w:ascii="Times New Roman" w:hAnsi="Times New Roman"/>
          <w:sz w:val="20"/>
          <w:szCs w:val="20"/>
        </w:rPr>
        <w:t xml:space="preserve">Yellow solid (2.94 g, 75%), </w:t>
      </w:r>
      <w:r w:rsidRPr="00771CD5">
        <w:rPr>
          <w:rFonts w:ascii="Times New Roman" w:hAnsi="Times New Roman"/>
          <w:b/>
          <w:bCs/>
          <w:sz w:val="20"/>
          <w:szCs w:val="20"/>
        </w:rPr>
        <w:t>T1</w:t>
      </w:r>
      <w:r w:rsidRPr="00771CD5">
        <w:rPr>
          <w:rFonts w:ascii="Times New Roman" w:hAnsi="Times New Roman"/>
          <w:sz w:val="20"/>
          <w:szCs w:val="20"/>
        </w:rPr>
        <w:t xml:space="preserve"> was prepared from ammonium thiocyanate (1 g, 13 mmol), 3-chloroacetylacetone (1.75 g, 13 mmol) and 3,4-dichloroaniline (2.10 g, 13 mmol) in the same manner as described in Scheme 1, m.p 184.1-185.3 ºC. </w:t>
      </w:r>
      <w:r w:rsidRPr="00771CD5">
        <w:rPr>
          <w:rFonts w:ascii="Times New Roman" w:hAnsi="Times New Roman"/>
          <w:sz w:val="20"/>
          <w:szCs w:val="20"/>
          <w:vertAlign w:val="superscript"/>
        </w:rPr>
        <w:t>1</w:t>
      </w:r>
      <w:r w:rsidRPr="00771CD5">
        <w:rPr>
          <w:rFonts w:ascii="Times New Roman" w:hAnsi="Times New Roman"/>
          <w:sz w:val="20"/>
          <w:szCs w:val="20"/>
        </w:rPr>
        <w:t>H NMR (500 MHz, DMSO-d</w:t>
      </w:r>
      <w:r w:rsidRPr="00771CD5">
        <w:rPr>
          <w:rFonts w:ascii="Times New Roman" w:hAnsi="Times New Roman"/>
          <w:sz w:val="20"/>
          <w:szCs w:val="20"/>
          <w:vertAlign w:val="subscript"/>
        </w:rPr>
        <w:t>6</w:t>
      </w:r>
      <w:r w:rsidRPr="00771CD5">
        <w:rPr>
          <w:rFonts w:ascii="Times New Roman" w:hAnsi="Times New Roman"/>
          <w:sz w:val="20"/>
          <w:szCs w:val="20"/>
        </w:rPr>
        <w:t>): δ</w:t>
      </w:r>
      <w:r w:rsidRPr="00771CD5">
        <w:rPr>
          <w:rFonts w:ascii="Times New Roman" w:hAnsi="Times New Roman"/>
          <w:sz w:val="20"/>
          <w:szCs w:val="20"/>
          <w:vertAlign w:val="subscript"/>
        </w:rPr>
        <w:t xml:space="preserve">H </w:t>
      </w:r>
      <w:r w:rsidRPr="00771CD5">
        <w:rPr>
          <w:rFonts w:ascii="Times New Roman" w:hAnsi="Times New Roman"/>
          <w:sz w:val="20"/>
          <w:szCs w:val="20"/>
        </w:rPr>
        <w:t>2.43 (s, 3H, CH</w:t>
      </w:r>
      <w:r w:rsidRPr="00771CD5">
        <w:rPr>
          <w:rFonts w:ascii="Times New Roman" w:hAnsi="Times New Roman"/>
          <w:sz w:val="20"/>
          <w:szCs w:val="20"/>
          <w:vertAlign w:val="subscript"/>
        </w:rPr>
        <w:t>3</w:t>
      </w:r>
      <w:r w:rsidRPr="00771CD5">
        <w:rPr>
          <w:rFonts w:ascii="Times New Roman" w:hAnsi="Times New Roman"/>
          <w:sz w:val="20"/>
          <w:szCs w:val="20"/>
        </w:rPr>
        <w:t>), 2.51 (s, 3H, CH</w:t>
      </w:r>
      <w:r w:rsidRPr="00771CD5">
        <w:rPr>
          <w:rFonts w:ascii="Times New Roman" w:hAnsi="Times New Roman"/>
          <w:sz w:val="20"/>
          <w:szCs w:val="20"/>
          <w:vertAlign w:val="subscript"/>
        </w:rPr>
        <w:t>3</w:t>
      </w:r>
      <w:r w:rsidRPr="00771CD5">
        <w:rPr>
          <w:rFonts w:ascii="Times New Roman" w:hAnsi="Times New Roman"/>
          <w:sz w:val="20"/>
          <w:szCs w:val="20"/>
        </w:rPr>
        <w:t xml:space="preserve">), 7.53 (d, </w:t>
      </w:r>
      <w:r w:rsidRPr="00771CD5">
        <w:rPr>
          <w:rFonts w:ascii="Times New Roman" w:hAnsi="Times New Roman"/>
          <w:i/>
          <w:iCs/>
          <w:sz w:val="20"/>
          <w:szCs w:val="20"/>
        </w:rPr>
        <w:t>J</w:t>
      </w:r>
      <w:r w:rsidRPr="00771CD5">
        <w:rPr>
          <w:rFonts w:ascii="Times New Roman" w:hAnsi="Times New Roman"/>
          <w:sz w:val="20"/>
          <w:szCs w:val="20"/>
        </w:rPr>
        <w:t xml:space="preserve"> 9 Hz, 1H, Ar-CH), 7.59 (d, </w:t>
      </w:r>
      <w:r w:rsidRPr="00771CD5">
        <w:rPr>
          <w:rFonts w:ascii="Times New Roman" w:hAnsi="Times New Roman"/>
          <w:i/>
          <w:iCs/>
          <w:sz w:val="20"/>
          <w:szCs w:val="20"/>
        </w:rPr>
        <w:t>J</w:t>
      </w:r>
      <w:r w:rsidRPr="00771CD5">
        <w:rPr>
          <w:rFonts w:ascii="Times New Roman" w:hAnsi="Times New Roman"/>
          <w:sz w:val="20"/>
          <w:szCs w:val="20"/>
        </w:rPr>
        <w:t xml:space="preserve"> 9 Hz, 1H, Ar-CH), 8.03 (s, 1H, Ar-CH), 10.99 (s, 1H, NH of thiazole). IR (KBr pellet): </w:t>
      </w:r>
      <w:r w:rsidRPr="00771CD5">
        <w:rPr>
          <w:rFonts w:ascii="Times New Roman" w:eastAsia="+mn-ea" w:hAnsi="Times New Roman"/>
          <w:kern w:val="24"/>
          <w:sz w:val="20"/>
          <w:szCs w:val="20"/>
        </w:rPr>
        <w:t>ν</w:t>
      </w:r>
      <w:r w:rsidRPr="00771CD5">
        <w:rPr>
          <w:rFonts w:ascii="Times New Roman" w:hAnsi="Times New Roman"/>
          <w:sz w:val="20"/>
          <w:szCs w:val="20"/>
        </w:rPr>
        <w:t>(N-H) 3269 cm</w:t>
      </w:r>
      <w:r w:rsidRPr="00771CD5">
        <w:rPr>
          <w:rFonts w:ascii="Times New Roman" w:hAnsi="Times New Roman"/>
          <w:sz w:val="20"/>
          <w:szCs w:val="20"/>
          <w:vertAlign w:val="superscript"/>
        </w:rPr>
        <w:t>-1</w:t>
      </w:r>
      <w:r w:rsidRPr="00771CD5">
        <w:rPr>
          <w:rFonts w:ascii="Times New Roman" w:hAnsi="Times New Roman"/>
          <w:sz w:val="20"/>
          <w:szCs w:val="20"/>
        </w:rPr>
        <w:t xml:space="preserve">, </w:t>
      </w:r>
      <w:r w:rsidRPr="00771CD5">
        <w:rPr>
          <w:rFonts w:ascii="Times New Roman" w:eastAsia="+mn-ea" w:hAnsi="Times New Roman"/>
          <w:kern w:val="24"/>
          <w:sz w:val="20"/>
          <w:szCs w:val="20"/>
        </w:rPr>
        <w:t>ν(C-H) 2924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w:t>
      </w:r>
      <w:r w:rsidRPr="00771CD5">
        <w:rPr>
          <w:rFonts w:ascii="Times New Roman" w:hAnsi="Times New Roman"/>
          <w:sz w:val="20"/>
          <w:szCs w:val="20"/>
        </w:rPr>
        <w:t xml:space="preserve"> </w:t>
      </w:r>
      <w:r w:rsidRPr="00771CD5">
        <w:rPr>
          <w:rFonts w:ascii="Times New Roman" w:eastAsia="+mn-ea" w:hAnsi="Times New Roman"/>
          <w:kern w:val="24"/>
          <w:sz w:val="20"/>
          <w:szCs w:val="20"/>
        </w:rPr>
        <w:t>ν(C=O) 1604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ν(C=N) 1545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ν(C-Cl) 714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ν(C-S) 652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UV-Vis (MeOH): λ</w:t>
      </w:r>
      <w:r w:rsidRPr="00771CD5">
        <w:rPr>
          <w:rFonts w:ascii="Times New Roman" w:eastAsia="+mn-ea" w:hAnsi="Times New Roman"/>
          <w:kern w:val="24"/>
          <w:sz w:val="20"/>
          <w:szCs w:val="20"/>
          <w:vertAlign w:val="subscript"/>
        </w:rPr>
        <w:t>abs</w:t>
      </w:r>
      <w:r w:rsidRPr="00771CD5">
        <w:rPr>
          <w:rFonts w:ascii="Times New Roman" w:eastAsia="+mn-ea" w:hAnsi="Times New Roman"/>
          <w:kern w:val="24"/>
          <w:sz w:val="20"/>
          <w:szCs w:val="20"/>
        </w:rPr>
        <w:t xml:space="preserve"> (n-π</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224 nm, 21600 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λ</w:t>
      </w:r>
      <w:r w:rsidRPr="00771CD5">
        <w:rPr>
          <w:rFonts w:ascii="Times New Roman" w:eastAsia="+mn-ea" w:hAnsi="Times New Roman"/>
          <w:kern w:val="24"/>
          <w:sz w:val="20"/>
          <w:szCs w:val="20"/>
          <w:vertAlign w:val="subscript"/>
        </w:rPr>
        <w:t>abs</w:t>
      </w:r>
      <w:r w:rsidRPr="00771CD5">
        <w:rPr>
          <w:rFonts w:ascii="Times New Roman" w:eastAsia="+mn-ea" w:hAnsi="Times New Roman"/>
          <w:kern w:val="24"/>
          <w:sz w:val="20"/>
          <w:szCs w:val="20"/>
        </w:rPr>
        <w:t xml:space="preserve"> (π-π</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343 nm, 62200 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M/S: Requires M</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xml:space="preserve"> 299.99; Found M</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xml:space="preserve"> 300.00, m/z: 285.00, 86.00 and 71.00. </w:t>
      </w:r>
    </w:p>
    <w:p w:rsidR="00771CD5" w:rsidRPr="00771CD5" w:rsidRDefault="00771CD5" w:rsidP="00771CD5">
      <w:pPr>
        <w:spacing w:after="0" w:line="240" w:lineRule="auto"/>
        <w:jc w:val="both"/>
        <w:outlineLvl w:val="0"/>
        <w:rPr>
          <w:rFonts w:ascii="Times New Roman" w:eastAsia="+mn-ea" w:hAnsi="Times New Roman"/>
          <w:kern w:val="24"/>
          <w:sz w:val="20"/>
          <w:szCs w:val="20"/>
        </w:rPr>
      </w:pPr>
    </w:p>
    <w:p w:rsidR="00771CD5" w:rsidRPr="00771CD5" w:rsidRDefault="00771CD5" w:rsidP="00771CD5">
      <w:pPr>
        <w:spacing w:after="0" w:line="240" w:lineRule="auto"/>
        <w:jc w:val="both"/>
        <w:outlineLvl w:val="0"/>
        <w:rPr>
          <w:rFonts w:ascii="Times New Roman" w:eastAsia="+mn-ea" w:hAnsi="Times New Roman"/>
          <w:b/>
          <w:bCs/>
          <w:kern w:val="24"/>
          <w:sz w:val="20"/>
          <w:szCs w:val="20"/>
        </w:rPr>
      </w:pPr>
      <w:r w:rsidRPr="00771CD5">
        <w:rPr>
          <w:rFonts w:ascii="Times New Roman" w:eastAsia="+mn-ea" w:hAnsi="Times New Roman"/>
          <w:b/>
          <w:bCs/>
          <w:kern w:val="24"/>
          <w:sz w:val="20"/>
          <w:szCs w:val="20"/>
        </w:rPr>
        <w:t>5-acetyl-4-methyl-2-(4-aminophenol)-1,3-thiazole (T2)</w:t>
      </w:r>
    </w:p>
    <w:p w:rsidR="00771CD5" w:rsidRPr="00771CD5" w:rsidRDefault="00771CD5" w:rsidP="00771CD5">
      <w:pPr>
        <w:spacing w:after="0" w:line="240" w:lineRule="auto"/>
        <w:jc w:val="both"/>
        <w:outlineLvl w:val="0"/>
        <w:rPr>
          <w:rFonts w:ascii="Times New Roman" w:eastAsia="+mn-ea" w:hAnsi="Times New Roman"/>
          <w:kern w:val="24"/>
          <w:sz w:val="20"/>
          <w:szCs w:val="20"/>
        </w:rPr>
      </w:pPr>
      <w:r w:rsidRPr="00771CD5">
        <w:rPr>
          <w:rFonts w:ascii="Times New Roman" w:eastAsia="+mn-ea" w:hAnsi="Times New Roman"/>
          <w:kern w:val="24"/>
          <w:sz w:val="20"/>
          <w:szCs w:val="20"/>
        </w:rPr>
        <w:t xml:space="preserve">Brown solid (2.26 g, 70%), </w:t>
      </w:r>
      <w:r w:rsidRPr="00771CD5">
        <w:rPr>
          <w:rFonts w:ascii="Times New Roman" w:eastAsia="+mn-ea" w:hAnsi="Times New Roman"/>
          <w:b/>
          <w:bCs/>
          <w:kern w:val="24"/>
          <w:sz w:val="20"/>
          <w:szCs w:val="20"/>
        </w:rPr>
        <w:t>T2</w:t>
      </w:r>
      <w:r w:rsidRPr="00771CD5">
        <w:rPr>
          <w:rFonts w:ascii="Times New Roman" w:eastAsia="+mn-ea" w:hAnsi="Times New Roman"/>
          <w:kern w:val="24"/>
          <w:sz w:val="20"/>
          <w:szCs w:val="20"/>
        </w:rPr>
        <w:t xml:space="preserve"> was prepared from ammonium thiocyanate (1 g, 13 mmol), 3-chloroacetylacetone (1.75 g, 13 mmol) and 4-aminophenol (1.42 g, 13 mmol) in the same manner as described in Scheme 1, m.p. 192.3-193.4 ºC. </w:t>
      </w:r>
      <w:r w:rsidRPr="00771CD5">
        <w:rPr>
          <w:rFonts w:ascii="Times New Roman" w:hAnsi="Times New Roman"/>
          <w:sz w:val="20"/>
          <w:szCs w:val="20"/>
          <w:vertAlign w:val="superscript"/>
        </w:rPr>
        <w:t>1</w:t>
      </w:r>
      <w:r w:rsidRPr="00771CD5">
        <w:rPr>
          <w:rFonts w:ascii="Times New Roman" w:hAnsi="Times New Roman"/>
          <w:sz w:val="20"/>
          <w:szCs w:val="20"/>
        </w:rPr>
        <w:t>H NMR (500 MHz, DMSO-d</w:t>
      </w:r>
      <w:r w:rsidRPr="00771CD5">
        <w:rPr>
          <w:rFonts w:ascii="Times New Roman" w:hAnsi="Times New Roman"/>
          <w:sz w:val="20"/>
          <w:szCs w:val="20"/>
          <w:vertAlign w:val="subscript"/>
        </w:rPr>
        <w:t>6</w:t>
      </w:r>
      <w:r w:rsidRPr="00771CD5">
        <w:rPr>
          <w:rFonts w:ascii="Times New Roman" w:hAnsi="Times New Roman"/>
          <w:sz w:val="20"/>
          <w:szCs w:val="20"/>
        </w:rPr>
        <w:t>): δ</w:t>
      </w:r>
      <w:r w:rsidRPr="00771CD5">
        <w:rPr>
          <w:rFonts w:ascii="Times New Roman" w:hAnsi="Times New Roman"/>
          <w:sz w:val="20"/>
          <w:szCs w:val="20"/>
          <w:vertAlign w:val="subscript"/>
        </w:rPr>
        <w:t xml:space="preserve">H </w:t>
      </w:r>
      <w:r w:rsidRPr="00771CD5">
        <w:rPr>
          <w:rFonts w:ascii="Times New Roman" w:hAnsi="Times New Roman"/>
          <w:sz w:val="20"/>
          <w:szCs w:val="20"/>
        </w:rPr>
        <w:t>2.38 (s, 3H, CH</w:t>
      </w:r>
      <w:r w:rsidRPr="00771CD5">
        <w:rPr>
          <w:rFonts w:ascii="Times New Roman" w:hAnsi="Times New Roman"/>
          <w:sz w:val="20"/>
          <w:szCs w:val="20"/>
          <w:vertAlign w:val="subscript"/>
        </w:rPr>
        <w:t>3</w:t>
      </w:r>
      <w:r w:rsidRPr="00771CD5">
        <w:rPr>
          <w:rFonts w:ascii="Times New Roman" w:hAnsi="Times New Roman"/>
          <w:sz w:val="20"/>
          <w:szCs w:val="20"/>
        </w:rPr>
        <w:t>), 2.62 (s, 3H, CH</w:t>
      </w:r>
      <w:r w:rsidRPr="00771CD5">
        <w:rPr>
          <w:rFonts w:ascii="Times New Roman" w:hAnsi="Times New Roman"/>
          <w:sz w:val="20"/>
          <w:szCs w:val="20"/>
          <w:vertAlign w:val="subscript"/>
        </w:rPr>
        <w:t>3</w:t>
      </w:r>
      <w:r w:rsidRPr="00771CD5">
        <w:rPr>
          <w:rFonts w:ascii="Times New Roman" w:hAnsi="Times New Roman"/>
          <w:sz w:val="20"/>
          <w:szCs w:val="20"/>
        </w:rPr>
        <w:t xml:space="preserve">), 6.78 (pseudo-d, </w:t>
      </w:r>
      <w:r w:rsidRPr="00771CD5">
        <w:rPr>
          <w:rFonts w:ascii="Times New Roman" w:hAnsi="Times New Roman"/>
          <w:i/>
          <w:iCs/>
          <w:sz w:val="20"/>
          <w:szCs w:val="20"/>
        </w:rPr>
        <w:t>J</w:t>
      </w:r>
      <w:r w:rsidRPr="00771CD5">
        <w:rPr>
          <w:rFonts w:ascii="Times New Roman" w:hAnsi="Times New Roman"/>
          <w:sz w:val="20"/>
          <w:szCs w:val="20"/>
        </w:rPr>
        <w:t xml:space="preserve"> 9 Hz, 2H, Ar-CH), 7.35 (pseudo-d, </w:t>
      </w:r>
      <w:r w:rsidRPr="00771CD5">
        <w:rPr>
          <w:rFonts w:ascii="Times New Roman" w:hAnsi="Times New Roman"/>
          <w:i/>
          <w:iCs/>
          <w:sz w:val="20"/>
          <w:szCs w:val="20"/>
        </w:rPr>
        <w:t>J</w:t>
      </w:r>
      <w:r w:rsidRPr="00771CD5">
        <w:rPr>
          <w:rFonts w:ascii="Times New Roman" w:hAnsi="Times New Roman"/>
          <w:sz w:val="20"/>
          <w:szCs w:val="20"/>
        </w:rPr>
        <w:t xml:space="preserve"> 9 Hz, 2H, Ar-CH), 9.38 (s, 1H, NH of thiazole), 10.47 (br s, 1H, OH). IR (KBr pellet): </w:t>
      </w:r>
      <w:r w:rsidRPr="00771CD5">
        <w:rPr>
          <w:rFonts w:ascii="Times New Roman" w:eastAsia="+mn-ea" w:hAnsi="Times New Roman"/>
          <w:kern w:val="24"/>
          <w:sz w:val="20"/>
          <w:szCs w:val="20"/>
        </w:rPr>
        <w:t>ν</w:t>
      </w:r>
      <w:r w:rsidRPr="00771CD5">
        <w:rPr>
          <w:rFonts w:ascii="Times New Roman" w:hAnsi="Times New Roman"/>
          <w:sz w:val="20"/>
          <w:szCs w:val="20"/>
        </w:rPr>
        <w:t>(N-H) 3242 cm</w:t>
      </w:r>
      <w:r w:rsidRPr="00771CD5">
        <w:rPr>
          <w:rFonts w:ascii="Times New Roman" w:hAnsi="Times New Roman"/>
          <w:sz w:val="20"/>
          <w:szCs w:val="20"/>
          <w:vertAlign w:val="superscript"/>
        </w:rPr>
        <w:t>-1</w:t>
      </w:r>
      <w:r w:rsidRPr="00771CD5">
        <w:rPr>
          <w:rFonts w:ascii="Times New Roman" w:hAnsi="Times New Roman"/>
          <w:sz w:val="20"/>
          <w:szCs w:val="20"/>
        </w:rPr>
        <w:t xml:space="preserve">, </w:t>
      </w:r>
      <w:r w:rsidRPr="00771CD5">
        <w:rPr>
          <w:rFonts w:ascii="Times New Roman" w:eastAsia="+mn-ea" w:hAnsi="Times New Roman"/>
          <w:kern w:val="24"/>
          <w:sz w:val="20"/>
          <w:szCs w:val="20"/>
        </w:rPr>
        <w:t>ν</w:t>
      </w:r>
      <w:r w:rsidRPr="00771CD5">
        <w:rPr>
          <w:rFonts w:ascii="Times New Roman" w:hAnsi="Times New Roman"/>
          <w:sz w:val="20"/>
          <w:szCs w:val="20"/>
        </w:rPr>
        <w:t>(O-H) 3135 cm</w:t>
      </w:r>
      <w:r w:rsidRPr="00771CD5">
        <w:rPr>
          <w:rFonts w:ascii="Times New Roman" w:hAnsi="Times New Roman"/>
          <w:sz w:val="20"/>
          <w:szCs w:val="20"/>
          <w:vertAlign w:val="superscript"/>
        </w:rPr>
        <w:t>-1</w:t>
      </w:r>
      <w:r w:rsidRPr="00771CD5">
        <w:rPr>
          <w:rFonts w:ascii="Times New Roman" w:hAnsi="Times New Roman"/>
          <w:sz w:val="20"/>
          <w:szCs w:val="20"/>
        </w:rPr>
        <w:t xml:space="preserve">, </w:t>
      </w:r>
      <w:r w:rsidRPr="00771CD5">
        <w:rPr>
          <w:rFonts w:ascii="Times New Roman" w:eastAsia="+mn-ea" w:hAnsi="Times New Roman"/>
          <w:kern w:val="24"/>
          <w:sz w:val="20"/>
          <w:szCs w:val="20"/>
        </w:rPr>
        <w:t>ν(C-H) 2962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w:t>
      </w:r>
      <w:r w:rsidRPr="00771CD5">
        <w:rPr>
          <w:rFonts w:ascii="Times New Roman" w:hAnsi="Times New Roman"/>
          <w:sz w:val="20"/>
          <w:szCs w:val="20"/>
        </w:rPr>
        <w:t xml:space="preserve"> </w:t>
      </w:r>
      <w:r w:rsidRPr="00771CD5">
        <w:rPr>
          <w:rFonts w:ascii="Times New Roman" w:eastAsia="+mn-ea" w:hAnsi="Times New Roman"/>
          <w:kern w:val="24"/>
          <w:sz w:val="20"/>
          <w:szCs w:val="20"/>
        </w:rPr>
        <w:t>ν(C=O) 1623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ν(C=N) 1596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ν(C-S) 723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UV-Vis (MeOH): λ</w:t>
      </w:r>
      <w:r w:rsidRPr="00771CD5">
        <w:rPr>
          <w:rFonts w:ascii="Times New Roman" w:eastAsia="+mn-ea" w:hAnsi="Times New Roman"/>
          <w:kern w:val="24"/>
          <w:sz w:val="20"/>
          <w:szCs w:val="20"/>
          <w:vertAlign w:val="subscript"/>
        </w:rPr>
        <w:t>abs</w:t>
      </w:r>
      <w:r w:rsidRPr="00771CD5">
        <w:rPr>
          <w:rFonts w:ascii="Times New Roman" w:eastAsia="+mn-ea" w:hAnsi="Times New Roman"/>
          <w:kern w:val="24"/>
          <w:sz w:val="20"/>
          <w:szCs w:val="20"/>
        </w:rPr>
        <w:t xml:space="preserve"> (n-π</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226 nm, 50300 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λ</w:t>
      </w:r>
      <w:r w:rsidRPr="00771CD5">
        <w:rPr>
          <w:rFonts w:ascii="Times New Roman" w:eastAsia="+mn-ea" w:hAnsi="Times New Roman"/>
          <w:kern w:val="24"/>
          <w:sz w:val="20"/>
          <w:szCs w:val="20"/>
          <w:vertAlign w:val="subscript"/>
        </w:rPr>
        <w:t>abs</w:t>
      </w:r>
      <w:r w:rsidRPr="00771CD5">
        <w:rPr>
          <w:rFonts w:ascii="Times New Roman" w:eastAsia="+mn-ea" w:hAnsi="Times New Roman"/>
          <w:kern w:val="24"/>
          <w:sz w:val="20"/>
          <w:szCs w:val="20"/>
        </w:rPr>
        <w:t xml:space="preserve"> (π-π</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346 nm, 69200 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M/S: Requires M</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xml:space="preserve"> 248.06; Found M</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xml:space="preserve"> 248.04, m/z: 233.00, 134.00 and 120.00.</w:t>
      </w:r>
    </w:p>
    <w:p w:rsidR="00771CD5" w:rsidRPr="00771CD5" w:rsidRDefault="00771CD5" w:rsidP="00771CD5">
      <w:pPr>
        <w:spacing w:after="0" w:line="240" w:lineRule="auto"/>
        <w:jc w:val="both"/>
        <w:outlineLvl w:val="0"/>
        <w:rPr>
          <w:rFonts w:ascii="Times New Roman" w:eastAsia="+mn-ea" w:hAnsi="Times New Roman"/>
          <w:kern w:val="24"/>
          <w:sz w:val="20"/>
          <w:szCs w:val="20"/>
        </w:rPr>
      </w:pPr>
    </w:p>
    <w:p w:rsidR="00771CD5" w:rsidRPr="00771CD5" w:rsidRDefault="00771CD5" w:rsidP="00771CD5">
      <w:pPr>
        <w:spacing w:after="0" w:line="240" w:lineRule="auto"/>
        <w:jc w:val="both"/>
        <w:outlineLvl w:val="0"/>
        <w:rPr>
          <w:rFonts w:ascii="Times New Roman" w:eastAsia="+mn-ea" w:hAnsi="Times New Roman"/>
          <w:b/>
          <w:bCs/>
          <w:kern w:val="24"/>
          <w:sz w:val="20"/>
          <w:szCs w:val="20"/>
        </w:rPr>
      </w:pPr>
      <w:r w:rsidRPr="00771CD5">
        <w:rPr>
          <w:rFonts w:ascii="Times New Roman" w:eastAsia="+mn-ea" w:hAnsi="Times New Roman"/>
          <w:b/>
          <w:bCs/>
          <w:kern w:val="24"/>
          <w:sz w:val="20"/>
          <w:szCs w:val="20"/>
        </w:rPr>
        <w:t>5-acetyl-4-methyl-2-(methyl-4-aminobenzoate)-1,3-thiazole (T3)</w:t>
      </w:r>
    </w:p>
    <w:p w:rsidR="00771CD5" w:rsidRDefault="00771CD5" w:rsidP="00771CD5">
      <w:pPr>
        <w:spacing w:after="0" w:line="240" w:lineRule="auto"/>
        <w:jc w:val="both"/>
        <w:outlineLvl w:val="0"/>
        <w:rPr>
          <w:rFonts w:ascii="Times New Roman" w:eastAsia="+mn-ea" w:hAnsi="Times New Roman"/>
          <w:kern w:val="24"/>
          <w:sz w:val="20"/>
          <w:szCs w:val="20"/>
        </w:rPr>
      </w:pPr>
      <w:r w:rsidRPr="00771CD5">
        <w:rPr>
          <w:rFonts w:ascii="Times New Roman" w:eastAsia="+mn-ea" w:hAnsi="Times New Roman"/>
          <w:kern w:val="24"/>
          <w:sz w:val="20"/>
          <w:szCs w:val="20"/>
        </w:rPr>
        <w:t xml:space="preserve">Yellow solid (2.57 g, 68%), </w:t>
      </w:r>
      <w:r w:rsidRPr="00771CD5">
        <w:rPr>
          <w:rFonts w:ascii="Times New Roman" w:eastAsia="+mn-ea" w:hAnsi="Times New Roman"/>
          <w:b/>
          <w:bCs/>
          <w:kern w:val="24"/>
          <w:sz w:val="20"/>
          <w:szCs w:val="20"/>
        </w:rPr>
        <w:t>T3</w:t>
      </w:r>
      <w:r w:rsidRPr="00771CD5">
        <w:rPr>
          <w:rFonts w:ascii="Times New Roman" w:eastAsia="+mn-ea" w:hAnsi="Times New Roman"/>
          <w:kern w:val="24"/>
          <w:sz w:val="20"/>
          <w:szCs w:val="20"/>
        </w:rPr>
        <w:t xml:space="preserve"> was prepared from ammonium thiocyanate (1 g, 13 mmol), 3-chloroacetylacetone (1.75 g, 13 mmol) and methyl-4-aminobenzoate (1.96 g, 13 mmol) in the same manner as described in Scheme 1, m.p. 210.7-211.7 ºC. </w:t>
      </w:r>
      <w:r w:rsidRPr="00771CD5">
        <w:rPr>
          <w:rFonts w:ascii="Times New Roman" w:hAnsi="Times New Roman"/>
          <w:sz w:val="20"/>
          <w:szCs w:val="20"/>
          <w:vertAlign w:val="superscript"/>
        </w:rPr>
        <w:t>1</w:t>
      </w:r>
      <w:r w:rsidRPr="00771CD5">
        <w:rPr>
          <w:rFonts w:ascii="Times New Roman" w:hAnsi="Times New Roman"/>
          <w:sz w:val="20"/>
          <w:szCs w:val="20"/>
        </w:rPr>
        <w:t>H NMR (500 MHz, DMSO-d</w:t>
      </w:r>
      <w:r w:rsidRPr="00771CD5">
        <w:rPr>
          <w:rFonts w:ascii="Times New Roman" w:hAnsi="Times New Roman"/>
          <w:sz w:val="20"/>
          <w:szCs w:val="20"/>
          <w:vertAlign w:val="subscript"/>
        </w:rPr>
        <w:t>6</w:t>
      </w:r>
      <w:r w:rsidRPr="00771CD5">
        <w:rPr>
          <w:rFonts w:ascii="Times New Roman" w:hAnsi="Times New Roman"/>
          <w:sz w:val="20"/>
          <w:szCs w:val="20"/>
        </w:rPr>
        <w:t>): δ</w:t>
      </w:r>
      <w:r w:rsidRPr="00771CD5">
        <w:rPr>
          <w:rFonts w:ascii="Times New Roman" w:hAnsi="Times New Roman"/>
          <w:sz w:val="20"/>
          <w:szCs w:val="20"/>
          <w:vertAlign w:val="subscript"/>
        </w:rPr>
        <w:t xml:space="preserve">H </w:t>
      </w:r>
      <w:r w:rsidRPr="00771CD5">
        <w:rPr>
          <w:rFonts w:ascii="Times New Roman" w:hAnsi="Times New Roman"/>
          <w:sz w:val="20"/>
          <w:szCs w:val="20"/>
        </w:rPr>
        <w:t>2.45 (s, 3H, CH</w:t>
      </w:r>
      <w:r w:rsidRPr="00771CD5">
        <w:rPr>
          <w:rFonts w:ascii="Times New Roman" w:hAnsi="Times New Roman"/>
          <w:sz w:val="20"/>
          <w:szCs w:val="20"/>
          <w:vertAlign w:val="subscript"/>
        </w:rPr>
        <w:t>3</w:t>
      </w:r>
      <w:r w:rsidRPr="00771CD5">
        <w:rPr>
          <w:rFonts w:ascii="Times New Roman" w:hAnsi="Times New Roman"/>
          <w:sz w:val="20"/>
          <w:szCs w:val="20"/>
        </w:rPr>
        <w:t>), 2.58 (s, 3H, CH</w:t>
      </w:r>
      <w:r w:rsidRPr="00771CD5">
        <w:rPr>
          <w:rFonts w:ascii="Times New Roman" w:hAnsi="Times New Roman"/>
          <w:sz w:val="20"/>
          <w:szCs w:val="20"/>
          <w:vertAlign w:val="subscript"/>
        </w:rPr>
        <w:t>3</w:t>
      </w:r>
      <w:r w:rsidRPr="00771CD5">
        <w:rPr>
          <w:rFonts w:ascii="Times New Roman" w:hAnsi="Times New Roman"/>
          <w:sz w:val="20"/>
          <w:szCs w:val="20"/>
        </w:rPr>
        <w:t>), 3.83 (s, 3H, OCH</w:t>
      </w:r>
      <w:r w:rsidRPr="00771CD5">
        <w:rPr>
          <w:rFonts w:ascii="Times New Roman" w:hAnsi="Times New Roman"/>
          <w:sz w:val="20"/>
          <w:szCs w:val="20"/>
          <w:vertAlign w:val="subscript"/>
        </w:rPr>
        <w:t>3</w:t>
      </w:r>
      <w:r w:rsidRPr="00771CD5">
        <w:rPr>
          <w:rFonts w:ascii="Times New Roman" w:hAnsi="Times New Roman"/>
          <w:sz w:val="20"/>
          <w:szCs w:val="20"/>
        </w:rPr>
        <w:t xml:space="preserve">), 7.76 (pseudo-d, </w:t>
      </w:r>
      <w:r w:rsidRPr="00771CD5">
        <w:rPr>
          <w:rFonts w:ascii="Times New Roman" w:hAnsi="Times New Roman"/>
          <w:i/>
          <w:iCs/>
          <w:sz w:val="20"/>
          <w:szCs w:val="20"/>
        </w:rPr>
        <w:t>J</w:t>
      </w:r>
      <w:r w:rsidRPr="00771CD5">
        <w:rPr>
          <w:rFonts w:ascii="Times New Roman" w:hAnsi="Times New Roman"/>
          <w:sz w:val="20"/>
          <w:szCs w:val="20"/>
        </w:rPr>
        <w:t xml:space="preserve"> 9 Hz, 2H, Ar-CH), 7.96 (pseudo-d, </w:t>
      </w:r>
      <w:r w:rsidRPr="00771CD5">
        <w:rPr>
          <w:rFonts w:ascii="Times New Roman" w:hAnsi="Times New Roman"/>
          <w:i/>
          <w:iCs/>
          <w:sz w:val="20"/>
          <w:szCs w:val="20"/>
        </w:rPr>
        <w:t>J</w:t>
      </w:r>
      <w:r w:rsidRPr="00771CD5">
        <w:rPr>
          <w:rFonts w:ascii="Times New Roman" w:hAnsi="Times New Roman"/>
          <w:sz w:val="20"/>
          <w:szCs w:val="20"/>
        </w:rPr>
        <w:t xml:space="preserve"> 9 Hz, 2H, Ar-CH), 11.13 (s, 1H, NH of thiazole). IR (KBr pellet): </w:t>
      </w:r>
      <w:r w:rsidRPr="00771CD5">
        <w:rPr>
          <w:rFonts w:ascii="Times New Roman" w:eastAsia="+mn-ea" w:hAnsi="Times New Roman"/>
          <w:kern w:val="24"/>
          <w:sz w:val="20"/>
          <w:szCs w:val="20"/>
        </w:rPr>
        <w:t>ν</w:t>
      </w:r>
      <w:r w:rsidRPr="00771CD5">
        <w:rPr>
          <w:rFonts w:ascii="Times New Roman" w:hAnsi="Times New Roman"/>
          <w:sz w:val="20"/>
          <w:szCs w:val="20"/>
        </w:rPr>
        <w:t>(N-H) 3280 cm</w:t>
      </w:r>
      <w:r w:rsidRPr="00771CD5">
        <w:rPr>
          <w:rFonts w:ascii="Times New Roman" w:hAnsi="Times New Roman"/>
          <w:sz w:val="20"/>
          <w:szCs w:val="20"/>
          <w:vertAlign w:val="superscript"/>
        </w:rPr>
        <w:t>-1</w:t>
      </w:r>
      <w:r w:rsidRPr="00771CD5">
        <w:rPr>
          <w:rFonts w:ascii="Times New Roman" w:hAnsi="Times New Roman"/>
          <w:sz w:val="20"/>
          <w:szCs w:val="20"/>
        </w:rPr>
        <w:t xml:space="preserve">, </w:t>
      </w:r>
      <w:r w:rsidRPr="00771CD5">
        <w:rPr>
          <w:rFonts w:ascii="Times New Roman" w:eastAsia="+mn-ea" w:hAnsi="Times New Roman"/>
          <w:kern w:val="24"/>
          <w:sz w:val="20"/>
          <w:szCs w:val="20"/>
        </w:rPr>
        <w:t>ν(C-H) 3029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w:t>
      </w:r>
      <w:r w:rsidRPr="00771CD5">
        <w:rPr>
          <w:rFonts w:ascii="Times New Roman" w:hAnsi="Times New Roman"/>
          <w:sz w:val="20"/>
          <w:szCs w:val="20"/>
        </w:rPr>
        <w:t xml:space="preserve"> </w:t>
      </w:r>
      <w:r w:rsidRPr="00771CD5">
        <w:rPr>
          <w:rFonts w:ascii="Times New Roman" w:eastAsia="+mn-ea" w:hAnsi="Times New Roman"/>
          <w:kern w:val="24"/>
          <w:sz w:val="20"/>
          <w:szCs w:val="20"/>
        </w:rPr>
        <w:t>ν(C=O) 1711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ν(C=N) 1610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ν(C-S) 593 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UV-Vis (MeOH): λ</w:t>
      </w:r>
      <w:r w:rsidRPr="00771CD5">
        <w:rPr>
          <w:rFonts w:ascii="Times New Roman" w:eastAsia="+mn-ea" w:hAnsi="Times New Roman"/>
          <w:kern w:val="24"/>
          <w:sz w:val="20"/>
          <w:szCs w:val="20"/>
          <w:vertAlign w:val="subscript"/>
        </w:rPr>
        <w:t>abs</w:t>
      </w:r>
      <w:r w:rsidRPr="00771CD5">
        <w:rPr>
          <w:rFonts w:ascii="Times New Roman" w:eastAsia="+mn-ea" w:hAnsi="Times New Roman"/>
          <w:kern w:val="24"/>
          <w:sz w:val="20"/>
          <w:szCs w:val="20"/>
        </w:rPr>
        <w:t xml:space="preserve"> (n-π</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229 nm, 21700 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λ</w:t>
      </w:r>
      <w:r w:rsidRPr="00771CD5">
        <w:rPr>
          <w:rFonts w:ascii="Times New Roman" w:eastAsia="+mn-ea" w:hAnsi="Times New Roman"/>
          <w:kern w:val="24"/>
          <w:sz w:val="20"/>
          <w:szCs w:val="20"/>
          <w:vertAlign w:val="subscript"/>
        </w:rPr>
        <w:t>abs</w:t>
      </w:r>
      <w:r w:rsidRPr="00771CD5">
        <w:rPr>
          <w:rFonts w:ascii="Times New Roman" w:eastAsia="+mn-ea" w:hAnsi="Times New Roman"/>
          <w:kern w:val="24"/>
          <w:sz w:val="20"/>
          <w:szCs w:val="20"/>
        </w:rPr>
        <w:t xml:space="preserve"> (n-π</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284 nm, 14900 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λ</w:t>
      </w:r>
      <w:r w:rsidRPr="00771CD5">
        <w:rPr>
          <w:rFonts w:ascii="Times New Roman" w:eastAsia="+mn-ea" w:hAnsi="Times New Roman"/>
          <w:kern w:val="24"/>
          <w:sz w:val="20"/>
          <w:szCs w:val="20"/>
          <w:vertAlign w:val="subscript"/>
        </w:rPr>
        <w:t>abs</w:t>
      </w:r>
      <w:r w:rsidRPr="00771CD5">
        <w:rPr>
          <w:rFonts w:ascii="Times New Roman" w:eastAsia="+mn-ea" w:hAnsi="Times New Roman"/>
          <w:kern w:val="24"/>
          <w:sz w:val="20"/>
          <w:szCs w:val="20"/>
        </w:rPr>
        <w:t xml:space="preserve"> (π-π</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352 nm, 82200 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cm</w:t>
      </w:r>
      <w:r w:rsidRPr="00771CD5">
        <w:rPr>
          <w:rFonts w:ascii="Times New Roman" w:eastAsia="+mn-ea" w:hAnsi="Times New Roman"/>
          <w:kern w:val="24"/>
          <w:sz w:val="20"/>
          <w:szCs w:val="20"/>
          <w:vertAlign w:val="superscript"/>
        </w:rPr>
        <w:t>-1</w:t>
      </w:r>
      <w:r w:rsidRPr="00771CD5">
        <w:rPr>
          <w:rFonts w:ascii="Times New Roman" w:eastAsia="+mn-ea" w:hAnsi="Times New Roman"/>
          <w:kern w:val="24"/>
          <w:sz w:val="20"/>
          <w:szCs w:val="20"/>
        </w:rPr>
        <w:t>. M/S: Requires M</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xml:space="preserve"> 290.07; Found M</w:t>
      </w:r>
      <w:r w:rsidRPr="00771CD5">
        <w:rPr>
          <w:rFonts w:ascii="Times New Roman" w:eastAsia="+mn-ea" w:hAnsi="Times New Roman"/>
          <w:kern w:val="24"/>
          <w:sz w:val="20"/>
          <w:szCs w:val="20"/>
          <w:vertAlign w:val="superscript"/>
        </w:rPr>
        <w:t>+</w:t>
      </w:r>
      <w:r w:rsidRPr="00771CD5">
        <w:rPr>
          <w:rFonts w:ascii="Times New Roman" w:eastAsia="+mn-ea" w:hAnsi="Times New Roman"/>
          <w:kern w:val="24"/>
          <w:sz w:val="20"/>
          <w:szCs w:val="20"/>
        </w:rPr>
        <w:t xml:space="preserve"> 290.08, m/z: 275.00, 247.00, 162.00 and 122.00. Structure of synthesized thiazole derivatives are shown in Figure 1.</w:t>
      </w:r>
    </w:p>
    <w:p w:rsidR="00771CD5" w:rsidRPr="00771CD5" w:rsidRDefault="00771CD5" w:rsidP="00771CD5">
      <w:pPr>
        <w:spacing w:after="120" w:line="240" w:lineRule="auto"/>
        <w:jc w:val="both"/>
        <w:outlineLvl w:val="0"/>
        <w:rPr>
          <w:rFonts w:ascii="Times New Roman" w:eastAsia="+mn-ea" w:hAnsi="Times New Roman"/>
          <w:kern w:val="24"/>
          <w:sz w:val="20"/>
          <w:szCs w:val="20"/>
        </w:rPr>
      </w:pPr>
    </w:p>
    <w:p w:rsidR="00771CD5" w:rsidRPr="00771CD5" w:rsidRDefault="00771CD5" w:rsidP="00771CD5">
      <w:pPr>
        <w:spacing w:after="120" w:line="240" w:lineRule="auto"/>
        <w:jc w:val="center"/>
        <w:outlineLvl w:val="0"/>
        <w:rPr>
          <w:rFonts w:ascii="Times New Roman" w:hAnsi="Times New Roman"/>
          <w:sz w:val="20"/>
          <w:szCs w:val="20"/>
        </w:rPr>
      </w:pPr>
      <w:r w:rsidRPr="00771CD5">
        <w:rPr>
          <w:rFonts w:ascii="Times New Roman" w:hAnsi="Times New Roman"/>
          <w:noProof/>
          <w:sz w:val="20"/>
          <w:szCs w:val="20"/>
        </w:rPr>
        <w:object w:dxaOrig="7975" w:dyaOrig="1339">
          <v:shape id="_x0000_i1026" type="#_x0000_t75" alt="" style="width:400.35pt;height:66pt;mso-width-percent:0;mso-height-percent:0;mso-width-percent:0;mso-height-percent:0" o:ole="">
            <v:imagedata r:id="rId13" o:title=""/>
          </v:shape>
          <o:OLEObject Type="Embed" ProgID="ChemDraw.Document.6.0" ShapeID="_x0000_i1026" DrawAspect="Content" ObjectID="_1617133310" r:id="rId14"/>
        </w:object>
      </w:r>
    </w:p>
    <w:p w:rsidR="00771CD5" w:rsidRPr="00771CD5" w:rsidRDefault="00771CD5" w:rsidP="00771CD5">
      <w:pPr>
        <w:spacing w:after="0" w:line="240" w:lineRule="auto"/>
        <w:jc w:val="center"/>
        <w:outlineLvl w:val="0"/>
        <w:rPr>
          <w:rFonts w:ascii="Times New Roman" w:hAnsi="Times New Roman"/>
          <w:sz w:val="20"/>
          <w:szCs w:val="20"/>
        </w:rPr>
      </w:pPr>
      <w:r w:rsidRPr="00771CD5">
        <w:rPr>
          <w:rFonts w:ascii="Times New Roman" w:hAnsi="Times New Roman"/>
          <w:sz w:val="20"/>
          <w:szCs w:val="20"/>
        </w:rPr>
        <w:t xml:space="preserve">Figure 1. </w:t>
      </w:r>
      <w:r>
        <w:rPr>
          <w:rFonts w:ascii="Times New Roman" w:hAnsi="Times New Roman"/>
          <w:sz w:val="20"/>
          <w:szCs w:val="20"/>
        </w:rPr>
        <w:t xml:space="preserve"> </w:t>
      </w:r>
      <w:r w:rsidRPr="00771CD5">
        <w:rPr>
          <w:rFonts w:ascii="Times New Roman" w:hAnsi="Times New Roman"/>
          <w:sz w:val="20"/>
          <w:szCs w:val="20"/>
        </w:rPr>
        <w:t>Structure of synthesized thiazole derivatives</w:t>
      </w:r>
    </w:p>
    <w:p w:rsidR="00771CD5" w:rsidRPr="00771CD5" w:rsidRDefault="00771CD5" w:rsidP="00771CD5">
      <w:pPr>
        <w:spacing w:after="120" w:line="240" w:lineRule="auto"/>
        <w:jc w:val="both"/>
        <w:outlineLvl w:val="0"/>
        <w:rPr>
          <w:rFonts w:ascii="Times New Roman" w:eastAsia="+mn-ea" w:hAnsi="Times New Roman"/>
          <w:kern w:val="24"/>
          <w:sz w:val="20"/>
          <w:szCs w:val="20"/>
        </w:rPr>
      </w:pPr>
    </w:p>
    <w:p w:rsidR="00771CD5" w:rsidRPr="00771CD5" w:rsidRDefault="00771CD5" w:rsidP="00771CD5">
      <w:pPr>
        <w:spacing w:after="0" w:line="240" w:lineRule="auto"/>
        <w:jc w:val="both"/>
        <w:outlineLvl w:val="0"/>
        <w:rPr>
          <w:rFonts w:ascii="Times New Roman" w:eastAsia="+mn-ea" w:hAnsi="Times New Roman"/>
          <w:kern w:val="24"/>
          <w:sz w:val="20"/>
          <w:szCs w:val="20"/>
        </w:rPr>
      </w:pPr>
      <w:r w:rsidRPr="00771CD5">
        <w:rPr>
          <w:rFonts w:ascii="Times New Roman" w:eastAsia="+mn-ea" w:hAnsi="Times New Roman"/>
          <w:kern w:val="24"/>
          <w:sz w:val="20"/>
          <w:szCs w:val="20"/>
        </w:rPr>
        <w:t xml:space="preserve">A series of thiazole derivatives were successfully synthesized in moderately good yields according to previous literature with some modification [19]. The synthesis of the target compounds was straightforward, and the general synthetic pathway is illustrated in Scheme 1. Haloketone namely 3-chloroacetyl acetone was reacted with ammonium thiocyanate in acetone to give thiocyanato acetylacetone and ammonium salt as by-product. Next, the amines; 3, 4-dichloroaniline, 4-aminophenol and methyl-4-aminobenzoate were added to the reaction mixture to produce the titled compounds </w:t>
      </w:r>
      <w:r w:rsidRPr="00771CD5">
        <w:rPr>
          <w:rFonts w:ascii="Times New Roman" w:eastAsia="+mn-ea" w:hAnsi="Times New Roman"/>
          <w:b/>
          <w:bCs/>
          <w:kern w:val="24"/>
          <w:sz w:val="20"/>
          <w:szCs w:val="20"/>
        </w:rPr>
        <w:t>T1</w:t>
      </w:r>
      <w:r w:rsidRPr="00771CD5">
        <w:rPr>
          <w:rFonts w:ascii="Times New Roman" w:eastAsia="+mn-ea" w:hAnsi="Times New Roman"/>
          <w:kern w:val="24"/>
          <w:sz w:val="20"/>
          <w:szCs w:val="20"/>
        </w:rPr>
        <w:t>,</w:t>
      </w:r>
      <w:r w:rsidRPr="00771CD5">
        <w:rPr>
          <w:rFonts w:ascii="Times New Roman" w:eastAsia="+mn-ea" w:hAnsi="Times New Roman"/>
          <w:b/>
          <w:bCs/>
          <w:kern w:val="24"/>
          <w:sz w:val="20"/>
          <w:szCs w:val="20"/>
        </w:rPr>
        <w:t xml:space="preserve"> T2 </w:t>
      </w:r>
      <w:r w:rsidRPr="00771CD5">
        <w:rPr>
          <w:rFonts w:ascii="Times New Roman" w:eastAsia="+mn-ea" w:hAnsi="Times New Roman"/>
          <w:kern w:val="24"/>
          <w:sz w:val="20"/>
          <w:szCs w:val="20"/>
        </w:rPr>
        <w:t xml:space="preserve">and </w:t>
      </w:r>
      <w:r w:rsidRPr="00771CD5">
        <w:rPr>
          <w:rFonts w:ascii="Times New Roman" w:eastAsia="+mn-ea" w:hAnsi="Times New Roman"/>
          <w:b/>
          <w:bCs/>
          <w:kern w:val="24"/>
          <w:sz w:val="20"/>
          <w:szCs w:val="20"/>
        </w:rPr>
        <w:t>T3</w:t>
      </w:r>
      <w:r w:rsidRPr="00771CD5">
        <w:rPr>
          <w:rFonts w:ascii="Times New Roman" w:eastAsia="+mn-ea" w:hAnsi="Times New Roman"/>
          <w:kern w:val="24"/>
          <w:sz w:val="20"/>
          <w:szCs w:val="20"/>
        </w:rPr>
        <w:t xml:space="preserve"> respectively. The chemical structure of compounds </w:t>
      </w:r>
      <w:r w:rsidRPr="00771CD5">
        <w:rPr>
          <w:rFonts w:ascii="Times New Roman" w:eastAsia="+mn-ea" w:hAnsi="Times New Roman"/>
          <w:b/>
          <w:bCs/>
          <w:kern w:val="24"/>
          <w:sz w:val="20"/>
          <w:szCs w:val="20"/>
        </w:rPr>
        <w:t>T1</w:t>
      </w:r>
      <w:r w:rsidRPr="00771CD5">
        <w:rPr>
          <w:rFonts w:ascii="Times New Roman" w:eastAsia="+mn-ea" w:hAnsi="Times New Roman"/>
          <w:kern w:val="24"/>
          <w:sz w:val="20"/>
          <w:szCs w:val="20"/>
        </w:rPr>
        <w:t>-</w:t>
      </w:r>
      <w:r w:rsidRPr="00771CD5">
        <w:rPr>
          <w:rFonts w:ascii="Times New Roman" w:eastAsia="+mn-ea" w:hAnsi="Times New Roman"/>
          <w:b/>
          <w:bCs/>
          <w:kern w:val="24"/>
          <w:sz w:val="20"/>
          <w:szCs w:val="20"/>
        </w:rPr>
        <w:t xml:space="preserve">T3 </w:t>
      </w:r>
      <w:r w:rsidRPr="00771CD5">
        <w:rPr>
          <w:rFonts w:ascii="Times New Roman" w:eastAsia="+mn-ea" w:hAnsi="Times New Roman"/>
          <w:kern w:val="24"/>
          <w:sz w:val="20"/>
          <w:szCs w:val="20"/>
        </w:rPr>
        <w:t>was proved by spectroscopic and spectrometry data.</w:t>
      </w:r>
    </w:p>
    <w:p w:rsidR="00771CD5" w:rsidRPr="00771CD5" w:rsidRDefault="00771CD5" w:rsidP="00771CD5">
      <w:pPr>
        <w:spacing w:after="0" w:line="240" w:lineRule="auto"/>
        <w:jc w:val="both"/>
        <w:outlineLvl w:val="0"/>
        <w:rPr>
          <w:rFonts w:ascii="Times New Roman" w:eastAsia="+mn-ea" w:hAnsi="Times New Roman"/>
          <w:kern w:val="24"/>
          <w:sz w:val="20"/>
          <w:szCs w:val="20"/>
        </w:rPr>
      </w:pPr>
    </w:p>
    <w:p w:rsidR="00771CD5" w:rsidRPr="00771CD5" w:rsidRDefault="00771CD5" w:rsidP="00771CD5">
      <w:pPr>
        <w:spacing w:after="0" w:line="240" w:lineRule="auto"/>
        <w:jc w:val="both"/>
        <w:outlineLvl w:val="0"/>
        <w:rPr>
          <w:rFonts w:ascii="Times New Roman" w:eastAsia="+mn-ea" w:hAnsi="Times New Roman"/>
          <w:kern w:val="24"/>
          <w:sz w:val="20"/>
          <w:szCs w:val="20"/>
          <w:lang w:val="en-MY"/>
        </w:rPr>
      </w:pPr>
      <w:r w:rsidRPr="00771CD5">
        <w:rPr>
          <w:rFonts w:ascii="Times New Roman" w:eastAsia="+mn-ea" w:hAnsi="Times New Roman"/>
          <w:kern w:val="24"/>
          <w:sz w:val="20"/>
          <w:szCs w:val="20"/>
        </w:rPr>
        <w:t xml:space="preserve">There are five important absorption bands of interest in all IR spectra of </w:t>
      </w:r>
      <w:r w:rsidRPr="00771CD5">
        <w:rPr>
          <w:rFonts w:ascii="Times New Roman" w:eastAsia="+mn-ea" w:hAnsi="Times New Roman"/>
          <w:b/>
          <w:bCs/>
          <w:kern w:val="24"/>
          <w:sz w:val="20"/>
          <w:szCs w:val="20"/>
        </w:rPr>
        <w:t>T1</w:t>
      </w:r>
      <w:r w:rsidRPr="00771CD5">
        <w:rPr>
          <w:rFonts w:ascii="Times New Roman" w:eastAsia="+mn-ea" w:hAnsi="Times New Roman"/>
          <w:kern w:val="24"/>
          <w:sz w:val="20"/>
          <w:szCs w:val="20"/>
        </w:rPr>
        <w:t xml:space="preserve">, </w:t>
      </w:r>
      <w:r w:rsidRPr="00771CD5">
        <w:rPr>
          <w:rFonts w:ascii="Times New Roman" w:eastAsia="+mn-ea" w:hAnsi="Times New Roman"/>
          <w:b/>
          <w:bCs/>
          <w:kern w:val="24"/>
          <w:sz w:val="20"/>
          <w:szCs w:val="20"/>
        </w:rPr>
        <w:t>T2</w:t>
      </w:r>
      <w:r w:rsidRPr="00771CD5">
        <w:rPr>
          <w:rFonts w:ascii="Times New Roman" w:eastAsia="+mn-ea" w:hAnsi="Times New Roman"/>
          <w:kern w:val="24"/>
          <w:sz w:val="20"/>
          <w:szCs w:val="20"/>
        </w:rPr>
        <w:t xml:space="preserve"> and </w:t>
      </w:r>
      <w:r w:rsidRPr="00771CD5">
        <w:rPr>
          <w:rFonts w:ascii="Times New Roman" w:eastAsia="+mn-ea" w:hAnsi="Times New Roman"/>
          <w:b/>
          <w:bCs/>
          <w:kern w:val="24"/>
          <w:sz w:val="20"/>
          <w:szCs w:val="20"/>
        </w:rPr>
        <w:t>T3</w:t>
      </w:r>
      <w:r w:rsidRPr="00771CD5">
        <w:rPr>
          <w:rFonts w:ascii="Times New Roman" w:eastAsia="+mn-ea" w:hAnsi="Times New Roman"/>
          <w:kern w:val="24"/>
          <w:sz w:val="20"/>
          <w:szCs w:val="20"/>
        </w:rPr>
        <w:t xml:space="preserve"> namely </w:t>
      </w:r>
      <w:r w:rsidRPr="00771CD5">
        <w:rPr>
          <w:rFonts w:ascii="Times New Roman" w:eastAsia="+mn-ea" w:hAnsi="Times New Roman"/>
          <w:i/>
          <w:iCs/>
          <w:kern w:val="24"/>
          <w:sz w:val="20"/>
          <w:szCs w:val="20"/>
          <w:lang w:val="en-MY"/>
        </w:rPr>
        <w:t>v</w:t>
      </w:r>
      <w:r w:rsidRPr="00771CD5">
        <w:rPr>
          <w:rFonts w:ascii="Times New Roman" w:eastAsia="+mn-ea" w:hAnsi="Times New Roman"/>
          <w:kern w:val="24"/>
          <w:sz w:val="20"/>
          <w:szCs w:val="20"/>
          <w:lang w:val="en-MY"/>
        </w:rPr>
        <w:t xml:space="preserve">(N-H), </w:t>
      </w:r>
      <w:r w:rsidRPr="00771CD5">
        <w:rPr>
          <w:rFonts w:ascii="Times New Roman" w:eastAsia="+mn-ea" w:hAnsi="Times New Roman"/>
          <w:i/>
          <w:iCs/>
          <w:kern w:val="24"/>
          <w:sz w:val="20"/>
          <w:szCs w:val="20"/>
          <w:lang w:val="en-MY"/>
        </w:rPr>
        <w:t>v</w:t>
      </w:r>
      <w:r w:rsidRPr="00771CD5">
        <w:rPr>
          <w:rFonts w:ascii="Times New Roman" w:eastAsia="+mn-ea" w:hAnsi="Times New Roman"/>
          <w:kern w:val="24"/>
          <w:sz w:val="20"/>
          <w:szCs w:val="20"/>
          <w:lang w:val="en-MY"/>
        </w:rPr>
        <w:t xml:space="preserve">(C-H), </w:t>
      </w:r>
      <w:r w:rsidRPr="00771CD5">
        <w:rPr>
          <w:rFonts w:ascii="Times New Roman" w:eastAsia="+mn-ea" w:hAnsi="Times New Roman"/>
          <w:i/>
          <w:iCs/>
          <w:kern w:val="24"/>
          <w:sz w:val="20"/>
          <w:szCs w:val="20"/>
          <w:lang w:val="en-MY"/>
        </w:rPr>
        <w:t>v</w:t>
      </w:r>
      <w:r w:rsidRPr="00771CD5">
        <w:rPr>
          <w:rFonts w:ascii="Times New Roman" w:eastAsia="+mn-ea" w:hAnsi="Times New Roman"/>
          <w:kern w:val="24"/>
          <w:sz w:val="20"/>
          <w:szCs w:val="20"/>
          <w:lang w:val="en-MY"/>
        </w:rPr>
        <w:t xml:space="preserve">(C=O), </w:t>
      </w:r>
      <w:r w:rsidRPr="00771CD5">
        <w:rPr>
          <w:rFonts w:ascii="Times New Roman" w:eastAsia="+mn-ea" w:hAnsi="Times New Roman"/>
          <w:i/>
          <w:iCs/>
          <w:kern w:val="24"/>
          <w:sz w:val="20"/>
          <w:szCs w:val="20"/>
          <w:lang w:val="en-MY"/>
        </w:rPr>
        <w:t>v</w:t>
      </w:r>
      <w:r w:rsidRPr="00771CD5">
        <w:rPr>
          <w:rFonts w:ascii="Times New Roman" w:eastAsia="+mn-ea" w:hAnsi="Times New Roman"/>
          <w:kern w:val="24"/>
          <w:sz w:val="20"/>
          <w:szCs w:val="20"/>
          <w:lang w:val="en-MY"/>
        </w:rPr>
        <w:t xml:space="preserve">(C=N) and </w:t>
      </w:r>
      <w:r w:rsidRPr="00771CD5">
        <w:rPr>
          <w:rFonts w:ascii="Times New Roman" w:eastAsia="+mn-ea" w:hAnsi="Times New Roman"/>
          <w:i/>
          <w:iCs/>
          <w:kern w:val="24"/>
          <w:sz w:val="20"/>
          <w:szCs w:val="20"/>
          <w:lang w:val="en-MY"/>
        </w:rPr>
        <w:t>v</w:t>
      </w:r>
      <w:r w:rsidRPr="00771CD5">
        <w:rPr>
          <w:rFonts w:ascii="Times New Roman" w:eastAsia="+mn-ea" w:hAnsi="Times New Roman"/>
          <w:kern w:val="24"/>
          <w:sz w:val="20"/>
          <w:szCs w:val="20"/>
          <w:lang w:val="en-MY"/>
        </w:rPr>
        <w:t>(C-S). The first band was assigned as N-H stretching and can be observed in the region of 3280-3242 cm</w:t>
      </w:r>
      <w:r w:rsidRPr="00771CD5">
        <w:rPr>
          <w:rFonts w:ascii="Times New Roman" w:eastAsia="+mn-ea" w:hAnsi="Times New Roman"/>
          <w:kern w:val="24"/>
          <w:sz w:val="20"/>
          <w:szCs w:val="20"/>
          <w:vertAlign w:val="superscript"/>
          <w:lang w:val="en-MY"/>
        </w:rPr>
        <w:t>-1</w:t>
      </w:r>
      <w:r w:rsidRPr="00771CD5">
        <w:rPr>
          <w:rFonts w:ascii="Times New Roman" w:eastAsia="+mn-ea" w:hAnsi="Times New Roman"/>
          <w:kern w:val="24"/>
          <w:sz w:val="20"/>
          <w:szCs w:val="20"/>
          <w:lang w:val="en-MY"/>
        </w:rPr>
        <w:t xml:space="preserve"> as previously reported [20]. C-H stretching can be observed at typical range between 3029 cm</w:t>
      </w:r>
      <w:r w:rsidRPr="00771CD5">
        <w:rPr>
          <w:rFonts w:ascii="Times New Roman" w:eastAsia="+mn-ea" w:hAnsi="Times New Roman"/>
          <w:kern w:val="24"/>
          <w:sz w:val="20"/>
          <w:szCs w:val="20"/>
          <w:vertAlign w:val="superscript"/>
          <w:lang w:val="en-MY"/>
        </w:rPr>
        <w:t>-1</w:t>
      </w:r>
      <w:r w:rsidRPr="00771CD5">
        <w:rPr>
          <w:rFonts w:ascii="Times New Roman" w:eastAsia="+mn-ea" w:hAnsi="Times New Roman"/>
          <w:kern w:val="24"/>
          <w:sz w:val="20"/>
          <w:szCs w:val="20"/>
          <w:lang w:val="en-MY"/>
        </w:rPr>
        <w:t xml:space="preserve"> and 2924 cm</w:t>
      </w:r>
      <w:r w:rsidRPr="00771CD5">
        <w:rPr>
          <w:rFonts w:ascii="Times New Roman" w:eastAsia="+mn-ea" w:hAnsi="Times New Roman"/>
          <w:kern w:val="24"/>
          <w:sz w:val="20"/>
          <w:szCs w:val="20"/>
          <w:vertAlign w:val="superscript"/>
          <w:lang w:val="en-MY"/>
        </w:rPr>
        <w:t>-1</w:t>
      </w:r>
      <w:r w:rsidRPr="00771CD5">
        <w:rPr>
          <w:rFonts w:ascii="Times New Roman" w:eastAsia="+mn-ea" w:hAnsi="Times New Roman"/>
          <w:kern w:val="24"/>
          <w:sz w:val="20"/>
          <w:szCs w:val="20"/>
          <w:lang w:val="en-MY"/>
        </w:rPr>
        <w:t>. As reported in literature studies [21,22], C=O absorption band at 1711-1604 cm</w:t>
      </w:r>
      <w:r w:rsidRPr="00771CD5">
        <w:rPr>
          <w:rFonts w:ascii="Times New Roman" w:eastAsia="+mn-ea" w:hAnsi="Times New Roman"/>
          <w:kern w:val="24"/>
          <w:sz w:val="20"/>
          <w:szCs w:val="20"/>
          <w:vertAlign w:val="superscript"/>
          <w:lang w:val="en-MY"/>
        </w:rPr>
        <w:t>-1</w:t>
      </w:r>
      <w:r w:rsidRPr="00771CD5">
        <w:rPr>
          <w:rFonts w:ascii="Times New Roman" w:eastAsia="+mn-ea" w:hAnsi="Times New Roman"/>
          <w:kern w:val="24"/>
          <w:sz w:val="20"/>
          <w:szCs w:val="20"/>
          <w:lang w:val="en-MY"/>
        </w:rPr>
        <w:t xml:space="preserve"> appears as intense peak as a result of high dipole moment due to large partial negative charge of oxygen. Meanwhile, C=N and C-S stretching bands are observed at 1610-1545 cm</w:t>
      </w:r>
      <w:r w:rsidRPr="00771CD5">
        <w:rPr>
          <w:rFonts w:ascii="Times New Roman" w:eastAsia="+mn-ea" w:hAnsi="Times New Roman"/>
          <w:kern w:val="24"/>
          <w:sz w:val="20"/>
          <w:szCs w:val="20"/>
          <w:vertAlign w:val="superscript"/>
          <w:lang w:val="en-MY"/>
        </w:rPr>
        <w:t>-1</w:t>
      </w:r>
      <w:r w:rsidRPr="00771CD5">
        <w:rPr>
          <w:rFonts w:ascii="Times New Roman" w:eastAsia="+mn-ea" w:hAnsi="Times New Roman"/>
          <w:kern w:val="24"/>
          <w:sz w:val="20"/>
          <w:szCs w:val="20"/>
          <w:lang w:val="en-MY"/>
        </w:rPr>
        <w:t xml:space="preserve"> and 723-593 cm</w:t>
      </w:r>
      <w:r w:rsidRPr="00771CD5">
        <w:rPr>
          <w:rFonts w:ascii="Times New Roman" w:eastAsia="+mn-ea" w:hAnsi="Times New Roman"/>
          <w:kern w:val="24"/>
          <w:sz w:val="20"/>
          <w:szCs w:val="20"/>
          <w:vertAlign w:val="superscript"/>
          <w:lang w:val="en-MY"/>
        </w:rPr>
        <w:t>-1</w:t>
      </w:r>
      <w:r w:rsidRPr="00771CD5">
        <w:rPr>
          <w:rFonts w:ascii="Times New Roman" w:eastAsia="+mn-ea" w:hAnsi="Times New Roman"/>
          <w:kern w:val="24"/>
          <w:sz w:val="20"/>
          <w:szCs w:val="20"/>
          <w:lang w:val="en-MY"/>
        </w:rPr>
        <w:t xml:space="preserve"> respectively. Figure 2 shows the FTIR spectrum of 5-acetyl-4-methyl-2-(methyl-4-aminobenzoate)-1,3-thiazole (</w:t>
      </w:r>
      <w:r w:rsidRPr="00771CD5">
        <w:rPr>
          <w:rFonts w:ascii="Times New Roman" w:eastAsia="+mn-ea" w:hAnsi="Times New Roman"/>
          <w:b/>
          <w:kern w:val="24"/>
          <w:sz w:val="20"/>
          <w:szCs w:val="20"/>
          <w:lang w:val="en-MY"/>
        </w:rPr>
        <w:t>T3</w:t>
      </w:r>
      <w:r w:rsidRPr="00771CD5">
        <w:rPr>
          <w:rFonts w:ascii="Times New Roman" w:eastAsia="+mn-ea" w:hAnsi="Times New Roman"/>
          <w:kern w:val="24"/>
          <w:sz w:val="20"/>
          <w:szCs w:val="20"/>
          <w:lang w:val="en-MY"/>
        </w:rPr>
        <w:t xml:space="preserve">) as representative of this series. </w:t>
      </w:r>
    </w:p>
    <w:p w:rsidR="00771CD5" w:rsidRPr="00771CD5" w:rsidRDefault="00771CD5" w:rsidP="00771CD5">
      <w:pPr>
        <w:spacing w:after="120" w:line="240" w:lineRule="auto"/>
        <w:jc w:val="both"/>
        <w:outlineLvl w:val="0"/>
        <w:rPr>
          <w:rFonts w:ascii="Times New Roman" w:eastAsia="+mn-ea" w:hAnsi="Times New Roman"/>
          <w:kern w:val="24"/>
          <w:sz w:val="20"/>
          <w:szCs w:val="20"/>
          <w:lang w:val="en-MY"/>
        </w:rPr>
      </w:pPr>
    </w:p>
    <w:p w:rsidR="00771CD5" w:rsidRPr="00771CD5" w:rsidRDefault="00771CD5" w:rsidP="00771CD5">
      <w:pPr>
        <w:spacing w:after="120" w:line="240" w:lineRule="auto"/>
        <w:jc w:val="center"/>
        <w:outlineLvl w:val="0"/>
        <w:rPr>
          <w:rFonts w:ascii="Times New Roman" w:eastAsia="+mn-ea" w:hAnsi="Times New Roman"/>
          <w:kern w:val="24"/>
          <w:sz w:val="20"/>
          <w:szCs w:val="20"/>
          <w:lang w:val="en-MY"/>
        </w:rPr>
      </w:pPr>
      <w:r w:rsidRPr="00771CD5">
        <w:rPr>
          <w:rFonts w:ascii="Times New Roman" w:eastAsia="+mn-ea" w:hAnsi="Times New Roman"/>
          <w:noProof/>
          <w:kern w:val="24"/>
          <w:sz w:val="20"/>
          <w:szCs w:val="20"/>
          <w:lang w:bidi="ar-SA"/>
        </w:rPr>
        <w:drawing>
          <wp:inline distT="0" distB="0" distL="0" distR="0" wp14:anchorId="4506BF33" wp14:editId="2EE1DBD3">
            <wp:extent cx="4927930" cy="1982419"/>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53320" cy="1992633"/>
                    </a:xfrm>
                    <a:prstGeom prst="rect">
                      <a:avLst/>
                    </a:prstGeom>
                  </pic:spPr>
                </pic:pic>
              </a:graphicData>
            </a:graphic>
          </wp:inline>
        </w:drawing>
      </w:r>
    </w:p>
    <w:p w:rsidR="00771CD5" w:rsidRPr="00771CD5" w:rsidRDefault="00771CD5" w:rsidP="00771CD5">
      <w:pPr>
        <w:spacing w:after="0" w:line="240" w:lineRule="auto"/>
        <w:jc w:val="center"/>
        <w:outlineLvl w:val="0"/>
        <w:rPr>
          <w:rFonts w:ascii="Times New Roman" w:eastAsia="+mn-ea" w:hAnsi="Times New Roman"/>
          <w:kern w:val="24"/>
          <w:sz w:val="20"/>
          <w:szCs w:val="20"/>
          <w:lang w:val="en-MY"/>
        </w:rPr>
      </w:pPr>
      <w:r w:rsidRPr="00771CD5">
        <w:rPr>
          <w:rFonts w:ascii="Times New Roman" w:eastAsia="+mn-ea" w:hAnsi="Times New Roman"/>
          <w:kern w:val="24"/>
          <w:sz w:val="20"/>
          <w:szCs w:val="20"/>
          <w:lang w:val="en-MY"/>
        </w:rPr>
        <w:t>Figure 2.</w:t>
      </w:r>
      <w:r>
        <w:rPr>
          <w:rFonts w:ascii="Times New Roman" w:eastAsia="+mn-ea" w:hAnsi="Times New Roman"/>
          <w:kern w:val="24"/>
          <w:sz w:val="20"/>
          <w:szCs w:val="20"/>
          <w:lang w:val="en-MY"/>
        </w:rPr>
        <w:t xml:space="preserve"> </w:t>
      </w:r>
      <w:r w:rsidRPr="00771CD5">
        <w:rPr>
          <w:rFonts w:ascii="Times New Roman" w:eastAsia="+mn-ea" w:hAnsi="Times New Roman"/>
          <w:kern w:val="24"/>
          <w:sz w:val="20"/>
          <w:szCs w:val="20"/>
          <w:lang w:val="en-MY"/>
        </w:rPr>
        <w:t xml:space="preserve"> FTIR spectrum of 5-acetyl-4-methyl-2-(methyl-4-aminobenzoate)-1,3-thiazole (</w:t>
      </w:r>
      <w:r w:rsidRPr="00771CD5">
        <w:rPr>
          <w:rFonts w:ascii="Times New Roman" w:eastAsia="+mn-ea" w:hAnsi="Times New Roman"/>
          <w:b/>
          <w:kern w:val="24"/>
          <w:sz w:val="20"/>
          <w:szCs w:val="20"/>
          <w:lang w:val="en-MY"/>
        </w:rPr>
        <w:t>T3</w:t>
      </w:r>
      <w:r w:rsidRPr="00771CD5">
        <w:rPr>
          <w:rFonts w:ascii="Times New Roman" w:eastAsia="+mn-ea" w:hAnsi="Times New Roman"/>
          <w:kern w:val="24"/>
          <w:sz w:val="20"/>
          <w:szCs w:val="20"/>
          <w:lang w:val="en-MY"/>
        </w:rPr>
        <w:t>)</w:t>
      </w:r>
    </w:p>
    <w:p w:rsidR="00771CD5" w:rsidRPr="00771CD5" w:rsidRDefault="00771CD5" w:rsidP="00771CD5">
      <w:pPr>
        <w:spacing w:after="120" w:line="240" w:lineRule="auto"/>
        <w:jc w:val="both"/>
        <w:outlineLvl w:val="0"/>
        <w:rPr>
          <w:rFonts w:ascii="Times New Roman" w:eastAsia="+mn-ea" w:hAnsi="Times New Roman"/>
          <w:kern w:val="24"/>
          <w:sz w:val="20"/>
          <w:szCs w:val="20"/>
          <w:lang w:val="en-MY"/>
        </w:rPr>
      </w:pPr>
    </w:p>
    <w:p w:rsidR="00771CD5" w:rsidRDefault="00771CD5" w:rsidP="00771CD5">
      <w:pPr>
        <w:spacing w:after="0" w:line="240" w:lineRule="auto"/>
        <w:jc w:val="both"/>
        <w:outlineLvl w:val="0"/>
        <w:rPr>
          <w:rFonts w:ascii="Times New Roman" w:eastAsia="+mn-ea" w:hAnsi="Times New Roman"/>
          <w:kern w:val="24"/>
          <w:sz w:val="20"/>
          <w:szCs w:val="20"/>
          <w:lang w:val="en-MY"/>
        </w:rPr>
      </w:pPr>
      <w:r w:rsidRPr="00771CD5">
        <w:rPr>
          <w:rFonts w:ascii="Times New Roman" w:eastAsia="+mn-ea" w:hAnsi="Times New Roman"/>
          <w:kern w:val="24"/>
          <w:sz w:val="20"/>
          <w:szCs w:val="20"/>
          <w:lang w:val="en-MY"/>
        </w:rPr>
        <w:t xml:space="preserve">Meanwhile in </w:t>
      </w:r>
      <w:r w:rsidRPr="00771CD5">
        <w:rPr>
          <w:rFonts w:ascii="Times New Roman" w:eastAsia="+mn-ea" w:hAnsi="Times New Roman"/>
          <w:kern w:val="24"/>
          <w:sz w:val="20"/>
          <w:szCs w:val="20"/>
          <w:vertAlign w:val="superscript"/>
          <w:lang w:val="en-MY"/>
        </w:rPr>
        <w:t>1</w:t>
      </w:r>
      <w:r w:rsidRPr="00771CD5">
        <w:rPr>
          <w:rFonts w:ascii="Times New Roman" w:eastAsia="+mn-ea" w:hAnsi="Times New Roman"/>
          <w:kern w:val="24"/>
          <w:sz w:val="20"/>
          <w:szCs w:val="20"/>
          <w:lang w:val="en-MY"/>
        </w:rPr>
        <w:t xml:space="preserve">H NMR, two high intensity singlet resonances at </w:t>
      </w:r>
      <w:r w:rsidRPr="00771CD5">
        <w:rPr>
          <w:rFonts w:ascii="Times New Roman" w:hAnsi="Times New Roman"/>
          <w:sz w:val="20"/>
          <w:szCs w:val="20"/>
        </w:rPr>
        <w:t>δ</w:t>
      </w:r>
      <w:r w:rsidRPr="00771CD5">
        <w:rPr>
          <w:rFonts w:ascii="Times New Roman" w:hAnsi="Times New Roman"/>
          <w:sz w:val="20"/>
          <w:szCs w:val="20"/>
          <w:vertAlign w:val="subscript"/>
        </w:rPr>
        <w:t>H</w:t>
      </w:r>
      <w:r w:rsidRPr="00771CD5">
        <w:rPr>
          <w:rFonts w:ascii="Times New Roman" w:eastAsia="+mn-ea" w:hAnsi="Times New Roman"/>
          <w:kern w:val="24"/>
          <w:sz w:val="20"/>
          <w:szCs w:val="20"/>
          <w:lang w:val="en-MY"/>
        </w:rPr>
        <w:t xml:space="preserve"> 2.38-2.58 ppm represent two methyl moieties presented in all synthesized compounds (</w:t>
      </w:r>
      <w:r w:rsidRPr="00771CD5">
        <w:rPr>
          <w:rFonts w:ascii="Times New Roman" w:eastAsia="+mn-ea" w:hAnsi="Times New Roman"/>
          <w:b/>
          <w:bCs/>
          <w:kern w:val="24"/>
          <w:sz w:val="20"/>
          <w:szCs w:val="20"/>
          <w:lang w:val="en-MY"/>
        </w:rPr>
        <w:t>T1</w:t>
      </w:r>
      <w:r w:rsidRPr="00771CD5">
        <w:rPr>
          <w:rFonts w:ascii="Times New Roman" w:eastAsia="+mn-ea" w:hAnsi="Times New Roman"/>
          <w:kern w:val="24"/>
          <w:sz w:val="20"/>
          <w:szCs w:val="20"/>
          <w:lang w:val="en-MY"/>
        </w:rPr>
        <w:t>-</w:t>
      </w:r>
      <w:r w:rsidRPr="00771CD5">
        <w:rPr>
          <w:rFonts w:ascii="Times New Roman" w:eastAsia="+mn-ea" w:hAnsi="Times New Roman"/>
          <w:b/>
          <w:bCs/>
          <w:kern w:val="24"/>
          <w:sz w:val="20"/>
          <w:szCs w:val="20"/>
          <w:lang w:val="en-MY"/>
        </w:rPr>
        <w:t>T3</w:t>
      </w:r>
      <w:r w:rsidRPr="00771CD5">
        <w:rPr>
          <w:rFonts w:ascii="Times New Roman" w:eastAsia="+mn-ea" w:hAnsi="Times New Roman"/>
          <w:kern w:val="24"/>
          <w:sz w:val="20"/>
          <w:szCs w:val="20"/>
          <w:lang w:val="en-MY"/>
        </w:rPr>
        <w:t xml:space="preserve">). One of the observed resonances is found to be at higher chemical shift region due to deshielding effect of neighbouring C=O moiety [23]. In the range of </w:t>
      </w:r>
      <w:r w:rsidRPr="00771CD5">
        <w:rPr>
          <w:rFonts w:ascii="Times New Roman" w:hAnsi="Times New Roman"/>
          <w:sz w:val="20"/>
          <w:szCs w:val="20"/>
        </w:rPr>
        <w:t>δ</w:t>
      </w:r>
      <w:r w:rsidRPr="00771CD5">
        <w:rPr>
          <w:rFonts w:ascii="Times New Roman" w:hAnsi="Times New Roman"/>
          <w:sz w:val="20"/>
          <w:szCs w:val="20"/>
          <w:vertAlign w:val="subscript"/>
        </w:rPr>
        <w:t>H</w:t>
      </w:r>
      <w:r w:rsidRPr="00771CD5">
        <w:rPr>
          <w:rFonts w:ascii="Times New Roman" w:eastAsia="+mn-ea" w:hAnsi="Times New Roman"/>
          <w:kern w:val="24"/>
          <w:sz w:val="20"/>
          <w:szCs w:val="20"/>
          <w:lang w:val="en-MY"/>
        </w:rPr>
        <w:t xml:space="preserve"> 7.95-6.78 ppm, roofing effect due to para substituted phenyl group can be observed in </w:t>
      </w:r>
      <w:r w:rsidRPr="00771CD5">
        <w:rPr>
          <w:rFonts w:ascii="Times New Roman" w:eastAsia="+mn-ea" w:hAnsi="Times New Roman"/>
          <w:b/>
          <w:bCs/>
          <w:kern w:val="24"/>
          <w:sz w:val="20"/>
          <w:szCs w:val="20"/>
          <w:lang w:val="en-MY"/>
        </w:rPr>
        <w:t>T2</w:t>
      </w:r>
      <w:r w:rsidRPr="00771CD5">
        <w:rPr>
          <w:rFonts w:ascii="Times New Roman" w:eastAsia="+mn-ea" w:hAnsi="Times New Roman"/>
          <w:kern w:val="24"/>
          <w:sz w:val="20"/>
          <w:szCs w:val="20"/>
          <w:lang w:val="en-MY"/>
        </w:rPr>
        <w:t xml:space="preserve"> and </w:t>
      </w:r>
      <w:r w:rsidRPr="00771CD5">
        <w:rPr>
          <w:rFonts w:ascii="Times New Roman" w:eastAsia="+mn-ea" w:hAnsi="Times New Roman"/>
          <w:b/>
          <w:bCs/>
          <w:kern w:val="24"/>
          <w:sz w:val="20"/>
          <w:szCs w:val="20"/>
          <w:lang w:val="en-MY"/>
        </w:rPr>
        <w:t>T3</w:t>
      </w:r>
      <w:r w:rsidRPr="00771CD5">
        <w:rPr>
          <w:rFonts w:ascii="Times New Roman" w:eastAsia="+mn-ea" w:hAnsi="Times New Roman"/>
          <w:kern w:val="24"/>
          <w:sz w:val="20"/>
          <w:szCs w:val="20"/>
          <w:lang w:val="en-MY"/>
        </w:rPr>
        <w:t xml:space="preserve"> [24]. However, different pattern at </w:t>
      </w:r>
      <w:r w:rsidRPr="00771CD5">
        <w:rPr>
          <w:rFonts w:ascii="Times New Roman" w:hAnsi="Times New Roman"/>
          <w:sz w:val="20"/>
          <w:szCs w:val="20"/>
        </w:rPr>
        <w:t>δ</w:t>
      </w:r>
      <w:r w:rsidRPr="00771CD5">
        <w:rPr>
          <w:rFonts w:ascii="Times New Roman" w:hAnsi="Times New Roman"/>
          <w:sz w:val="20"/>
          <w:szCs w:val="20"/>
          <w:vertAlign w:val="subscript"/>
        </w:rPr>
        <w:t>H</w:t>
      </w:r>
      <w:r w:rsidRPr="00771CD5">
        <w:rPr>
          <w:rFonts w:ascii="Times New Roman" w:eastAsia="+mn-ea" w:hAnsi="Times New Roman"/>
          <w:kern w:val="24"/>
          <w:sz w:val="20"/>
          <w:szCs w:val="20"/>
          <w:lang w:val="en-MY"/>
        </w:rPr>
        <w:t xml:space="preserve"> 8.02-7.52 ppm is observed due to presence of tri-substituted phenyl in </w:t>
      </w:r>
      <w:r w:rsidRPr="00771CD5">
        <w:rPr>
          <w:rFonts w:ascii="Times New Roman" w:eastAsia="+mn-ea" w:hAnsi="Times New Roman"/>
          <w:b/>
          <w:bCs/>
          <w:kern w:val="24"/>
          <w:sz w:val="20"/>
          <w:szCs w:val="20"/>
          <w:lang w:val="en-MY"/>
        </w:rPr>
        <w:t>T1</w:t>
      </w:r>
      <w:r w:rsidRPr="00771CD5">
        <w:rPr>
          <w:rFonts w:ascii="Times New Roman" w:eastAsia="+mn-ea" w:hAnsi="Times New Roman"/>
          <w:kern w:val="24"/>
          <w:sz w:val="20"/>
          <w:szCs w:val="20"/>
          <w:lang w:val="en-MY"/>
        </w:rPr>
        <w:t xml:space="preserve">. The presence of NH resonance peaks as observed in all </w:t>
      </w:r>
      <w:r w:rsidRPr="00771CD5">
        <w:rPr>
          <w:rFonts w:ascii="Times New Roman" w:eastAsia="+mn-ea" w:hAnsi="Times New Roman"/>
          <w:kern w:val="24"/>
          <w:sz w:val="20"/>
          <w:szCs w:val="20"/>
          <w:vertAlign w:val="superscript"/>
          <w:lang w:val="en-MY"/>
        </w:rPr>
        <w:t>1</w:t>
      </w:r>
      <w:r w:rsidRPr="00771CD5">
        <w:rPr>
          <w:rFonts w:ascii="Times New Roman" w:eastAsia="+mn-ea" w:hAnsi="Times New Roman"/>
          <w:kern w:val="24"/>
          <w:sz w:val="20"/>
          <w:szCs w:val="20"/>
          <w:lang w:val="en-MY"/>
        </w:rPr>
        <w:t>H NMR spectra prove that the thiazole derivatives were successfully synthesized. NH resonance which appears as singlet is found to be at the most downfield region (</w:t>
      </w:r>
      <w:r w:rsidRPr="00771CD5">
        <w:rPr>
          <w:rFonts w:ascii="Times New Roman" w:hAnsi="Times New Roman"/>
          <w:sz w:val="20"/>
          <w:szCs w:val="20"/>
        </w:rPr>
        <w:t>δ</w:t>
      </w:r>
      <w:r w:rsidRPr="00771CD5">
        <w:rPr>
          <w:rFonts w:ascii="Times New Roman" w:hAnsi="Times New Roman"/>
          <w:sz w:val="20"/>
          <w:szCs w:val="20"/>
          <w:vertAlign w:val="subscript"/>
        </w:rPr>
        <w:t xml:space="preserve">H </w:t>
      </w:r>
      <w:r w:rsidRPr="00771CD5">
        <w:rPr>
          <w:rFonts w:ascii="Times New Roman" w:hAnsi="Times New Roman"/>
          <w:sz w:val="20"/>
          <w:szCs w:val="20"/>
        </w:rPr>
        <w:t>11.13-10.46 ppm</w:t>
      </w:r>
      <w:r w:rsidRPr="00771CD5">
        <w:rPr>
          <w:rFonts w:ascii="Times New Roman" w:eastAsia="+mn-ea" w:hAnsi="Times New Roman"/>
          <w:kern w:val="24"/>
          <w:sz w:val="20"/>
          <w:szCs w:val="20"/>
          <w:lang w:val="en-MY"/>
        </w:rPr>
        <w:t xml:space="preserve">) [25]. Figure 3 shows the </w:t>
      </w:r>
      <w:r w:rsidRPr="00771CD5">
        <w:rPr>
          <w:rFonts w:ascii="Times New Roman" w:eastAsia="+mn-ea" w:hAnsi="Times New Roman"/>
          <w:kern w:val="24"/>
          <w:sz w:val="20"/>
          <w:szCs w:val="20"/>
          <w:vertAlign w:val="superscript"/>
          <w:lang w:val="en-MY"/>
        </w:rPr>
        <w:t>1</w:t>
      </w:r>
      <w:r w:rsidRPr="00771CD5">
        <w:rPr>
          <w:rFonts w:ascii="Times New Roman" w:eastAsia="+mn-ea" w:hAnsi="Times New Roman"/>
          <w:kern w:val="24"/>
          <w:sz w:val="20"/>
          <w:szCs w:val="20"/>
          <w:lang w:val="en-MY"/>
        </w:rPr>
        <w:t>H spectrum of 5-acetyl-4-methyl-2-(methyl-4-aminobenzoate)-1,3-thiazole (</w:t>
      </w:r>
      <w:r w:rsidRPr="00771CD5">
        <w:rPr>
          <w:rFonts w:ascii="Times New Roman" w:eastAsia="+mn-ea" w:hAnsi="Times New Roman"/>
          <w:b/>
          <w:kern w:val="24"/>
          <w:sz w:val="20"/>
          <w:szCs w:val="20"/>
          <w:lang w:val="en-MY"/>
        </w:rPr>
        <w:t>T3</w:t>
      </w:r>
      <w:r w:rsidRPr="00771CD5">
        <w:rPr>
          <w:rFonts w:ascii="Times New Roman" w:eastAsia="+mn-ea" w:hAnsi="Times New Roman"/>
          <w:kern w:val="24"/>
          <w:sz w:val="20"/>
          <w:szCs w:val="20"/>
          <w:lang w:val="en-MY"/>
        </w:rPr>
        <w:t>) as representative of the group.</w:t>
      </w:r>
    </w:p>
    <w:p w:rsidR="005C687B" w:rsidRDefault="005C687B" w:rsidP="00771CD5">
      <w:pPr>
        <w:spacing w:after="0" w:line="240" w:lineRule="auto"/>
        <w:jc w:val="both"/>
        <w:outlineLvl w:val="0"/>
        <w:rPr>
          <w:rFonts w:ascii="Times New Roman" w:eastAsia="+mn-ea" w:hAnsi="Times New Roman"/>
          <w:kern w:val="24"/>
          <w:sz w:val="20"/>
          <w:szCs w:val="20"/>
          <w:lang w:val="en-MY"/>
        </w:rPr>
      </w:pPr>
    </w:p>
    <w:p w:rsidR="005C687B" w:rsidRPr="00771CD5" w:rsidRDefault="005C687B" w:rsidP="005C687B">
      <w:pPr>
        <w:spacing w:after="0" w:line="240" w:lineRule="auto"/>
        <w:jc w:val="both"/>
        <w:outlineLvl w:val="0"/>
        <w:rPr>
          <w:rFonts w:ascii="Times New Roman" w:eastAsia="+mn-ea" w:hAnsi="Times New Roman"/>
          <w:kern w:val="24"/>
          <w:sz w:val="20"/>
          <w:szCs w:val="20"/>
        </w:rPr>
      </w:pPr>
      <w:r w:rsidRPr="00771CD5">
        <w:rPr>
          <w:rFonts w:ascii="Times New Roman" w:eastAsia="+mn-ea" w:hAnsi="Times New Roman"/>
          <w:kern w:val="24"/>
          <w:sz w:val="20"/>
          <w:szCs w:val="20"/>
          <w:lang w:val="en-MY"/>
        </w:rPr>
        <w:t xml:space="preserve">In addition to the compounds characterization, UV-Vis spectra of </w:t>
      </w:r>
      <w:r w:rsidRPr="00771CD5">
        <w:rPr>
          <w:rFonts w:ascii="Times New Roman" w:eastAsia="+mn-ea" w:hAnsi="Times New Roman"/>
          <w:b/>
          <w:bCs/>
          <w:kern w:val="24"/>
          <w:sz w:val="20"/>
          <w:szCs w:val="20"/>
          <w:lang w:val="en-MY"/>
        </w:rPr>
        <w:t>T1</w:t>
      </w:r>
      <w:r w:rsidRPr="00771CD5">
        <w:rPr>
          <w:rFonts w:ascii="Times New Roman" w:eastAsia="+mn-ea" w:hAnsi="Times New Roman"/>
          <w:kern w:val="24"/>
          <w:sz w:val="20"/>
          <w:szCs w:val="20"/>
          <w:lang w:val="en-MY"/>
        </w:rPr>
        <w:t>-</w:t>
      </w:r>
      <w:r w:rsidRPr="00771CD5">
        <w:rPr>
          <w:rFonts w:ascii="Times New Roman" w:eastAsia="+mn-ea" w:hAnsi="Times New Roman"/>
          <w:b/>
          <w:bCs/>
          <w:kern w:val="24"/>
          <w:sz w:val="20"/>
          <w:szCs w:val="20"/>
          <w:lang w:val="en-MY"/>
        </w:rPr>
        <w:t>T3</w:t>
      </w:r>
      <w:r w:rsidRPr="00771CD5">
        <w:rPr>
          <w:rFonts w:ascii="Times New Roman" w:eastAsia="+mn-ea" w:hAnsi="Times New Roman"/>
          <w:kern w:val="24"/>
          <w:sz w:val="20"/>
          <w:szCs w:val="20"/>
          <w:lang w:val="en-MY"/>
        </w:rPr>
        <w:t xml:space="preserve"> were recorded below than 400 nm. All compounds exhibited similar UV band profile which comprised of two absorption bands with different intensity. The first band at 224-229 nm which is the lowest intensity absorption band (</w:t>
      </w:r>
      <w:r w:rsidRPr="00771CD5">
        <w:rPr>
          <w:rFonts w:ascii="Times New Roman" w:hAnsi="Times New Roman"/>
          <w:sz w:val="20"/>
          <w:szCs w:val="20"/>
        </w:rPr>
        <w:t>ε = 21600 - 50300 M</w:t>
      </w:r>
      <w:r w:rsidRPr="00771CD5">
        <w:rPr>
          <w:rFonts w:ascii="Times New Roman" w:hAnsi="Times New Roman"/>
          <w:sz w:val="20"/>
          <w:szCs w:val="20"/>
          <w:vertAlign w:val="superscript"/>
        </w:rPr>
        <w:t>-1</w:t>
      </w:r>
      <w:r w:rsidRPr="00771CD5">
        <w:rPr>
          <w:rFonts w:ascii="Times New Roman" w:hAnsi="Times New Roman"/>
          <w:sz w:val="20"/>
          <w:szCs w:val="20"/>
        </w:rPr>
        <w:t xml:space="preserve"> cm</w:t>
      </w:r>
      <w:r w:rsidRPr="00771CD5">
        <w:rPr>
          <w:rFonts w:ascii="Times New Roman" w:hAnsi="Times New Roman"/>
          <w:sz w:val="20"/>
          <w:szCs w:val="20"/>
          <w:vertAlign w:val="superscript"/>
        </w:rPr>
        <w:t>-1</w:t>
      </w:r>
      <w:r w:rsidRPr="00771CD5">
        <w:rPr>
          <w:rFonts w:ascii="Times New Roman" w:hAnsi="Times New Roman"/>
          <w:sz w:val="20"/>
          <w:szCs w:val="20"/>
        </w:rPr>
        <w:t>) was assigned as n-</w:t>
      </w:r>
      <w:r w:rsidRPr="00771CD5">
        <w:rPr>
          <w:rFonts w:ascii="Times New Roman" w:eastAsia="+mn-ea" w:hAnsi="Times New Roman"/>
          <w:kern w:val="24"/>
          <w:sz w:val="20"/>
          <w:szCs w:val="20"/>
        </w:rPr>
        <w:t xml:space="preserve"> π</w:t>
      </w:r>
      <w:r w:rsidRPr="00771CD5">
        <w:rPr>
          <w:rFonts w:ascii="Times New Roman" w:eastAsia="+mn-ea" w:hAnsi="Times New Roman"/>
          <w:kern w:val="24"/>
          <w:sz w:val="20"/>
          <w:szCs w:val="20"/>
          <w:vertAlign w:val="superscript"/>
        </w:rPr>
        <w:t xml:space="preserve">* </w:t>
      </w:r>
      <w:r w:rsidRPr="00771CD5">
        <w:rPr>
          <w:rFonts w:ascii="Times New Roman" w:eastAsia="+mn-ea" w:hAnsi="Times New Roman"/>
          <w:kern w:val="24"/>
          <w:sz w:val="20"/>
          <w:szCs w:val="20"/>
        </w:rPr>
        <w:t>transition which attributed by lone pair of C=O, N-H and OH [26]. Besides that, second absorption band which can observed at 343-352 nm was attributed as higher intensity compared (</w:t>
      </w:r>
      <w:r w:rsidRPr="00771CD5">
        <w:rPr>
          <w:rFonts w:ascii="Times New Roman" w:hAnsi="Times New Roman"/>
          <w:sz w:val="20"/>
          <w:szCs w:val="20"/>
        </w:rPr>
        <w:t>ε =62200 – 82200 M</w:t>
      </w:r>
      <w:r w:rsidRPr="00771CD5">
        <w:rPr>
          <w:rFonts w:ascii="Times New Roman" w:hAnsi="Times New Roman"/>
          <w:sz w:val="20"/>
          <w:szCs w:val="20"/>
          <w:vertAlign w:val="superscript"/>
        </w:rPr>
        <w:t>-1</w:t>
      </w:r>
      <w:r w:rsidRPr="00771CD5">
        <w:rPr>
          <w:rFonts w:ascii="Times New Roman" w:hAnsi="Times New Roman"/>
          <w:sz w:val="20"/>
          <w:szCs w:val="20"/>
        </w:rPr>
        <w:t xml:space="preserve"> cm</w:t>
      </w:r>
      <w:r w:rsidRPr="00771CD5">
        <w:rPr>
          <w:rFonts w:ascii="Times New Roman" w:hAnsi="Times New Roman"/>
          <w:sz w:val="20"/>
          <w:szCs w:val="20"/>
          <w:vertAlign w:val="superscript"/>
        </w:rPr>
        <w:t>-1</w:t>
      </w:r>
      <w:r w:rsidRPr="00771CD5">
        <w:rPr>
          <w:rFonts w:ascii="Times New Roman" w:hAnsi="Times New Roman"/>
          <w:sz w:val="20"/>
          <w:szCs w:val="20"/>
        </w:rPr>
        <w:t xml:space="preserve">) to the first absorption band. It is due to the electronic transition produced from excitation of unsaturated moiety in a molecular structure [27]. Plus, excitation of </w:t>
      </w:r>
      <w:r w:rsidRPr="00771CD5">
        <w:rPr>
          <w:rFonts w:ascii="Times New Roman" w:eastAsia="+mn-ea" w:hAnsi="Times New Roman"/>
          <w:kern w:val="24"/>
          <w:sz w:val="20"/>
          <w:szCs w:val="20"/>
        </w:rPr>
        <w:t>π electrons from lower to higher energy levels by several unsaturated</w:t>
      </w:r>
      <w:r w:rsidRPr="00771CD5">
        <w:rPr>
          <w:rFonts w:ascii="Times New Roman" w:hAnsi="Times New Roman"/>
          <w:sz w:val="20"/>
          <w:szCs w:val="20"/>
        </w:rPr>
        <w:t xml:space="preserve"> chromophores such as aromatic and carbonyl moieties was responsible for the transition [28]. </w:t>
      </w:r>
    </w:p>
    <w:p w:rsidR="005C687B" w:rsidRDefault="005C687B" w:rsidP="00771CD5">
      <w:pPr>
        <w:spacing w:after="0" w:line="240" w:lineRule="auto"/>
        <w:jc w:val="both"/>
        <w:outlineLvl w:val="0"/>
        <w:rPr>
          <w:rFonts w:ascii="Times New Roman" w:eastAsia="+mn-ea" w:hAnsi="Times New Roman"/>
          <w:kern w:val="24"/>
          <w:sz w:val="20"/>
          <w:szCs w:val="20"/>
          <w:lang w:val="en-MY"/>
        </w:rPr>
      </w:pPr>
    </w:p>
    <w:p w:rsidR="005C687B" w:rsidRPr="00771CD5" w:rsidRDefault="005C687B" w:rsidP="00771CD5">
      <w:pPr>
        <w:spacing w:after="0" w:line="240" w:lineRule="auto"/>
        <w:jc w:val="both"/>
        <w:outlineLvl w:val="0"/>
        <w:rPr>
          <w:rFonts w:ascii="Times New Roman" w:eastAsia="+mn-ea" w:hAnsi="Times New Roman"/>
          <w:kern w:val="24"/>
          <w:sz w:val="20"/>
          <w:szCs w:val="20"/>
          <w:lang w:val="en-MY"/>
        </w:rPr>
      </w:pPr>
    </w:p>
    <w:p w:rsidR="00771CD5" w:rsidRPr="00771CD5" w:rsidRDefault="00771CD5" w:rsidP="00771CD5">
      <w:pPr>
        <w:spacing w:after="0" w:line="240" w:lineRule="auto"/>
        <w:jc w:val="both"/>
        <w:outlineLvl w:val="0"/>
        <w:rPr>
          <w:rFonts w:ascii="Times New Roman" w:eastAsia="+mn-ea" w:hAnsi="Times New Roman"/>
          <w:kern w:val="24"/>
          <w:sz w:val="20"/>
          <w:szCs w:val="20"/>
          <w:lang w:val="en-MY"/>
        </w:rPr>
      </w:pPr>
    </w:p>
    <w:p w:rsidR="00771CD5" w:rsidRPr="00771CD5" w:rsidRDefault="00771CD5" w:rsidP="00771CD5">
      <w:pPr>
        <w:spacing w:after="120" w:line="240" w:lineRule="auto"/>
        <w:jc w:val="center"/>
        <w:outlineLvl w:val="0"/>
        <w:rPr>
          <w:rFonts w:ascii="Times New Roman" w:eastAsia="+mn-ea" w:hAnsi="Times New Roman"/>
          <w:kern w:val="24"/>
          <w:sz w:val="20"/>
          <w:szCs w:val="20"/>
          <w:lang w:val="en-MY"/>
        </w:rPr>
      </w:pPr>
      <w:r w:rsidRPr="00771CD5">
        <w:rPr>
          <w:rFonts w:ascii="Times New Roman" w:eastAsia="+mn-ea" w:hAnsi="Times New Roman"/>
          <w:noProof/>
          <w:kern w:val="24"/>
          <w:sz w:val="20"/>
          <w:szCs w:val="20"/>
          <w:lang w:bidi="ar-SA"/>
        </w:rPr>
        <w:lastRenderedPageBreak/>
        <w:drawing>
          <wp:inline distT="0" distB="0" distL="0" distR="0" wp14:anchorId="1962333D" wp14:editId="675466E0">
            <wp:extent cx="3796588" cy="2906959"/>
            <wp:effectExtent l="19050" t="19050" r="13970" b="273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17145" cy="2922699"/>
                    </a:xfrm>
                    <a:prstGeom prst="rect">
                      <a:avLst/>
                    </a:prstGeom>
                    <a:ln>
                      <a:solidFill>
                        <a:schemeClr val="tx1"/>
                      </a:solidFill>
                    </a:ln>
                  </pic:spPr>
                </pic:pic>
              </a:graphicData>
            </a:graphic>
          </wp:inline>
        </w:drawing>
      </w:r>
    </w:p>
    <w:p w:rsidR="00771CD5" w:rsidRPr="00771CD5" w:rsidRDefault="00771CD5" w:rsidP="00771CD5">
      <w:pPr>
        <w:spacing w:after="0" w:line="240" w:lineRule="auto"/>
        <w:jc w:val="center"/>
        <w:outlineLvl w:val="0"/>
        <w:rPr>
          <w:rFonts w:ascii="Times New Roman" w:eastAsia="+mn-ea" w:hAnsi="Times New Roman"/>
          <w:kern w:val="24"/>
          <w:sz w:val="20"/>
          <w:szCs w:val="20"/>
          <w:lang w:val="en-MY"/>
        </w:rPr>
      </w:pPr>
      <w:r w:rsidRPr="00771CD5">
        <w:rPr>
          <w:rFonts w:ascii="Times New Roman" w:eastAsia="+mn-ea" w:hAnsi="Times New Roman"/>
          <w:kern w:val="24"/>
          <w:sz w:val="20"/>
          <w:szCs w:val="20"/>
          <w:lang w:val="en-MY"/>
        </w:rPr>
        <w:t xml:space="preserve">Figure 3. </w:t>
      </w:r>
      <w:r>
        <w:rPr>
          <w:rFonts w:ascii="Times New Roman" w:eastAsia="+mn-ea" w:hAnsi="Times New Roman"/>
          <w:kern w:val="24"/>
          <w:sz w:val="20"/>
          <w:szCs w:val="20"/>
          <w:lang w:val="en-MY"/>
        </w:rPr>
        <w:t xml:space="preserve"> </w:t>
      </w:r>
      <w:r w:rsidRPr="00771CD5">
        <w:rPr>
          <w:rFonts w:ascii="Times New Roman" w:eastAsia="+mn-ea" w:hAnsi="Times New Roman"/>
          <w:kern w:val="24"/>
          <w:sz w:val="20"/>
          <w:szCs w:val="20"/>
          <w:vertAlign w:val="superscript"/>
          <w:lang w:val="en-MY"/>
        </w:rPr>
        <w:t>1</w:t>
      </w:r>
      <w:r w:rsidRPr="00771CD5">
        <w:rPr>
          <w:rFonts w:ascii="Times New Roman" w:eastAsia="+mn-ea" w:hAnsi="Times New Roman"/>
          <w:kern w:val="24"/>
          <w:sz w:val="20"/>
          <w:szCs w:val="20"/>
          <w:lang w:val="en-MY"/>
        </w:rPr>
        <w:t>H NMR spectrum of 5-acetyl-4-methyl-2-(methyl-4-aminobenzoate)-1,3-thiazole (</w:t>
      </w:r>
      <w:r w:rsidRPr="00771CD5">
        <w:rPr>
          <w:rFonts w:ascii="Times New Roman" w:eastAsia="+mn-ea" w:hAnsi="Times New Roman"/>
          <w:b/>
          <w:kern w:val="24"/>
          <w:sz w:val="20"/>
          <w:szCs w:val="20"/>
          <w:lang w:val="en-MY"/>
        </w:rPr>
        <w:t>T3</w:t>
      </w:r>
      <w:r w:rsidRPr="00771CD5">
        <w:rPr>
          <w:rFonts w:ascii="Times New Roman" w:eastAsia="+mn-ea" w:hAnsi="Times New Roman"/>
          <w:kern w:val="24"/>
          <w:sz w:val="20"/>
          <w:szCs w:val="20"/>
          <w:lang w:val="en-MY"/>
        </w:rPr>
        <w:t>)</w:t>
      </w:r>
    </w:p>
    <w:p w:rsidR="00771CD5" w:rsidRPr="00771CD5" w:rsidRDefault="00771CD5" w:rsidP="005C687B">
      <w:pPr>
        <w:spacing w:after="120" w:line="240" w:lineRule="auto"/>
        <w:jc w:val="both"/>
        <w:outlineLvl w:val="0"/>
        <w:rPr>
          <w:rFonts w:ascii="Times New Roman" w:eastAsia="+mn-ea" w:hAnsi="Times New Roman"/>
          <w:kern w:val="24"/>
          <w:sz w:val="20"/>
          <w:szCs w:val="20"/>
        </w:rPr>
      </w:pPr>
    </w:p>
    <w:p w:rsidR="00771CD5" w:rsidRPr="00771CD5" w:rsidRDefault="00771CD5" w:rsidP="00771CD5">
      <w:pPr>
        <w:spacing w:after="0" w:line="240" w:lineRule="auto"/>
        <w:jc w:val="both"/>
        <w:outlineLvl w:val="0"/>
        <w:rPr>
          <w:rFonts w:ascii="Times New Roman" w:eastAsia="+mn-ea" w:hAnsi="Times New Roman"/>
          <w:b/>
          <w:bCs/>
          <w:kern w:val="24"/>
          <w:sz w:val="20"/>
          <w:szCs w:val="20"/>
        </w:rPr>
      </w:pPr>
      <w:r w:rsidRPr="00771CD5">
        <w:rPr>
          <w:rFonts w:ascii="Times New Roman" w:eastAsia="+mn-ea" w:hAnsi="Times New Roman"/>
          <w:b/>
          <w:bCs/>
          <w:kern w:val="24"/>
          <w:sz w:val="20"/>
          <w:szCs w:val="20"/>
        </w:rPr>
        <w:t>Antibacterial activities</w:t>
      </w:r>
    </w:p>
    <w:p w:rsidR="00771CD5" w:rsidRPr="00771CD5" w:rsidRDefault="00771CD5" w:rsidP="00771CD5">
      <w:pPr>
        <w:spacing w:after="0" w:line="240" w:lineRule="auto"/>
        <w:jc w:val="both"/>
        <w:outlineLvl w:val="0"/>
        <w:rPr>
          <w:rFonts w:ascii="Times New Roman" w:eastAsia="+mn-ea" w:hAnsi="Times New Roman"/>
          <w:kern w:val="24"/>
          <w:sz w:val="20"/>
          <w:szCs w:val="20"/>
        </w:rPr>
      </w:pPr>
      <w:r w:rsidRPr="00771CD5">
        <w:rPr>
          <w:rFonts w:ascii="Times New Roman" w:eastAsia="+mn-ea" w:hAnsi="Times New Roman"/>
          <w:kern w:val="24"/>
          <w:sz w:val="20"/>
          <w:szCs w:val="20"/>
        </w:rPr>
        <w:t xml:space="preserve">In this work, antibacterial screening test were used as preliminary evaluation. The screening was conducted by measuring the potential of these compounds to retard the growth of bacterial strains as show in Table 1. From the results obtained, it is shows that </w:t>
      </w:r>
      <w:r w:rsidRPr="00771CD5">
        <w:rPr>
          <w:rFonts w:ascii="Times New Roman" w:eastAsia="+mn-ea" w:hAnsi="Times New Roman"/>
          <w:b/>
          <w:bCs/>
          <w:kern w:val="24"/>
          <w:sz w:val="20"/>
          <w:szCs w:val="20"/>
        </w:rPr>
        <w:t>T3</w:t>
      </w:r>
      <w:r w:rsidRPr="00771CD5">
        <w:rPr>
          <w:rFonts w:ascii="Times New Roman" w:eastAsia="+mn-ea" w:hAnsi="Times New Roman"/>
          <w:kern w:val="24"/>
          <w:sz w:val="20"/>
          <w:szCs w:val="20"/>
        </w:rPr>
        <w:t xml:space="preserve"> exhibited the excellent inhibitory growth against both Gram-positive (</w:t>
      </w:r>
      <w:r w:rsidRPr="00771CD5">
        <w:rPr>
          <w:rFonts w:ascii="Times New Roman" w:eastAsia="+mn-ea" w:hAnsi="Times New Roman"/>
          <w:i/>
          <w:iCs/>
          <w:kern w:val="24"/>
          <w:sz w:val="20"/>
          <w:szCs w:val="20"/>
        </w:rPr>
        <w:t>S. cereus</w:t>
      </w:r>
      <w:r w:rsidRPr="00771CD5">
        <w:rPr>
          <w:rFonts w:ascii="Times New Roman" w:eastAsia="+mn-ea" w:hAnsi="Times New Roman"/>
          <w:kern w:val="24"/>
          <w:sz w:val="20"/>
          <w:szCs w:val="20"/>
        </w:rPr>
        <w:t xml:space="preserve"> and </w:t>
      </w:r>
      <w:r w:rsidRPr="00771CD5">
        <w:rPr>
          <w:rFonts w:ascii="Times New Roman" w:eastAsia="+mn-ea" w:hAnsi="Times New Roman"/>
          <w:i/>
          <w:iCs/>
          <w:kern w:val="24"/>
          <w:sz w:val="20"/>
          <w:szCs w:val="20"/>
        </w:rPr>
        <w:t>S. epidermidis</w:t>
      </w:r>
      <w:r w:rsidRPr="00771CD5">
        <w:rPr>
          <w:rFonts w:ascii="Times New Roman" w:eastAsia="+mn-ea" w:hAnsi="Times New Roman"/>
          <w:kern w:val="24"/>
          <w:sz w:val="20"/>
          <w:szCs w:val="20"/>
        </w:rPr>
        <w:t>) and Gram-negative (</w:t>
      </w:r>
      <w:r w:rsidRPr="00771CD5">
        <w:rPr>
          <w:rFonts w:ascii="Times New Roman" w:eastAsia="+mn-ea" w:hAnsi="Times New Roman"/>
          <w:i/>
          <w:iCs/>
          <w:kern w:val="24"/>
          <w:sz w:val="20"/>
          <w:szCs w:val="20"/>
        </w:rPr>
        <w:t>E. coli</w:t>
      </w:r>
      <w:r w:rsidRPr="00771CD5">
        <w:rPr>
          <w:rFonts w:ascii="Times New Roman" w:eastAsia="+mn-ea" w:hAnsi="Times New Roman"/>
          <w:kern w:val="24"/>
          <w:sz w:val="20"/>
          <w:szCs w:val="20"/>
        </w:rPr>
        <w:t xml:space="preserve"> and </w:t>
      </w:r>
      <w:r w:rsidRPr="00771CD5">
        <w:rPr>
          <w:rFonts w:ascii="Times New Roman" w:eastAsia="+mn-ea" w:hAnsi="Times New Roman"/>
          <w:i/>
          <w:iCs/>
          <w:kern w:val="24"/>
          <w:sz w:val="20"/>
          <w:szCs w:val="20"/>
        </w:rPr>
        <w:t>P. aeruginosa</w:t>
      </w:r>
      <w:r w:rsidRPr="00771CD5">
        <w:rPr>
          <w:rFonts w:ascii="Times New Roman" w:eastAsia="+mn-ea" w:hAnsi="Times New Roman"/>
          <w:kern w:val="24"/>
          <w:sz w:val="20"/>
          <w:szCs w:val="20"/>
        </w:rPr>
        <w:t xml:space="preserve">) bacterial strains followed by </w:t>
      </w:r>
      <w:r w:rsidRPr="00771CD5">
        <w:rPr>
          <w:rFonts w:ascii="Times New Roman" w:eastAsia="+mn-ea" w:hAnsi="Times New Roman"/>
          <w:b/>
          <w:bCs/>
          <w:kern w:val="24"/>
          <w:sz w:val="20"/>
          <w:szCs w:val="20"/>
        </w:rPr>
        <w:t>T2</w:t>
      </w:r>
      <w:r w:rsidRPr="00771CD5">
        <w:rPr>
          <w:rFonts w:ascii="Times New Roman" w:eastAsia="+mn-ea" w:hAnsi="Times New Roman"/>
          <w:kern w:val="24"/>
          <w:sz w:val="20"/>
          <w:szCs w:val="20"/>
        </w:rPr>
        <w:t xml:space="preserve"> and </w:t>
      </w:r>
      <w:r w:rsidRPr="00771CD5">
        <w:rPr>
          <w:rFonts w:ascii="Times New Roman" w:eastAsia="+mn-ea" w:hAnsi="Times New Roman"/>
          <w:b/>
          <w:bCs/>
          <w:kern w:val="24"/>
          <w:sz w:val="20"/>
          <w:szCs w:val="20"/>
        </w:rPr>
        <w:t>T1</w:t>
      </w:r>
      <w:r w:rsidRPr="00771CD5">
        <w:rPr>
          <w:rFonts w:ascii="Times New Roman" w:eastAsia="+mn-ea" w:hAnsi="Times New Roman"/>
          <w:kern w:val="24"/>
          <w:sz w:val="20"/>
          <w:szCs w:val="20"/>
        </w:rPr>
        <w:t>. The highest activity showed by</w:t>
      </w:r>
      <w:r w:rsidRPr="00771CD5">
        <w:rPr>
          <w:rFonts w:ascii="Times New Roman" w:eastAsia="+mn-ea" w:hAnsi="Times New Roman"/>
          <w:b/>
          <w:bCs/>
          <w:kern w:val="24"/>
          <w:sz w:val="20"/>
          <w:szCs w:val="20"/>
        </w:rPr>
        <w:t xml:space="preserve"> T3 </w:t>
      </w:r>
      <w:r w:rsidRPr="00771CD5">
        <w:rPr>
          <w:rFonts w:ascii="Times New Roman" w:eastAsia="+mn-ea" w:hAnsi="Times New Roman"/>
          <w:kern w:val="24"/>
          <w:sz w:val="20"/>
          <w:szCs w:val="20"/>
        </w:rPr>
        <w:t>might be due to the presence of electron donating group which is methoxy (OCH</w:t>
      </w:r>
      <w:r w:rsidRPr="00771CD5">
        <w:rPr>
          <w:rFonts w:ascii="Times New Roman" w:eastAsia="+mn-ea" w:hAnsi="Times New Roman"/>
          <w:kern w:val="24"/>
          <w:sz w:val="20"/>
          <w:szCs w:val="20"/>
          <w:vertAlign w:val="subscript"/>
        </w:rPr>
        <w:t>3</w:t>
      </w:r>
      <w:r w:rsidRPr="00771CD5">
        <w:rPr>
          <w:rFonts w:ascii="Times New Roman" w:eastAsia="+mn-ea" w:hAnsi="Times New Roman"/>
          <w:kern w:val="24"/>
          <w:sz w:val="20"/>
          <w:szCs w:val="20"/>
        </w:rPr>
        <w:t>), which enhance its interaction towards the tested bacteria.</w:t>
      </w:r>
      <w:r w:rsidRPr="00771CD5">
        <w:rPr>
          <w:rFonts w:ascii="Times New Roman" w:eastAsiaTheme="minorHAnsi" w:hAnsi="Times New Roman"/>
          <w:sz w:val="20"/>
          <w:szCs w:val="20"/>
          <w:lang w:val="en-MY"/>
        </w:rPr>
        <w:t xml:space="preserve"> </w:t>
      </w:r>
      <w:r w:rsidRPr="00771CD5">
        <w:rPr>
          <w:rFonts w:ascii="Times New Roman" w:eastAsia="+mn-ea" w:hAnsi="Times New Roman"/>
          <w:kern w:val="24"/>
          <w:sz w:val="20"/>
          <w:szCs w:val="20"/>
          <w:lang w:val="en-MY"/>
        </w:rPr>
        <w:t>Incorporation of methoxy group in the thiazole compound has boosted the antimicrobial activity in terms of increase in lipophilicity behavior that easily penetrated into the membrane of bacterial strains [29]. Besides, methoxy group also provides electron donating behaviour which enhanced the overall antibacterial activity of the synthesized compound [30].</w:t>
      </w:r>
      <w:r w:rsidRPr="00771CD5">
        <w:rPr>
          <w:rFonts w:ascii="Times New Roman" w:eastAsia="+mn-ea" w:hAnsi="Times New Roman"/>
          <w:kern w:val="24"/>
          <w:sz w:val="20"/>
          <w:szCs w:val="20"/>
        </w:rPr>
        <w:t xml:space="preserve"> Conversely, presence of electron withdrawing groups such as hydroxyl and chloro substituents in </w:t>
      </w:r>
      <w:r w:rsidRPr="00771CD5">
        <w:rPr>
          <w:rFonts w:ascii="Times New Roman" w:eastAsia="+mn-ea" w:hAnsi="Times New Roman"/>
          <w:b/>
          <w:bCs/>
          <w:kern w:val="24"/>
          <w:sz w:val="20"/>
          <w:szCs w:val="20"/>
        </w:rPr>
        <w:t xml:space="preserve">T1 </w:t>
      </w:r>
      <w:r w:rsidRPr="00771CD5">
        <w:rPr>
          <w:rFonts w:ascii="Times New Roman" w:eastAsia="+mn-ea" w:hAnsi="Times New Roman"/>
          <w:kern w:val="24"/>
          <w:sz w:val="20"/>
          <w:szCs w:val="20"/>
        </w:rPr>
        <w:t xml:space="preserve">and </w:t>
      </w:r>
      <w:r w:rsidRPr="00771CD5">
        <w:rPr>
          <w:rFonts w:ascii="Times New Roman" w:eastAsia="+mn-ea" w:hAnsi="Times New Roman"/>
          <w:b/>
          <w:bCs/>
          <w:kern w:val="24"/>
          <w:sz w:val="20"/>
          <w:szCs w:val="20"/>
        </w:rPr>
        <w:t>T2</w:t>
      </w:r>
      <w:r w:rsidRPr="00771CD5">
        <w:rPr>
          <w:rFonts w:ascii="Times New Roman" w:eastAsia="+mn-ea" w:hAnsi="Times New Roman"/>
          <w:kern w:val="24"/>
          <w:sz w:val="20"/>
          <w:szCs w:val="20"/>
        </w:rPr>
        <w:t xml:space="preserve"> weaken overall antibacterial performance. </w:t>
      </w:r>
    </w:p>
    <w:p w:rsidR="00771CD5" w:rsidRPr="00771CD5" w:rsidRDefault="00771CD5" w:rsidP="005C687B">
      <w:pPr>
        <w:spacing w:after="120" w:line="240" w:lineRule="auto"/>
        <w:jc w:val="both"/>
        <w:outlineLvl w:val="0"/>
        <w:rPr>
          <w:rFonts w:ascii="Times New Roman" w:eastAsia="+mn-ea" w:hAnsi="Times New Roman"/>
          <w:kern w:val="24"/>
          <w:sz w:val="20"/>
          <w:szCs w:val="20"/>
        </w:rPr>
      </w:pPr>
    </w:p>
    <w:p w:rsidR="00771CD5" w:rsidRPr="00771CD5" w:rsidRDefault="00771CD5" w:rsidP="005C687B">
      <w:pPr>
        <w:spacing w:after="120" w:line="240" w:lineRule="auto"/>
        <w:jc w:val="center"/>
        <w:outlineLvl w:val="0"/>
        <w:rPr>
          <w:rFonts w:ascii="Times New Roman" w:eastAsia="+mn-ea" w:hAnsi="Times New Roman"/>
          <w:kern w:val="24"/>
          <w:sz w:val="20"/>
          <w:szCs w:val="20"/>
        </w:rPr>
      </w:pPr>
      <w:r w:rsidRPr="00771CD5">
        <w:rPr>
          <w:rFonts w:ascii="Times New Roman" w:eastAsia="+mn-ea" w:hAnsi="Times New Roman"/>
          <w:kern w:val="24"/>
          <w:sz w:val="20"/>
          <w:szCs w:val="20"/>
        </w:rPr>
        <w:t xml:space="preserve">Table 1. </w:t>
      </w:r>
      <w:r w:rsidR="005C687B">
        <w:rPr>
          <w:rFonts w:ascii="Times New Roman" w:eastAsia="+mn-ea" w:hAnsi="Times New Roman"/>
          <w:kern w:val="24"/>
          <w:sz w:val="20"/>
          <w:szCs w:val="20"/>
        </w:rPr>
        <w:t xml:space="preserve"> </w:t>
      </w:r>
      <w:r w:rsidRPr="00771CD5">
        <w:rPr>
          <w:rFonts w:ascii="Times New Roman" w:eastAsia="+mn-ea" w:hAnsi="Times New Roman"/>
          <w:kern w:val="24"/>
          <w:sz w:val="20"/>
          <w:szCs w:val="20"/>
        </w:rPr>
        <w:t>Diameter of clearing zone (mm) around the disc for bacterial strains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4"/>
        <w:gridCol w:w="983"/>
        <w:gridCol w:w="1383"/>
        <w:gridCol w:w="801"/>
        <w:gridCol w:w="1454"/>
      </w:tblGrid>
      <w:tr w:rsidR="00771CD5" w:rsidRPr="00771CD5" w:rsidTr="005C687B">
        <w:trPr>
          <w:trHeight w:val="279"/>
          <w:jc w:val="center"/>
        </w:trPr>
        <w:tc>
          <w:tcPr>
            <w:tcW w:w="0" w:type="auto"/>
            <w:vMerge w:val="restart"/>
            <w:tcBorders>
              <w:top w:val="single" w:sz="4" w:space="0" w:color="auto"/>
              <w:bottom w:val="nil"/>
            </w:tcBorders>
          </w:tcPr>
          <w:p w:rsidR="00771CD5" w:rsidRPr="00771CD5" w:rsidRDefault="00771CD5" w:rsidP="005C687B">
            <w:pPr>
              <w:spacing w:before="240" w:after="0" w:line="240" w:lineRule="auto"/>
              <w:outlineLvl w:val="0"/>
              <w:rPr>
                <w:rFonts w:ascii="Times New Roman" w:eastAsia="+mn-ea" w:hAnsi="Times New Roman" w:cs="Times New Roman"/>
                <w:b/>
                <w:kern w:val="24"/>
                <w:sz w:val="20"/>
                <w:szCs w:val="20"/>
                <w:lang w:val="en-MY"/>
              </w:rPr>
            </w:pPr>
            <w:r w:rsidRPr="00771CD5">
              <w:rPr>
                <w:rFonts w:ascii="Times New Roman" w:eastAsia="+mn-ea" w:hAnsi="Times New Roman" w:cs="Times New Roman"/>
                <w:b/>
                <w:kern w:val="24"/>
                <w:sz w:val="20"/>
                <w:szCs w:val="20"/>
                <w:lang w:val="en-MY"/>
              </w:rPr>
              <w:t>Compounds</w:t>
            </w:r>
          </w:p>
        </w:tc>
        <w:tc>
          <w:tcPr>
            <w:tcW w:w="0" w:type="auto"/>
            <w:gridSpan w:val="4"/>
            <w:tcBorders>
              <w:top w:val="single" w:sz="4" w:space="0" w:color="auto"/>
              <w:bottom w:val="single" w:sz="4" w:space="0" w:color="auto"/>
            </w:tcBorders>
          </w:tcPr>
          <w:p w:rsidR="00771CD5" w:rsidRPr="00771CD5" w:rsidRDefault="00771CD5" w:rsidP="005C687B">
            <w:pPr>
              <w:spacing w:before="60" w:after="0" w:line="240" w:lineRule="auto"/>
              <w:jc w:val="center"/>
              <w:outlineLvl w:val="0"/>
              <w:rPr>
                <w:rFonts w:ascii="Times New Roman" w:eastAsia="+mn-ea" w:hAnsi="Times New Roman" w:cs="Times New Roman"/>
                <w:b/>
                <w:kern w:val="24"/>
                <w:sz w:val="20"/>
                <w:szCs w:val="20"/>
                <w:lang w:val="en-MY"/>
              </w:rPr>
            </w:pPr>
            <w:r w:rsidRPr="00771CD5">
              <w:rPr>
                <w:rFonts w:ascii="Times New Roman" w:eastAsia="+mn-ea" w:hAnsi="Times New Roman" w:cs="Times New Roman"/>
                <w:b/>
                <w:kern w:val="24"/>
                <w:sz w:val="20"/>
                <w:szCs w:val="20"/>
                <w:lang w:val="en-MY"/>
              </w:rPr>
              <w:t>Zone of inhibition (mm)</w:t>
            </w:r>
          </w:p>
        </w:tc>
      </w:tr>
      <w:tr w:rsidR="00771CD5" w:rsidRPr="00771CD5" w:rsidTr="005C687B">
        <w:trPr>
          <w:trHeight w:val="295"/>
          <w:jc w:val="center"/>
        </w:trPr>
        <w:tc>
          <w:tcPr>
            <w:tcW w:w="0" w:type="auto"/>
            <w:vMerge/>
            <w:tcBorders>
              <w:top w:val="nil"/>
              <w:bottom w:val="nil"/>
            </w:tcBorders>
          </w:tcPr>
          <w:p w:rsidR="00771CD5" w:rsidRPr="00771CD5" w:rsidRDefault="00771CD5" w:rsidP="005C687B">
            <w:pPr>
              <w:spacing w:after="0" w:line="240" w:lineRule="auto"/>
              <w:outlineLvl w:val="0"/>
              <w:rPr>
                <w:rFonts w:ascii="Times New Roman" w:eastAsia="+mn-ea" w:hAnsi="Times New Roman" w:cs="Times New Roman"/>
                <w:b/>
                <w:kern w:val="24"/>
                <w:sz w:val="20"/>
                <w:szCs w:val="20"/>
                <w:lang w:val="en-MY"/>
              </w:rPr>
            </w:pPr>
          </w:p>
        </w:tc>
        <w:tc>
          <w:tcPr>
            <w:tcW w:w="0" w:type="auto"/>
            <w:gridSpan w:val="2"/>
            <w:tcBorders>
              <w:top w:val="single" w:sz="4" w:space="0" w:color="auto"/>
              <w:bottom w:val="single" w:sz="4" w:space="0" w:color="auto"/>
            </w:tcBorders>
          </w:tcPr>
          <w:p w:rsidR="00771CD5" w:rsidRPr="00771CD5" w:rsidRDefault="00771CD5" w:rsidP="005C687B">
            <w:pPr>
              <w:spacing w:after="0" w:line="240" w:lineRule="auto"/>
              <w:jc w:val="center"/>
              <w:outlineLvl w:val="0"/>
              <w:rPr>
                <w:rFonts w:ascii="Times New Roman" w:eastAsia="+mn-ea" w:hAnsi="Times New Roman" w:cs="Times New Roman"/>
                <w:b/>
                <w:kern w:val="24"/>
                <w:sz w:val="20"/>
                <w:szCs w:val="20"/>
                <w:lang w:val="en-MY"/>
              </w:rPr>
            </w:pPr>
            <w:r w:rsidRPr="00771CD5">
              <w:rPr>
                <w:rFonts w:ascii="Times New Roman" w:eastAsia="+mn-ea" w:hAnsi="Times New Roman" w:cs="Times New Roman"/>
                <w:b/>
                <w:kern w:val="24"/>
                <w:sz w:val="20"/>
                <w:szCs w:val="20"/>
                <w:lang w:val="en-MY"/>
              </w:rPr>
              <w:t>Gram-positive bacteria</w:t>
            </w:r>
          </w:p>
        </w:tc>
        <w:tc>
          <w:tcPr>
            <w:tcW w:w="0" w:type="auto"/>
            <w:gridSpan w:val="2"/>
            <w:tcBorders>
              <w:top w:val="single" w:sz="4" w:space="0" w:color="auto"/>
              <w:bottom w:val="single" w:sz="4" w:space="0" w:color="auto"/>
            </w:tcBorders>
          </w:tcPr>
          <w:p w:rsidR="00771CD5" w:rsidRPr="00771CD5" w:rsidRDefault="00771CD5" w:rsidP="005C687B">
            <w:pPr>
              <w:spacing w:after="0" w:line="240" w:lineRule="auto"/>
              <w:jc w:val="center"/>
              <w:outlineLvl w:val="0"/>
              <w:rPr>
                <w:rFonts w:ascii="Times New Roman" w:eastAsia="+mn-ea" w:hAnsi="Times New Roman" w:cs="Times New Roman"/>
                <w:b/>
                <w:kern w:val="24"/>
                <w:sz w:val="20"/>
                <w:szCs w:val="20"/>
                <w:lang w:val="en-MY"/>
              </w:rPr>
            </w:pPr>
            <w:r w:rsidRPr="00771CD5">
              <w:rPr>
                <w:rFonts w:ascii="Times New Roman" w:eastAsia="+mn-ea" w:hAnsi="Times New Roman" w:cs="Times New Roman"/>
                <w:b/>
                <w:kern w:val="24"/>
                <w:sz w:val="20"/>
                <w:szCs w:val="20"/>
                <w:lang w:val="en-MY"/>
              </w:rPr>
              <w:t>Gram-negative bacteria</w:t>
            </w:r>
          </w:p>
        </w:tc>
      </w:tr>
      <w:tr w:rsidR="00771CD5" w:rsidRPr="00771CD5" w:rsidTr="005C687B">
        <w:trPr>
          <w:trHeight w:val="203"/>
          <w:jc w:val="center"/>
        </w:trPr>
        <w:tc>
          <w:tcPr>
            <w:tcW w:w="0" w:type="auto"/>
            <w:vMerge/>
            <w:tcBorders>
              <w:top w:val="nil"/>
              <w:bottom w:val="single" w:sz="4" w:space="0" w:color="auto"/>
            </w:tcBorders>
          </w:tcPr>
          <w:p w:rsidR="00771CD5" w:rsidRPr="00771CD5" w:rsidRDefault="00771CD5" w:rsidP="005C687B">
            <w:pPr>
              <w:spacing w:after="0" w:line="240" w:lineRule="auto"/>
              <w:outlineLvl w:val="0"/>
              <w:rPr>
                <w:rFonts w:ascii="Times New Roman" w:eastAsia="+mn-ea" w:hAnsi="Times New Roman" w:cs="Times New Roman"/>
                <w:b/>
                <w:kern w:val="24"/>
                <w:sz w:val="20"/>
                <w:szCs w:val="20"/>
                <w:lang w:val="en-MY"/>
              </w:rPr>
            </w:pPr>
          </w:p>
        </w:tc>
        <w:tc>
          <w:tcPr>
            <w:tcW w:w="0" w:type="auto"/>
            <w:tcBorders>
              <w:top w:val="single" w:sz="4" w:space="0" w:color="auto"/>
              <w:bottom w:val="single" w:sz="4" w:space="0" w:color="auto"/>
            </w:tcBorders>
          </w:tcPr>
          <w:p w:rsidR="00771CD5" w:rsidRPr="00771CD5" w:rsidRDefault="00771CD5" w:rsidP="005C687B">
            <w:pPr>
              <w:spacing w:after="0" w:line="240" w:lineRule="auto"/>
              <w:jc w:val="center"/>
              <w:outlineLvl w:val="0"/>
              <w:rPr>
                <w:rFonts w:ascii="Times New Roman" w:eastAsia="+mn-ea" w:hAnsi="Times New Roman" w:cs="Times New Roman"/>
                <w:b/>
                <w:i/>
                <w:kern w:val="24"/>
                <w:sz w:val="20"/>
                <w:szCs w:val="20"/>
                <w:lang w:val="en-MY"/>
              </w:rPr>
            </w:pPr>
            <w:r w:rsidRPr="00771CD5">
              <w:rPr>
                <w:rFonts w:ascii="Times New Roman" w:eastAsia="+mn-ea" w:hAnsi="Times New Roman" w:cs="Times New Roman"/>
                <w:b/>
                <w:i/>
                <w:kern w:val="24"/>
                <w:sz w:val="20"/>
                <w:szCs w:val="20"/>
                <w:lang w:val="en-MY"/>
              </w:rPr>
              <w:t>B. cereus</w:t>
            </w:r>
          </w:p>
        </w:tc>
        <w:tc>
          <w:tcPr>
            <w:tcW w:w="0" w:type="auto"/>
            <w:tcBorders>
              <w:top w:val="single" w:sz="4" w:space="0" w:color="auto"/>
              <w:bottom w:val="single" w:sz="4" w:space="0" w:color="auto"/>
            </w:tcBorders>
          </w:tcPr>
          <w:p w:rsidR="00771CD5" w:rsidRPr="00771CD5" w:rsidRDefault="00771CD5" w:rsidP="005C687B">
            <w:pPr>
              <w:spacing w:after="0" w:line="240" w:lineRule="auto"/>
              <w:jc w:val="center"/>
              <w:outlineLvl w:val="0"/>
              <w:rPr>
                <w:rFonts w:ascii="Times New Roman" w:eastAsia="+mn-ea" w:hAnsi="Times New Roman" w:cs="Times New Roman"/>
                <w:b/>
                <w:i/>
                <w:kern w:val="24"/>
                <w:sz w:val="20"/>
                <w:szCs w:val="20"/>
                <w:lang w:val="en-MY"/>
              </w:rPr>
            </w:pPr>
            <w:r w:rsidRPr="00771CD5">
              <w:rPr>
                <w:rFonts w:ascii="Times New Roman" w:eastAsia="+mn-ea" w:hAnsi="Times New Roman" w:cs="Times New Roman"/>
                <w:b/>
                <w:i/>
                <w:kern w:val="24"/>
                <w:sz w:val="20"/>
                <w:szCs w:val="20"/>
                <w:lang w:val="en-MY"/>
              </w:rPr>
              <w:t>S. epidermidis</w:t>
            </w:r>
          </w:p>
        </w:tc>
        <w:tc>
          <w:tcPr>
            <w:tcW w:w="0" w:type="auto"/>
            <w:tcBorders>
              <w:top w:val="nil"/>
              <w:bottom w:val="single" w:sz="4" w:space="0" w:color="auto"/>
            </w:tcBorders>
          </w:tcPr>
          <w:p w:rsidR="00771CD5" w:rsidRPr="00771CD5" w:rsidRDefault="00771CD5" w:rsidP="005C687B">
            <w:pPr>
              <w:spacing w:after="0" w:line="240" w:lineRule="auto"/>
              <w:jc w:val="center"/>
              <w:outlineLvl w:val="0"/>
              <w:rPr>
                <w:rFonts w:ascii="Times New Roman" w:eastAsia="+mn-ea" w:hAnsi="Times New Roman" w:cs="Times New Roman"/>
                <w:b/>
                <w:i/>
                <w:kern w:val="24"/>
                <w:sz w:val="20"/>
                <w:szCs w:val="20"/>
                <w:lang w:val="en-MY"/>
              </w:rPr>
            </w:pPr>
            <w:r w:rsidRPr="00771CD5">
              <w:rPr>
                <w:rFonts w:ascii="Times New Roman" w:eastAsia="+mn-ea" w:hAnsi="Times New Roman" w:cs="Times New Roman"/>
                <w:b/>
                <w:i/>
                <w:kern w:val="24"/>
                <w:sz w:val="20"/>
                <w:szCs w:val="20"/>
                <w:lang w:val="en-MY"/>
              </w:rPr>
              <w:t>E. coli</w:t>
            </w:r>
          </w:p>
        </w:tc>
        <w:tc>
          <w:tcPr>
            <w:tcW w:w="0" w:type="auto"/>
            <w:tcBorders>
              <w:top w:val="nil"/>
              <w:bottom w:val="single" w:sz="4" w:space="0" w:color="auto"/>
            </w:tcBorders>
          </w:tcPr>
          <w:p w:rsidR="00771CD5" w:rsidRPr="00771CD5" w:rsidRDefault="00771CD5" w:rsidP="005C687B">
            <w:pPr>
              <w:spacing w:after="60" w:line="240" w:lineRule="auto"/>
              <w:jc w:val="center"/>
              <w:outlineLvl w:val="0"/>
              <w:rPr>
                <w:rFonts w:ascii="Times New Roman" w:eastAsia="+mn-ea" w:hAnsi="Times New Roman" w:cs="Times New Roman"/>
                <w:b/>
                <w:i/>
                <w:kern w:val="24"/>
                <w:sz w:val="20"/>
                <w:szCs w:val="20"/>
                <w:lang w:val="en-MY"/>
              </w:rPr>
            </w:pPr>
            <w:r w:rsidRPr="00771CD5">
              <w:rPr>
                <w:rFonts w:ascii="Times New Roman" w:eastAsia="+mn-ea" w:hAnsi="Times New Roman" w:cs="Times New Roman"/>
                <w:b/>
                <w:i/>
                <w:kern w:val="24"/>
                <w:sz w:val="20"/>
                <w:szCs w:val="20"/>
                <w:lang w:val="en-MY"/>
              </w:rPr>
              <w:t>P. aeruginosa</w:t>
            </w:r>
          </w:p>
        </w:tc>
      </w:tr>
      <w:tr w:rsidR="00771CD5" w:rsidRPr="00771CD5" w:rsidTr="005C687B">
        <w:trPr>
          <w:trHeight w:val="265"/>
          <w:jc w:val="center"/>
        </w:trPr>
        <w:tc>
          <w:tcPr>
            <w:tcW w:w="0" w:type="auto"/>
            <w:tcBorders>
              <w:top w:val="single" w:sz="4" w:space="0" w:color="auto"/>
            </w:tcBorders>
          </w:tcPr>
          <w:p w:rsidR="00771CD5" w:rsidRPr="00771CD5" w:rsidRDefault="00771CD5" w:rsidP="005C687B">
            <w:pPr>
              <w:spacing w:before="60" w:after="0" w:line="240" w:lineRule="auto"/>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T1</w:t>
            </w:r>
          </w:p>
        </w:tc>
        <w:tc>
          <w:tcPr>
            <w:tcW w:w="0" w:type="auto"/>
            <w:tcBorders>
              <w:top w:val="single" w:sz="4" w:space="0" w:color="auto"/>
            </w:tcBorders>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8.7</w:t>
            </w:r>
          </w:p>
        </w:tc>
        <w:tc>
          <w:tcPr>
            <w:tcW w:w="0" w:type="auto"/>
            <w:tcBorders>
              <w:top w:val="single" w:sz="4" w:space="0" w:color="auto"/>
            </w:tcBorders>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9.0</w:t>
            </w:r>
          </w:p>
        </w:tc>
        <w:tc>
          <w:tcPr>
            <w:tcW w:w="0" w:type="auto"/>
            <w:tcBorders>
              <w:top w:val="single" w:sz="4" w:space="0" w:color="auto"/>
            </w:tcBorders>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8.0</w:t>
            </w:r>
          </w:p>
        </w:tc>
        <w:tc>
          <w:tcPr>
            <w:tcW w:w="0" w:type="auto"/>
            <w:tcBorders>
              <w:top w:val="single" w:sz="4" w:space="0" w:color="auto"/>
            </w:tcBorders>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7.0</w:t>
            </w:r>
          </w:p>
        </w:tc>
      </w:tr>
      <w:tr w:rsidR="00771CD5" w:rsidRPr="00771CD5" w:rsidTr="00DE7158">
        <w:trPr>
          <w:trHeight w:val="269"/>
          <w:jc w:val="center"/>
        </w:trPr>
        <w:tc>
          <w:tcPr>
            <w:tcW w:w="0" w:type="auto"/>
          </w:tcPr>
          <w:p w:rsidR="00771CD5" w:rsidRPr="00771CD5" w:rsidRDefault="00771CD5" w:rsidP="005C687B">
            <w:pPr>
              <w:spacing w:before="60" w:after="0" w:line="240" w:lineRule="auto"/>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T2</w:t>
            </w:r>
          </w:p>
        </w:tc>
        <w:tc>
          <w:tcPr>
            <w:tcW w:w="0" w:type="auto"/>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10.0</w:t>
            </w:r>
          </w:p>
        </w:tc>
        <w:tc>
          <w:tcPr>
            <w:tcW w:w="0" w:type="auto"/>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11.0</w:t>
            </w:r>
          </w:p>
        </w:tc>
        <w:tc>
          <w:tcPr>
            <w:tcW w:w="0" w:type="auto"/>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8.3</w:t>
            </w:r>
          </w:p>
        </w:tc>
        <w:tc>
          <w:tcPr>
            <w:tcW w:w="0" w:type="auto"/>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8.7</w:t>
            </w:r>
          </w:p>
        </w:tc>
      </w:tr>
      <w:tr w:rsidR="00771CD5" w:rsidRPr="00771CD5" w:rsidTr="00DE7158">
        <w:trPr>
          <w:trHeight w:val="273"/>
          <w:jc w:val="center"/>
        </w:trPr>
        <w:tc>
          <w:tcPr>
            <w:tcW w:w="0" w:type="auto"/>
          </w:tcPr>
          <w:p w:rsidR="00771CD5" w:rsidRPr="00771CD5" w:rsidRDefault="00771CD5" w:rsidP="005C687B">
            <w:pPr>
              <w:spacing w:before="60" w:after="0" w:line="240" w:lineRule="auto"/>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T3</w:t>
            </w:r>
          </w:p>
        </w:tc>
        <w:tc>
          <w:tcPr>
            <w:tcW w:w="0" w:type="auto"/>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12.0</w:t>
            </w:r>
          </w:p>
        </w:tc>
        <w:tc>
          <w:tcPr>
            <w:tcW w:w="0" w:type="auto"/>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11.0</w:t>
            </w:r>
          </w:p>
        </w:tc>
        <w:tc>
          <w:tcPr>
            <w:tcW w:w="0" w:type="auto"/>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8.5</w:t>
            </w:r>
          </w:p>
        </w:tc>
        <w:tc>
          <w:tcPr>
            <w:tcW w:w="0" w:type="auto"/>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10.0</w:t>
            </w:r>
          </w:p>
        </w:tc>
      </w:tr>
      <w:tr w:rsidR="00771CD5" w:rsidRPr="00771CD5" w:rsidTr="00CB76B0">
        <w:trPr>
          <w:trHeight w:val="215"/>
          <w:jc w:val="center"/>
        </w:trPr>
        <w:tc>
          <w:tcPr>
            <w:tcW w:w="0" w:type="auto"/>
            <w:tcBorders>
              <w:bottom w:val="nil"/>
            </w:tcBorders>
          </w:tcPr>
          <w:p w:rsidR="00771CD5" w:rsidRPr="00771CD5" w:rsidRDefault="00771CD5" w:rsidP="005C687B">
            <w:pPr>
              <w:spacing w:before="60" w:after="0" w:line="240" w:lineRule="auto"/>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DMSO</w:t>
            </w:r>
          </w:p>
        </w:tc>
        <w:tc>
          <w:tcPr>
            <w:tcW w:w="0" w:type="auto"/>
            <w:tcBorders>
              <w:bottom w:val="nil"/>
            </w:tcBorders>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w:t>
            </w:r>
          </w:p>
        </w:tc>
        <w:tc>
          <w:tcPr>
            <w:tcW w:w="0" w:type="auto"/>
            <w:tcBorders>
              <w:bottom w:val="nil"/>
            </w:tcBorders>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w:t>
            </w:r>
          </w:p>
        </w:tc>
        <w:tc>
          <w:tcPr>
            <w:tcW w:w="0" w:type="auto"/>
            <w:tcBorders>
              <w:bottom w:val="nil"/>
            </w:tcBorders>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w:t>
            </w:r>
          </w:p>
        </w:tc>
        <w:tc>
          <w:tcPr>
            <w:tcW w:w="0" w:type="auto"/>
            <w:tcBorders>
              <w:bottom w:val="nil"/>
            </w:tcBorders>
          </w:tcPr>
          <w:p w:rsidR="00771CD5" w:rsidRPr="00771CD5" w:rsidRDefault="00771CD5" w:rsidP="005C687B">
            <w:pPr>
              <w:spacing w:before="60" w:after="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w:t>
            </w:r>
          </w:p>
        </w:tc>
      </w:tr>
      <w:tr w:rsidR="00771CD5" w:rsidRPr="00771CD5" w:rsidTr="00CB76B0">
        <w:trPr>
          <w:trHeight w:val="267"/>
          <w:jc w:val="center"/>
        </w:trPr>
        <w:tc>
          <w:tcPr>
            <w:tcW w:w="0" w:type="auto"/>
            <w:tcBorders>
              <w:top w:val="nil"/>
              <w:bottom w:val="single" w:sz="4" w:space="0" w:color="auto"/>
            </w:tcBorders>
          </w:tcPr>
          <w:p w:rsidR="00771CD5" w:rsidRPr="00771CD5" w:rsidRDefault="00771CD5" w:rsidP="005C687B">
            <w:pPr>
              <w:spacing w:before="60" w:after="60" w:line="240" w:lineRule="auto"/>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Streptomycin</w:t>
            </w:r>
          </w:p>
        </w:tc>
        <w:tc>
          <w:tcPr>
            <w:tcW w:w="0" w:type="auto"/>
            <w:tcBorders>
              <w:top w:val="nil"/>
              <w:bottom w:val="single" w:sz="4" w:space="0" w:color="auto"/>
            </w:tcBorders>
          </w:tcPr>
          <w:p w:rsidR="00771CD5" w:rsidRPr="00771CD5" w:rsidRDefault="00771CD5" w:rsidP="005C687B">
            <w:pPr>
              <w:spacing w:before="60" w:after="6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20.0</w:t>
            </w:r>
          </w:p>
        </w:tc>
        <w:tc>
          <w:tcPr>
            <w:tcW w:w="0" w:type="auto"/>
            <w:tcBorders>
              <w:top w:val="nil"/>
              <w:bottom w:val="single" w:sz="4" w:space="0" w:color="auto"/>
            </w:tcBorders>
          </w:tcPr>
          <w:p w:rsidR="00771CD5" w:rsidRPr="00771CD5" w:rsidRDefault="00771CD5" w:rsidP="005C687B">
            <w:pPr>
              <w:spacing w:before="60" w:after="6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21.0</w:t>
            </w:r>
          </w:p>
        </w:tc>
        <w:tc>
          <w:tcPr>
            <w:tcW w:w="0" w:type="auto"/>
            <w:tcBorders>
              <w:top w:val="nil"/>
              <w:bottom w:val="single" w:sz="4" w:space="0" w:color="auto"/>
            </w:tcBorders>
          </w:tcPr>
          <w:p w:rsidR="00771CD5" w:rsidRPr="00771CD5" w:rsidRDefault="00771CD5" w:rsidP="005C687B">
            <w:pPr>
              <w:spacing w:before="60" w:after="6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18.0</w:t>
            </w:r>
          </w:p>
        </w:tc>
        <w:tc>
          <w:tcPr>
            <w:tcW w:w="0" w:type="auto"/>
            <w:tcBorders>
              <w:top w:val="nil"/>
              <w:bottom w:val="single" w:sz="4" w:space="0" w:color="auto"/>
            </w:tcBorders>
          </w:tcPr>
          <w:p w:rsidR="00771CD5" w:rsidRPr="00771CD5" w:rsidRDefault="00771CD5" w:rsidP="005C687B">
            <w:pPr>
              <w:spacing w:before="60" w:after="60" w:line="240" w:lineRule="auto"/>
              <w:jc w:val="center"/>
              <w:outlineLvl w:val="0"/>
              <w:rPr>
                <w:rFonts w:ascii="Times New Roman" w:eastAsia="+mn-ea" w:hAnsi="Times New Roman" w:cs="Times New Roman"/>
                <w:kern w:val="24"/>
                <w:sz w:val="20"/>
                <w:szCs w:val="20"/>
                <w:lang w:val="en-MY"/>
              </w:rPr>
            </w:pPr>
            <w:r w:rsidRPr="00771CD5">
              <w:rPr>
                <w:rFonts w:ascii="Times New Roman" w:eastAsia="+mn-ea" w:hAnsi="Times New Roman" w:cs="Times New Roman"/>
                <w:kern w:val="24"/>
                <w:sz w:val="20"/>
                <w:szCs w:val="20"/>
                <w:lang w:val="en-MY"/>
              </w:rPr>
              <w:t>19.0</w:t>
            </w:r>
          </w:p>
        </w:tc>
      </w:tr>
    </w:tbl>
    <w:p w:rsidR="00771CD5" w:rsidRPr="00771CD5" w:rsidRDefault="00771CD5" w:rsidP="00CB76B0">
      <w:pPr>
        <w:spacing w:after="120" w:line="240" w:lineRule="auto"/>
        <w:jc w:val="both"/>
        <w:outlineLvl w:val="0"/>
        <w:rPr>
          <w:rFonts w:ascii="Times New Roman" w:eastAsia="+mn-ea" w:hAnsi="Times New Roman"/>
          <w:kern w:val="24"/>
          <w:sz w:val="20"/>
          <w:szCs w:val="20"/>
        </w:rPr>
      </w:pPr>
    </w:p>
    <w:p w:rsidR="00771CD5" w:rsidRPr="00771CD5" w:rsidRDefault="00771CD5" w:rsidP="00771CD5">
      <w:pPr>
        <w:spacing w:after="0" w:line="240" w:lineRule="auto"/>
        <w:jc w:val="both"/>
        <w:outlineLvl w:val="0"/>
        <w:rPr>
          <w:rFonts w:ascii="Times New Roman" w:hAnsi="Times New Roman"/>
          <w:b/>
          <w:bCs/>
          <w:sz w:val="20"/>
          <w:szCs w:val="20"/>
        </w:rPr>
      </w:pPr>
      <w:r w:rsidRPr="00771CD5">
        <w:rPr>
          <w:rFonts w:ascii="Times New Roman" w:hAnsi="Times New Roman"/>
          <w:b/>
          <w:bCs/>
          <w:sz w:val="20"/>
          <w:szCs w:val="20"/>
        </w:rPr>
        <w:t>Molecular docking</w:t>
      </w:r>
    </w:p>
    <w:p w:rsidR="00771CD5" w:rsidRPr="00771CD5" w:rsidRDefault="00771CD5" w:rsidP="00771CD5">
      <w:pPr>
        <w:spacing w:after="0" w:line="240" w:lineRule="auto"/>
        <w:jc w:val="both"/>
        <w:outlineLvl w:val="0"/>
        <w:rPr>
          <w:rFonts w:ascii="Times New Roman" w:hAnsi="Times New Roman"/>
          <w:sz w:val="20"/>
          <w:szCs w:val="20"/>
        </w:rPr>
      </w:pPr>
      <w:r w:rsidRPr="00771CD5">
        <w:rPr>
          <w:rFonts w:ascii="Times New Roman" w:hAnsi="Times New Roman"/>
          <w:sz w:val="20"/>
          <w:szCs w:val="20"/>
        </w:rPr>
        <w:t xml:space="preserve">Considering the data obtained from the antibacterial screening result, it is worth to perform molecular docking study. Therefore, molecular docking studies were carried out to know the interaction of synthesized compounds </w:t>
      </w:r>
      <w:r w:rsidRPr="00771CD5">
        <w:rPr>
          <w:rFonts w:ascii="Times New Roman" w:hAnsi="Times New Roman"/>
          <w:sz w:val="20"/>
          <w:szCs w:val="20"/>
        </w:rPr>
        <w:lastRenderedPageBreak/>
        <w:t>(</w:t>
      </w:r>
      <w:r w:rsidRPr="00771CD5">
        <w:rPr>
          <w:rFonts w:ascii="Times New Roman" w:hAnsi="Times New Roman"/>
          <w:b/>
          <w:bCs/>
          <w:sz w:val="20"/>
          <w:szCs w:val="20"/>
        </w:rPr>
        <w:t>T1</w:t>
      </w:r>
      <w:r w:rsidRPr="00771CD5">
        <w:rPr>
          <w:rFonts w:ascii="Times New Roman" w:hAnsi="Times New Roman"/>
          <w:sz w:val="20"/>
          <w:szCs w:val="20"/>
        </w:rPr>
        <w:t>-</w:t>
      </w:r>
      <w:r w:rsidRPr="00771CD5">
        <w:rPr>
          <w:rFonts w:ascii="Times New Roman" w:hAnsi="Times New Roman"/>
          <w:b/>
          <w:bCs/>
          <w:sz w:val="20"/>
          <w:szCs w:val="20"/>
        </w:rPr>
        <w:t>T3</w:t>
      </w:r>
      <w:r w:rsidRPr="00771CD5">
        <w:rPr>
          <w:rFonts w:ascii="Times New Roman" w:hAnsi="Times New Roman"/>
          <w:sz w:val="20"/>
          <w:szCs w:val="20"/>
        </w:rPr>
        <w:t xml:space="preserve">) against active site of glucosamine-6-phosphate synthase (GlcN-6-P) which is the target for antibacterial agents. GlcN-6-P synthase is considered as primary target because it is essential building block of bacteria which involves in biosynthesis of cell wall in most of bacteria and fungi [31, 32]. Inhibition of this enzyme will restrain the production cell membrane and significantly decrease population of bacteria [33].  </w:t>
      </w:r>
    </w:p>
    <w:p w:rsidR="00771CD5" w:rsidRPr="00771CD5" w:rsidRDefault="00771CD5" w:rsidP="00771CD5">
      <w:pPr>
        <w:spacing w:after="0" w:line="240" w:lineRule="auto"/>
        <w:jc w:val="both"/>
        <w:outlineLvl w:val="0"/>
        <w:rPr>
          <w:rFonts w:ascii="Times New Roman" w:hAnsi="Times New Roman"/>
          <w:sz w:val="20"/>
          <w:szCs w:val="20"/>
        </w:rPr>
      </w:pPr>
    </w:p>
    <w:p w:rsidR="00771CD5" w:rsidRDefault="00771CD5" w:rsidP="00771CD5">
      <w:pPr>
        <w:spacing w:after="0" w:line="240" w:lineRule="auto"/>
        <w:jc w:val="both"/>
        <w:outlineLvl w:val="0"/>
        <w:rPr>
          <w:rFonts w:ascii="Times New Roman" w:hAnsi="Times New Roman"/>
          <w:sz w:val="20"/>
          <w:szCs w:val="20"/>
        </w:rPr>
      </w:pPr>
      <w:r w:rsidRPr="00771CD5">
        <w:rPr>
          <w:rFonts w:ascii="Times New Roman" w:hAnsi="Times New Roman"/>
          <w:sz w:val="20"/>
          <w:szCs w:val="20"/>
        </w:rPr>
        <w:t xml:space="preserve">In this experiment, orientation of inhibitors interaction in the active site of GlcN-6-P was determined by automated docking [34]. Figure 4 illustrates the best generated conformers for </w:t>
      </w:r>
      <w:r w:rsidRPr="00771CD5">
        <w:rPr>
          <w:rFonts w:ascii="Times New Roman" w:hAnsi="Times New Roman"/>
          <w:b/>
          <w:bCs/>
          <w:sz w:val="20"/>
          <w:szCs w:val="20"/>
        </w:rPr>
        <w:t>T1</w:t>
      </w:r>
      <w:r w:rsidRPr="00771CD5">
        <w:rPr>
          <w:rFonts w:ascii="Times New Roman" w:hAnsi="Times New Roman"/>
          <w:sz w:val="20"/>
          <w:szCs w:val="20"/>
        </w:rPr>
        <w:t>-</w:t>
      </w:r>
      <w:r w:rsidRPr="00771CD5">
        <w:rPr>
          <w:rFonts w:ascii="Times New Roman" w:hAnsi="Times New Roman"/>
          <w:b/>
          <w:bCs/>
          <w:sz w:val="20"/>
          <w:szCs w:val="20"/>
        </w:rPr>
        <w:t>T3</w:t>
      </w:r>
      <w:r w:rsidRPr="00771CD5">
        <w:rPr>
          <w:rFonts w:ascii="Times New Roman" w:hAnsi="Times New Roman"/>
          <w:sz w:val="20"/>
          <w:szCs w:val="20"/>
        </w:rPr>
        <w:t xml:space="preserve"> and streptomycin molecules inside the binding pocket of GlcN-6-P synthase. </w:t>
      </w:r>
    </w:p>
    <w:p w:rsidR="00CB76B0" w:rsidRPr="00771CD5" w:rsidRDefault="00CB76B0" w:rsidP="00CB76B0">
      <w:pPr>
        <w:spacing w:after="120" w:line="240" w:lineRule="auto"/>
        <w:jc w:val="both"/>
        <w:outlineLvl w:val="0"/>
        <w:rPr>
          <w:rFonts w:ascii="Times New Roman" w:hAnsi="Times New Roman"/>
          <w:sz w:val="20"/>
          <w:szCs w:val="20"/>
        </w:rPr>
      </w:pPr>
    </w:p>
    <w:p w:rsidR="00771CD5" w:rsidRPr="00771CD5" w:rsidRDefault="00771CD5" w:rsidP="00CB76B0">
      <w:pPr>
        <w:spacing w:after="120" w:line="240" w:lineRule="auto"/>
        <w:jc w:val="center"/>
        <w:outlineLvl w:val="0"/>
        <w:rPr>
          <w:rFonts w:ascii="Times New Roman" w:hAnsi="Times New Roman"/>
          <w:sz w:val="20"/>
          <w:szCs w:val="20"/>
        </w:rPr>
      </w:pPr>
      <w:r w:rsidRPr="00771CD5">
        <w:rPr>
          <w:rFonts w:ascii="Times New Roman" w:hAnsi="Times New Roman"/>
          <w:noProof/>
          <w:sz w:val="20"/>
          <w:szCs w:val="20"/>
          <w:lang w:bidi="ar-SA"/>
        </w:rPr>
        <w:drawing>
          <wp:inline distT="0" distB="0" distL="0" distR="0" wp14:anchorId="547A29AE" wp14:editId="6D9DDDD0">
            <wp:extent cx="5428217" cy="2958084"/>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35857" cy="2962247"/>
                    </a:xfrm>
                    <a:prstGeom prst="rect">
                      <a:avLst/>
                    </a:prstGeom>
                    <a:noFill/>
                  </pic:spPr>
                </pic:pic>
              </a:graphicData>
            </a:graphic>
          </wp:inline>
        </w:drawing>
      </w:r>
    </w:p>
    <w:p w:rsidR="00771CD5" w:rsidRPr="00771CD5" w:rsidRDefault="00771CD5" w:rsidP="00771CD5">
      <w:pPr>
        <w:spacing w:after="0" w:line="240" w:lineRule="auto"/>
        <w:ind w:left="851" w:hanging="851"/>
        <w:jc w:val="both"/>
        <w:outlineLvl w:val="0"/>
        <w:rPr>
          <w:rFonts w:ascii="Times New Roman" w:hAnsi="Times New Roman"/>
          <w:sz w:val="20"/>
          <w:szCs w:val="20"/>
        </w:rPr>
      </w:pPr>
      <w:r w:rsidRPr="00771CD5">
        <w:rPr>
          <w:rFonts w:ascii="Times New Roman" w:hAnsi="Times New Roman"/>
          <w:sz w:val="20"/>
          <w:szCs w:val="20"/>
        </w:rPr>
        <w:t xml:space="preserve">Figure 4. </w:t>
      </w:r>
      <w:r w:rsidR="00CB76B0">
        <w:rPr>
          <w:rFonts w:ascii="Times New Roman" w:hAnsi="Times New Roman"/>
          <w:sz w:val="20"/>
          <w:szCs w:val="20"/>
        </w:rPr>
        <w:tab/>
      </w:r>
      <w:r w:rsidRPr="00771CD5">
        <w:rPr>
          <w:rFonts w:ascii="Times New Roman" w:hAnsi="Times New Roman"/>
          <w:sz w:val="20"/>
          <w:szCs w:val="20"/>
        </w:rPr>
        <w:t>Docked conformations of thiazole derivatives (</w:t>
      </w:r>
      <w:r w:rsidRPr="00771CD5">
        <w:rPr>
          <w:rFonts w:ascii="Times New Roman" w:hAnsi="Times New Roman"/>
          <w:b/>
          <w:bCs/>
          <w:sz w:val="20"/>
          <w:szCs w:val="20"/>
        </w:rPr>
        <w:t>T1</w:t>
      </w:r>
      <w:r w:rsidRPr="00771CD5">
        <w:rPr>
          <w:rFonts w:ascii="Times New Roman" w:hAnsi="Times New Roman"/>
          <w:sz w:val="20"/>
          <w:szCs w:val="20"/>
        </w:rPr>
        <w:t>-</w:t>
      </w:r>
      <w:r w:rsidRPr="00771CD5">
        <w:rPr>
          <w:rFonts w:ascii="Times New Roman" w:hAnsi="Times New Roman"/>
          <w:b/>
          <w:bCs/>
          <w:sz w:val="20"/>
          <w:szCs w:val="20"/>
        </w:rPr>
        <w:t>T3</w:t>
      </w:r>
      <w:r w:rsidRPr="00771CD5">
        <w:rPr>
          <w:rFonts w:ascii="Times New Roman" w:hAnsi="Times New Roman"/>
          <w:sz w:val="20"/>
          <w:szCs w:val="20"/>
        </w:rPr>
        <w:t>) and standard drug (thick stick model) in the active site of GlcN-6-P synthase (thin stick and solid ribbon model)</w:t>
      </w:r>
    </w:p>
    <w:p w:rsidR="00771CD5" w:rsidRPr="00771CD5" w:rsidRDefault="00771CD5" w:rsidP="00CB76B0">
      <w:pPr>
        <w:spacing w:after="120" w:line="240" w:lineRule="auto"/>
        <w:jc w:val="both"/>
        <w:outlineLvl w:val="0"/>
        <w:rPr>
          <w:rFonts w:ascii="Times New Roman" w:hAnsi="Times New Roman"/>
          <w:sz w:val="20"/>
          <w:szCs w:val="20"/>
        </w:rPr>
      </w:pPr>
    </w:p>
    <w:p w:rsidR="00771CD5" w:rsidRDefault="00771CD5" w:rsidP="00771CD5">
      <w:pPr>
        <w:spacing w:after="0" w:line="240" w:lineRule="auto"/>
        <w:jc w:val="both"/>
        <w:outlineLvl w:val="0"/>
        <w:rPr>
          <w:rFonts w:ascii="Times New Roman" w:hAnsi="Times New Roman"/>
          <w:sz w:val="20"/>
          <w:szCs w:val="20"/>
        </w:rPr>
      </w:pPr>
      <w:r w:rsidRPr="00771CD5">
        <w:rPr>
          <w:rFonts w:ascii="Times New Roman" w:hAnsi="Times New Roman"/>
          <w:sz w:val="20"/>
          <w:szCs w:val="20"/>
        </w:rPr>
        <w:t xml:space="preserve">The docking ligand molecules </w:t>
      </w:r>
      <w:r w:rsidRPr="00771CD5">
        <w:rPr>
          <w:rFonts w:ascii="Times New Roman" w:hAnsi="Times New Roman"/>
          <w:b/>
          <w:bCs/>
          <w:sz w:val="20"/>
          <w:szCs w:val="20"/>
        </w:rPr>
        <w:t>T1</w:t>
      </w:r>
      <w:r w:rsidRPr="00771CD5">
        <w:rPr>
          <w:rFonts w:ascii="Times New Roman" w:hAnsi="Times New Roman"/>
          <w:sz w:val="20"/>
          <w:szCs w:val="20"/>
        </w:rPr>
        <w:t>-</w:t>
      </w:r>
      <w:r w:rsidRPr="00771CD5">
        <w:rPr>
          <w:rFonts w:ascii="Times New Roman" w:hAnsi="Times New Roman"/>
          <w:b/>
          <w:bCs/>
          <w:sz w:val="20"/>
          <w:szCs w:val="20"/>
        </w:rPr>
        <w:t>T3</w:t>
      </w:r>
      <w:r w:rsidRPr="00771CD5">
        <w:rPr>
          <w:rFonts w:ascii="Times New Roman" w:hAnsi="Times New Roman"/>
          <w:sz w:val="20"/>
          <w:szCs w:val="20"/>
        </w:rPr>
        <w:t xml:space="preserve"> with enzyme revealed that all the expected inhibitor compounds exhibiting the hydrogen bonding interactions with more than one amino acid residues in the active pockets of GlcN-6-P synthase which are showed in Figure 5.  From the chemical structure of ligands, it can be observed that oxygen atom of carbonyl group at -5 position of thiazole moiety forms interaction with Ala400 (2.64 Ǻ), Gln348 (1.71 Ǻ) and Ser347 (2.07 Ǻ). Besides that, the amine group in all thiazole derivatives form hydrogen bonding with amino acid residues namely Lys603 (2.17Ǻ), Val399 (2.13 Ǻ) and Ser401 (2.15 Ǻ). The presence of different substituents in each phenyl moiety of thiazole derivatives which is chloro, hydroxyl and ester groups, respectively affects the interaction performance of ligands towards amino acid residues. For instance, hydroxyl atom that is attached to the phenyl group in </w:t>
      </w:r>
      <w:r w:rsidRPr="00771CD5">
        <w:rPr>
          <w:rFonts w:ascii="Times New Roman" w:hAnsi="Times New Roman"/>
          <w:b/>
          <w:bCs/>
          <w:sz w:val="20"/>
          <w:szCs w:val="20"/>
        </w:rPr>
        <w:t>T2</w:t>
      </w:r>
      <w:r w:rsidRPr="00771CD5">
        <w:rPr>
          <w:rFonts w:ascii="Times New Roman" w:hAnsi="Times New Roman"/>
          <w:sz w:val="20"/>
          <w:szCs w:val="20"/>
        </w:rPr>
        <w:t xml:space="preserve"> tends to form hydrogen bonding with Thr355 (2.30 Ǻ). Meanwhile, both oxygen atoms of ester group in </w:t>
      </w:r>
      <w:r w:rsidRPr="00771CD5">
        <w:rPr>
          <w:rFonts w:ascii="Times New Roman" w:hAnsi="Times New Roman"/>
          <w:b/>
          <w:bCs/>
          <w:sz w:val="20"/>
          <w:szCs w:val="20"/>
        </w:rPr>
        <w:t>T3</w:t>
      </w:r>
      <w:r w:rsidRPr="00771CD5">
        <w:rPr>
          <w:rFonts w:ascii="Times New Roman" w:hAnsi="Times New Roman"/>
          <w:sz w:val="20"/>
          <w:szCs w:val="20"/>
        </w:rPr>
        <w:t xml:space="preserve"> form hydrogen bonding with Ala400 (1.45 Ǻ) and Val399 (1.90 Ǻ).  </w:t>
      </w:r>
    </w:p>
    <w:p w:rsidR="00CB76B0" w:rsidRDefault="00CB76B0" w:rsidP="00771CD5">
      <w:pPr>
        <w:spacing w:after="0" w:line="240" w:lineRule="auto"/>
        <w:jc w:val="both"/>
        <w:outlineLvl w:val="0"/>
        <w:rPr>
          <w:rFonts w:ascii="Times New Roman" w:hAnsi="Times New Roman"/>
          <w:sz w:val="20"/>
          <w:szCs w:val="20"/>
        </w:rPr>
      </w:pPr>
    </w:p>
    <w:p w:rsidR="00CB76B0" w:rsidRPr="00771CD5" w:rsidRDefault="00CB76B0" w:rsidP="00CB76B0">
      <w:pPr>
        <w:spacing w:after="0" w:line="240" w:lineRule="auto"/>
        <w:jc w:val="both"/>
        <w:outlineLvl w:val="0"/>
        <w:rPr>
          <w:rFonts w:ascii="Times New Roman" w:hAnsi="Times New Roman"/>
          <w:sz w:val="20"/>
          <w:szCs w:val="20"/>
        </w:rPr>
      </w:pPr>
      <w:r w:rsidRPr="00771CD5">
        <w:rPr>
          <w:rFonts w:ascii="Times New Roman" w:hAnsi="Times New Roman"/>
          <w:sz w:val="20"/>
          <w:szCs w:val="20"/>
        </w:rPr>
        <w:t xml:space="preserve">Furthermore, based on molecular docking prediction in Table 2 below, </w:t>
      </w:r>
      <w:r w:rsidRPr="00771CD5">
        <w:rPr>
          <w:rFonts w:ascii="Times New Roman" w:hAnsi="Times New Roman"/>
          <w:b/>
          <w:bCs/>
          <w:sz w:val="20"/>
          <w:szCs w:val="20"/>
        </w:rPr>
        <w:t>T3</w:t>
      </w:r>
      <w:r w:rsidRPr="00771CD5">
        <w:rPr>
          <w:rFonts w:ascii="Times New Roman" w:hAnsi="Times New Roman"/>
          <w:sz w:val="20"/>
          <w:szCs w:val="20"/>
        </w:rPr>
        <w:t xml:space="preserve"> exhibited the best performance against the target enzyme as supported by its lowest binding energy (-7.09 kcal mol</w:t>
      </w:r>
      <w:r w:rsidRPr="00771CD5">
        <w:rPr>
          <w:rFonts w:ascii="Times New Roman" w:hAnsi="Times New Roman"/>
          <w:sz w:val="20"/>
          <w:szCs w:val="20"/>
          <w:vertAlign w:val="superscript"/>
        </w:rPr>
        <w:t>-1</w:t>
      </w:r>
      <w:r w:rsidRPr="00771CD5">
        <w:rPr>
          <w:rFonts w:ascii="Times New Roman" w:hAnsi="Times New Roman"/>
          <w:sz w:val="20"/>
          <w:szCs w:val="20"/>
        </w:rPr>
        <w:t xml:space="preserve">) as compared to other ligands and as reported by other studies that state low binding energy is required for inhibition of enzyme [14, 35]. More negative binding energy is proportional to the activation energy for inhibition reaction which leads to tight binding of enzyme-inhibitor complex [16]. Meanwhile, </w:t>
      </w:r>
      <w:r w:rsidRPr="00771CD5">
        <w:rPr>
          <w:rFonts w:ascii="Times New Roman" w:hAnsi="Times New Roman"/>
          <w:b/>
          <w:bCs/>
          <w:sz w:val="20"/>
          <w:szCs w:val="20"/>
        </w:rPr>
        <w:t>T1</w:t>
      </w:r>
      <w:r w:rsidRPr="00771CD5">
        <w:rPr>
          <w:rFonts w:ascii="Times New Roman" w:hAnsi="Times New Roman"/>
          <w:sz w:val="20"/>
          <w:szCs w:val="20"/>
        </w:rPr>
        <w:t xml:space="preserve"> and </w:t>
      </w:r>
      <w:r w:rsidRPr="00771CD5">
        <w:rPr>
          <w:rFonts w:ascii="Times New Roman" w:hAnsi="Times New Roman"/>
          <w:b/>
          <w:bCs/>
          <w:sz w:val="20"/>
          <w:szCs w:val="20"/>
        </w:rPr>
        <w:t>T2</w:t>
      </w:r>
      <w:r w:rsidRPr="00771CD5">
        <w:rPr>
          <w:rFonts w:ascii="Times New Roman" w:hAnsi="Times New Roman"/>
          <w:sz w:val="20"/>
          <w:szCs w:val="20"/>
        </w:rPr>
        <w:t xml:space="preserve"> showed higher binding energy compared to </w:t>
      </w:r>
      <w:r w:rsidRPr="00771CD5">
        <w:rPr>
          <w:rFonts w:ascii="Times New Roman" w:hAnsi="Times New Roman"/>
          <w:b/>
          <w:bCs/>
          <w:sz w:val="20"/>
          <w:szCs w:val="20"/>
        </w:rPr>
        <w:t>T3</w:t>
      </w:r>
      <w:r w:rsidRPr="00771CD5">
        <w:rPr>
          <w:rFonts w:ascii="Times New Roman" w:hAnsi="Times New Roman"/>
          <w:sz w:val="20"/>
          <w:szCs w:val="20"/>
        </w:rPr>
        <w:t xml:space="preserve"> which coincide with the antibacterial screening result. The result proved that higher binding energy of </w:t>
      </w:r>
      <w:r w:rsidRPr="00771CD5">
        <w:rPr>
          <w:rFonts w:ascii="Times New Roman" w:hAnsi="Times New Roman"/>
          <w:b/>
          <w:bCs/>
          <w:sz w:val="20"/>
          <w:szCs w:val="20"/>
        </w:rPr>
        <w:t>T1</w:t>
      </w:r>
      <w:r w:rsidRPr="00771CD5">
        <w:rPr>
          <w:rFonts w:ascii="Times New Roman" w:hAnsi="Times New Roman"/>
          <w:sz w:val="20"/>
          <w:szCs w:val="20"/>
        </w:rPr>
        <w:t xml:space="preserve"> and </w:t>
      </w:r>
      <w:r w:rsidRPr="00771CD5">
        <w:rPr>
          <w:rFonts w:ascii="Times New Roman" w:hAnsi="Times New Roman"/>
          <w:b/>
          <w:bCs/>
          <w:sz w:val="20"/>
          <w:szCs w:val="20"/>
        </w:rPr>
        <w:t>T2</w:t>
      </w:r>
      <w:r w:rsidRPr="00771CD5">
        <w:rPr>
          <w:rFonts w:ascii="Times New Roman" w:hAnsi="Times New Roman"/>
          <w:sz w:val="20"/>
          <w:szCs w:val="20"/>
        </w:rPr>
        <w:t xml:space="preserve"> towards enzyme is reflected in lower antibacterial activity in screening test. This computational prediction is in a very good agreement to antibacterial screening result which proves the significant impact of this molecular docking study. </w:t>
      </w:r>
    </w:p>
    <w:p w:rsidR="00CB76B0" w:rsidRPr="00771CD5" w:rsidRDefault="00CB76B0" w:rsidP="00771CD5">
      <w:pPr>
        <w:spacing w:after="0" w:line="240" w:lineRule="auto"/>
        <w:jc w:val="both"/>
        <w:outlineLvl w:val="0"/>
        <w:rPr>
          <w:rFonts w:ascii="Times New Roman" w:hAnsi="Times New Roman"/>
          <w:sz w:val="20"/>
          <w:szCs w:val="20"/>
        </w:rPr>
      </w:pPr>
    </w:p>
    <w:p w:rsidR="00771CD5" w:rsidRPr="00771CD5" w:rsidRDefault="00771CD5" w:rsidP="00CB76B0">
      <w:pPr>
        <w:spacing w:after="120" w:line="240" w:lineRule="auto"/>
        <w:jc w:val="center"/>
        <w:outlineLvl w:val="0"/>
        <w:rPr>
          <w:rFonts w:ascii="Times New Roman" w:hAnsi="Times New Roman"/>
          <w:sz w:val="20"/>
          <w:szCs w:val="20"/>
        </w:rPr>
      </w:pPr>
      <w:r w:rsidRPr="00771CD5">
        <w:rPr>
          <w:rFonts w:ascii="Times New Roman" w:hAnsi="Times New Roman"/>
          <w:noProof/>
          <w:sz w:val="20"/>
          <w:szCs w:val="20"/>
          <w:lang w:bidi="ar-SA"/>
        </w:rPr>
        <w:drawing>
          <wp:inline distT="0" distB="0" distL="0" distR="0" wp14:anchorId="5C535A17" wp14:editId="04B402FE">
            <wp:extent cx="4708514" cy="41196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15473" cy="4125698"/>
                    </a:xfrm>
                    <a:prstGeom prst="rect">
                      <a:avLst/>
                    </a:prstGeom>
                    <a:noFill/>
                  </pic:spPr>
                </pic:pic>
              </a:graphicData>
            </a:graphic>
          </wp:inline>
        </w:drawing>
      </w:r>
    </w:p>
    <w:p w:rsidR="00771CD5" w:rsidRPr="00771CD5" w:rsidRDefault="00771CD5" w:rsidP="00771CD5">
      <w:pPr>
        <w:spacing w:after="0" w:line="240" w:lineRule="auto"/>
        <w:ind w:left="851" w:hanging="851"/>
        <w:jc w:val="both"/>
        <w:outlineLvl w:val="0"/>
        <w:rPr>
          <w:rFonts w:ascii="Times New Roman" w:hAnsi="Times New Roman"/>
          <w:bCs/>
          <w:sz w:val="20"/>
          <w:szCs w:val="20"/>
        </w:rPr>
      </w:pPr>
      <w:r w:rsidRPr="00771CD5">
        <w:rPr>
          <w:rFonts w:ascii="Times New Roman" w:hAnsi="Times New Roman"/>
          <w:bCs/>
          <w:sz w:val="20"/>
          <w:szCs w:val="20"/>
        </w:rPr>
        <w:t xml:space="preserve">Figure 5. </w:t>
      </w:r>
      <w:r w:rsidR="00CB76B0">
        <w:rPr>
          <w:rFonts w:ascii="Times New Roman" w:hAnsi="Times New Roman"/>
          <w:bCs/>
          <w:sz w:val="20"/>
          <w:szCs w:val="20"/>
        </w:rPr>
        <w:tab/>
      </w:r>
      <w:r w:rsidRPr="00771CD5">
        <w:rPr>
          <w:rFonts w:ascii="Times New Roman" w:hAnsi="Times New Roman"/>
          <w:bCs/>
          <w:sz w:val="20"/>
          <w:szCs w:val="20"/>
        </w:rPr>
        <w:t>3D view of all synthesized compounds (ligands) after molecular docking into the active site of GlcN-6-P synthase. Both ligands and amino acid residues of protein are presented in stick in size of 0.2 and 0.1 respectively. Bond length was found less than 3.0Ǻ in all interactions</w:t>
      </w:r>
    </w:p>
    <w:p w:rsidR="00771CD5" w:rsidRPr="00771CD5" w:rsidRDefault="00771CD5" w:rsidP="00CB76B0">
      <w:pPr>
        <w:spacing w:after="120" w:line="240" w:lineRule="auto"/>
        <w:jc w:val="both"/>
        <w:outlineLvl w:val="0"/>
        <w:rPr>
          <w:rFonts w:ascii="Times New Roman" w:hAnsi="Times New Roman"/>
          <w:sz w:val="20"/>
          <w:szCs w:val="20"/>
        </w:rPr>
      </w:pPr>
    </w:p>
    <w:p w:rsidR="00771CD5" w:rsidRPr="00771CD5" w:rsidRDefault="00771CD5" w:rsidP="00CB76B0">
      <w:pPr>
        <w:spacing w:after="120" w:line="240" w:lineRule="auto"/>
        <w:ind w:left="706" w:hanging="706"/>
        <w:jc w:val="center"/>
        <w:outlineLvl w:val="0"/>
        <w:rPr>
          <w:rFonts w:ascii="Times New Roman" w:hAnsi="Times New Roman"/>
          <w:sz w:val="20"/>
          <w:szCs w:val="20"/>
        </w:rPr>
      </w:pPr>
      <w:r w:rsidRPr="00771CD5">
        <w:rPr>
          <w:rFonts w:ascii="Times New Roman" w:hAnsi="Times New Roman"/>
          <w:sz w:val="20"/>
          <w:szCs w:val="20"/>
        </w:rPr>
        <w:t>Table 2.</w:t>
      </w:r>
      <w:r w:rsidR="00CB76B0">
        <w:rPr>
          <w:rFonts w:ascii="Times New Roman" w:hAnsi="Times New Roman"/>
          <w:sz w:val="20"/>
          <w:szCs w:val="20"/>
        </w:rPr>
        <w:t xml:space="preserve"> </w:t>
      </w:r>
      <w:r w:rsidRPr="00771CD5">
        <w:rPr>
          <w:rFonts w:ascii="Times New Roman" w:hAnsi="Times New Roman"/>
          <w:sz w:val="20"/>
          <w:szCs w:val="20"/>
        </w:rPr>
        <w:t xml:space="preserve"> Molecular docking parameters of </w:t>
      </w:r>
      <w:r w:rsidRPr="00771CD5">
        <w:rPr>
          <w:rFonts w:ascii="Times New Roman" w:hAnsi="Times New Roman"/>
          <w:b/>
          <w:bCs/>
          <w:sz w:val="20"/>
          <w:szCs w:val="20"/>
        </w:rPr>
        <w:t>T1</w:t>
      </w:r>
      <w:r w:rsidRPr="00771CD5">
        <w:rPr>
          <w:rFonts w:ascii="Times New Roman" w:hAnsi="Times New Roman"/>
          <w:sz w:val="20"/>
          <w:szCs w:val="20"/>
        </w:rPr>
        <w:t>-</w:t>
      </w:r>
      <w:r w:rsidRPr="00771CD5">
        <w:rPr>
          <w:rFonts w:ascii="Times New Roman" w:hAnsi="Times New Roman"/>
          <w:b/>
          <w:bCs/>
          <w:sz w:val="20"/>
          <w:szCs w:val="20"/>
        </w:rPr>
        <w:t>T3</w:t>
      </w:r>
      <w:r w:rsidRPr="00771CD5">
        <w:rPr>
          <w:rFonts w:ascii="Times New Roman" w:hAnsi="Times New Roman"/>
          <w:sz w:val="20"/>
          <w:szCs w:val="20"/>
        </w:rPr>
        <w:t xml:space="preserve"> and standard drug towards GlcN-6-P synthase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4"/>
        <w:gridCol w:w="1567"/>
        <w:gridCol w:w="4983"/>
        <w:gridCol w:w="222"/>
      </w:tblGrid>
      <w:tr w:rsidR="00771CD5" w:rsidRPr="00771CD5" w:rsidTr="00CB76B0">
        <w:trPr>
          <w:trHeight w:val="413"/>
          <w:jc w:val="center"/>
        </w:trPr>
        <w:tc>
          <w:tcPr>
            <w:tcW w:w="0" w:type="auto"/>
            <w:tcBorders>
              <w:top w:val="single" w:sz="4" w:space="0" w:color="auto"/>
              <w:bottom w:val="single" w:sz="4" w:space="0" w:color="auto"/>
            </w:tcBorders>
            <w:vAlign w:val="center"/>
          </w:tcPr>
          <w:p w:rsidR="00771CD5" w:rsidRPr="00771CD5" w:rsidRDefault="00771CD5" w:rsidP="00CB76B0">
            <w:pPr>
              <w:spacing w:after="0" w:line="240" w:lineRule="auto"/>
              <w:outlineLvl w:val="0"/>
              <w:rPr>
                <w:rFonts w:ascii="Times New Roman" w:hAnsi="Times New Roman" w:cs="Times New Roman"/>
                <w:b/>
                <w:bCs/>
                <w:sz w:val="20"/>
                <w:szCs w:val="20"/>
              </w:rPr>
            </w:pPr>
            <w:r w:rsidRPr="00771CD5">
              <w:rPr>
                <w:rFonts w:ascii="Times New Roman" w:hAnsi="Times New Roman" w:cs="Times New Roman"/>
                <w:b/>
                <w:bCs/>
                <w:sz w:val="20"/>
                <w:szCs w:val="20"/>
              </w:rPr>
              <w:t>Ligand</w:t>
            </w:r>
          </w:p>
        </w:tc>
        <w:tc>
          <w:tcPr>
            <w:tcW w:w="0" w:type="auto"/>
            <w:tcBorders>
              <w:top w:val="single" w:sz="4" w:space="0" w:color="auto"/>
              <w:bottom w:val="single" w:sz="4" w:space="0" w:color="auto"/>
            </w:tcBorders>
            <w:vAlign w:val="center"/>
          </w:tcPr>
          <w:p w:rsidR="00771CD5" w:rsidRPr="00771CD5" w:rsidRDefault="00771CD5" w:rsidP="00CB76B0">
            <w:pPr>
              <w:spacing w:before="60" w:after="0" w:line="240" w:lineRule="auto"/>
              <w:jc w:val="center"/>
              <w:outlineLvl w:val="0"/>
              <w:rPr>
                <w:rFonts w:ascii="Times New Roman" w:hAnsi="Times New Roman" w:cs="Times New Roman"/>
                <w:b/>
                <w:bCs/>
                <w:sz w:val="20"/>
                <w:szCs w:val="20"/>
              </w:rPr>
            </w:pPr>
            <w:r w:rsidRPr="00771CD5">
              <w:rPr>
                <w:rFonts w:ascii="Times New Roman" w:hAnsi="Times New Roman" w:cs="Times New Roman"/>
                <w:b/>
                <w:bCs/>
                <w:sz w:val="20"/>
                <w:szCs w:val="20"/>
              </w:rPr>
              <w:t>Binding Energy</w:t>
            </w:r>
          </w:p>
          <w:p w:rsidR="00771CD5" w:rsidRPr="00771CD5" w:rsidRDefault="00771CD5" w:rsidP="00CB76B0">
            <w:pPr>
              <w:spacing w:after="60" w:line="240" w:lineRule="auto"/>
              <w:jc w:val="center"/>
              <w:outlineLvl w:val="0"/>
              <w:rPr>
                <w:rFonts w:ascii="Times New Roman" w:hAnsi="Times New Roman" w:cs="Times New Roman"/>
                <w:b/>
                <w:bCs/>
                <w:sz w:val="20"/>
                <w:szCs w:val="20"/>
              </w:rPr>
            </w:pPr>
            <w:r w:rsidRPr="00771CD5">
              <w:rPr>
                <w:rFonts w:ascii="Times New Roman" w:hAnsi="Times New Roman" w:cs="Times New Roman"/>
                <w:b/>
                <w:bCs/>
                <w:sz w:val="20"/>
                <w:szCs w:val="20"/>
              </w:rPr>
              <w:t>(kcal mol</w:t>
            </w:r>
            <w:r w:rsidRPr="00771CD5">
              <w:rPr>
                <w:rFonts w:ascii="Times New Roman" w:hAnsi="Times New Roman" w:cs="Times New Roman"/>
                <w:b/>
                <w:bCs/>
                <w:sz w:val="20"/>
                <w:szCs w:val="20"/>
                <w:vertAlign w:val="superscript"/>
              </w:rPr>
              <w:t>-1</w:t>
            </w:r>
            <w:r w:rsidRPr="00771CD5">
              <w:rPr>
                <w:rFonts w:ascii="Times New Roman" w:hAnsi="Times New Roman" w:cs="Times New Roman"/>
                <w:b/>
                <w:bCs/>
                <w:sz w:val="20"/>
                <w:szCs w:val="20"/>
              </w:rPr>
              <w:t>)</w:t>
            </w:r>
          </w:p>
        </w:tc>
        <w:tc>
          <w:tcPr>
            <w:tcW w:w="0" w:type="auto"/>
            <w:tcBorders>
              <w:top w:val="single" w:sz="4" w:space="0" w:color="auto"/>
              <w:bottom w:val="single" w:sz="4" w:space="0" w:color="auto"/>
            </w:tcBorders>
            <w:vAlign w:val="center"/>
          </w:tcPr>
          <w:p w:rsidR="00771CD5" w:rsidRPr="00771CD5" w:rsidRDefault="00771CD5" w:rsidP="00CB76B0">
            <w:pPr>
              <w:spacing w:after="0" w:line="240" w:lineRule="auto"/>
              <w:outlineLvl w:val="0"/>
              <w:rPr>
                <w:rFonts w:ascii="Times New Roman" w:hAnsi="Times New Roman" w:cs="Times New Roman"/>
                <w:b/>
                <w:bCs/>
                <w:sz w:val="20"/>
                <w:szCs w:val="20"/>
              </w:rPr>
            </w:pPr>
            <w:r w:rsidRPr="00771CD5">
              <w:rPr>
                <w:rFonts w:ascii="Times New Roman" w:hAnsi="Times New Roman" w:cs="Times New Roman"/>
                <w:b/>
                <w:bCs/>
                <w:sz w:val="20"/>
                <w:szCs w:val="20"/>
              </w:rPr>
              <w:t>Amino acid residues</w:t>
            </w:r>
          </w:p>
        </w:tc>
        <w:tc>
          <w:tcPr>
            <w:tcW w:w="0" w:type="auto"/>
            <w:tcBorders>
              <w:top w:val="single" w:sz="4" w:space="0" w:color="auto"/>
              <w:bottom w:val="single" w:sz="4" w:space="0" w:color="auto"/>
            </w:tcBorders>
            <w:vAlign w:val="center"/>
          </w:tcPr>
          <w:p w:rsidR="00771CD5" w:rsidRPr="00771CD5" w:rsidRDefault="00771CD5" w:rsidP="00DE7158">
            <w:pPr>
              <w:spacing w:after="0" w:line="240" w:lineRule="auto"/>
              <w:jc w:val="both"/>
              <w:outlineLvl w:val="0"/>
              <w:rPr>
                <w:rFonts w:ascii="Times New Roman" w:hAnsi="Times New Roman" w:cs="Times New Roman"/>
                <w:b/>
                <w:bCs/>
                <w:sz w:val="20"/>
                <w:szCs w:val="20"/>
              </w:rPr>
            </w:pPr>
          </w:p>
        </w:tc>
      </w:tr>
      <w:tr w:rsidR="00771CD5" w:rsidRPr="00771CD5" w:rsidTr="00CB76B0">
        <w:trPr>
          <w:jc w:val="center"/>
        </w:trPr>
        <w:tc>
          <w:tcPr>
            <w:tcW w:w="0" w:type="auto"/>
            <w:tcBorders>
              <w:top w:val="single" w:sz="4" w:space="0" w:color="auto"/>
            </w:tcBorders>
            <w:vAlign w:val="center"/>
          </w:tcPr>
          <w:p w:rsidR="00771CD5" w:rsidRPr="00771CD5" w:rsidRDefault="00771CD5" w:rsidP="00CB76B0">
            <w:pPr>
              <w:spacing w:before="60" w:after="0" w:line="240" w:lineRule="auto"/>
              <w:outlineLvl w:val="0"/>
              <w:rPr>
                <w:rFonts w:ascii="Times New Roman" w:hAnsi="Times New Roman" w:cs="Times New Roman"/>
                <w:bCs/>
                <w:sz w:val="20"/>
                <w:szCs w:val="20"/>
              </w:rPr>
            </w:pPr>
            <w:r w:rsidRPr="00771CD5">
              <w:rPr>
                <w:rFonts w:ascii="Times New Roman" w:hAnsi="Times New Roman" w:cs="Times New Roman"/>
                <w:bCs/>
                <w:sz w:val="20"/>
                <w:szCs w:val="20"/>
              </w:rPr>
              <w:t>T1</w:t>
            </w:r>
          </w:p>
        </w:tc>
        <w:tc>
          <w:tcPr>
            <w:tcW w:w="0" w:type="auto"/>
            <w:tcBorders>
              <w:top w:val="single" w:sz="4" w:space="0" w:color="auto"/>
            </w:tcBorders>
            <w:vAlign w:val="center"/>
          </w:tcPr>
          <w:p w:rsidR="00771CD5" w:rsidRPr="00771CD5" w:rsidRDefault="00771CD5" w:rsidP="00CB76B0">
            <w:pPr>
              <w:spacing w:before="60" w:after="0" w:line="240" w:lineRule="auto"/>
              <w:jc w:val="center"/>
              <w:outlineLvl w:val="0"/>
              <w:rPr>
                <w:rFonts w:ascii="Times New Roman" w:hAnsi="Times New Roman" w:cs="Times New Roman"/>
                <w:sz w:val="20"/>
                <w:szCs w:val="20"/>
              </w:rPr>
            </w:pPr>
            <w:r w:rsidRPr="00771CD5">
              <w:rPr>
                <w:rFonts w:ascii="Times New Roman" w:hAnsi="Times New Roman" w:cs="Times New Roman"/>
                <w:sz w:val="20"/>
                <w:szCs w:val="20"/>
              </w:rPr>
              <w:t>-6.49</w:t>
            </w:r>
          </w:p>
        </w:tc>
        <w:tc>
          <w:tcPr>
            <w:tcW w:w="0" w:type="auto"/>
            <w:vMerge w:val="restart"/>
            <w:tcBorders>
              <w:top w:val="single" w:sz="4" w:space="0" w:color="auto"/>
            </w:tcBorders>
            <w:vAlign w:val="center"/>
          </w:tcPr>
          <w:p w:rsidR="00771CD5" w:rsidRPr="00771CD5" w:rsidRDefault="00771CD5" w:rsidP="00CB76B0">
            <w:pPr>
              <w:spacing w:before="60" w:after="0" w:line="240" w:lineRule="auto"/>
              <w:outlineLvl w:val="0"/>
              <w:rPr>
                <w:rFonts w:ascii="Times New Roman" w:hAnsi="Times New Roman" w:cs="Times New Roman"/>
                <w:sz w:val="20"/>
                <w:szCs w:val="20"/>
              </w:rPr>
            </w:pPr>
            <w:r w:rsidRPr="00771CD5">
              <w:rPr>
                <w:rFonts w:ascii="Times New Roman" w:hAnsi="Times New Roman" w:cs="Times New Roman"/>
                <w:sz w:val="20"/>
                <w:szCs w:val="20"/>
              </w:rPr>
              <w:t>Gly348, Val399</w:t>
            </w:r>
          </w:p>
          <w:p w:rsidR="00771CD5" w:rsidRPr="00771CD5" w:rsidRDefault="00771CD5" w:rsidP="00CB76B0">
            <w:pPr>
              <w:spacing w:before="60" w:after="0" w:line="240" w:lineRule="auto"/>
              <w:outlineLvl w:val="0"/>
              <w:rPr>
                <w:rFonts w:ascii="Times New Roman" w:hAnsi="Times New Roman" w:cs="Times New Roman"/>
                <w:sz w:val="20"/>
                <w:szCs w:val="20"/>
              </w:rPr>
            </w:pPr>
            <w:r w:rsidRPr="00771CD5">
              <w:rPr>
                <w:rFonts w:ascii="Times New Roman" w:hAnsi="Times New Roman" w:cs="Times New Roman"/>
                <w:sz w:val="20"/>
                <w:szCs w:val="20"/>
              </w:rPr>
              <w:t>Ala400, Lys603, Thr355, Ser347</w:t>
            </w:r>
          </w:p>
          <w:p w:rsidR="00771CD5" w:rsidRPr="00771CD5" w:rsidRDefault="00771CD5" w:rsidP="00CB76B0">
            <w:pPr>
              <w:spacing w:before="60" w:after="0" w:line="240" w:lineRule="auto"/>
              <w:outlineLvl w:val="0"/>
              <w:rPr>
                <w:rFonts w:ascii="Times New Roman" w:hAnsi="Times New Roman" w:cs="Times New Roman"/>
                <w:sz w:val="20"/>
                <w:szCs w:val="20"/>
              </w:rPr>
            </w:pPr>
            <w:r w:rsidRPr="00771CD5">
              <w:rPr>
                <w:rFonts w:ascii="Times New Roman" w:hAnsi="Times New Roman" w:cs="Times New Roman"/>
                <w:sz w:val="20"/>
                <w:szCs w:val="20"/>
              </w:rPr>
              <w:t>Gln348, Ser347, Val399, Ala400, Ser401</w:t>
            </w:r>
          </w:p>
          <w:p w:rsidR="00771CD5" w:rsidRPr="00771CD5" w:rsidRDefault="00771CD5" w:rsidP="00CB76B0">
            <w:pPr>
              <w:spacing w:before="60" w:after="60" w:line="240" w:lineRule="auto"/>
              <w:outlineLvl w:val="0"/>
              <w:rPr>
                <w:rFonts w:ascii="Times New Roman" w:hAnsi="Times New Roman" w:cs="Times New Roman"/>
                <w:sz w:val="20"/>
                <w:szCs w:val="20"/>
              </w:rPr>
            </w:pPr>
            <w:r w:rsidRPr="00771CD5">
              <w:rPr>
                <w:rFonts w:ascii="Times New Roman" w:hAnsi="Times New Roman" w:cs="Times New Roman"/>
                <w:sz w:val="20"/>
                <w:szCs w:val="20"/>
              </w:rPr>
              <w:t>Val399, Ser401, Cys300, Ala602, Asn600, Thr302, Glu488</w:t>
            </w:r>
          </w:p>
        </w:tc>
        <w:tc>
          <w:tcPr>
            <w:tcW w:w="0" w:type="auto"/>
            <w:tcBorders>
              <w:top w:val="single" w:sz="4" w:space="0" w:color="auto"/>
            </w:tcBorders>
            <w:vAlign w:val="center"/>
          </w:tcPr>
          <w:p w:rsidR="00771CD5" w:rsidRPr="00771CD5" w:rsidRDefault="00771CD5" w:rsidP="00CB76B0">
            <w:pPr>
              <w:spacing w:before="60" w:after="0" w:line="240" w:lineRule="auto"/>
              <w:jc w:val="both"/>
              <w:outlineLvl w:val="0"/>
              <w:rPr>
                <w:rFonts w:ascii="Times New Roman" w:hAnsi="Times New Roman" w:cs="Times New Roman"/>
                <w:sz w:val="20"/>
                <w:szCs w:val="20"/>
              </w:rPr>
            </w:pPr>
          </w:p>
        </w:tc>
      </w:tr>
      <w:tr w:rsidR="00771CD5" w:rsidRPr="00771CD5" w:rsidTr="00DE7158">
        <w:trPr>
          <w:jc w:val="center"/>
        </w:trPr>
        <w:tc>
          <w:tcPr>
            <w:tcW w:w="0" w:type="auto"/>
            <w:vAlign w:val="center"/>
          </w:tcPr>
          <w:p w:rsidR="00771CD5" w:rsidRPr="00771CD5" w:rsidRDefault="00771CD5" w:rsidP="00CB76B0">
            <w:pPr>
              <w:spacing w:before="60" w:after="0" w:line="240" w:lineRule="auto"/>
              <w:outlineLvl w:val="0"/>
              <w:rPr>
                <w:rFonts w:ascii="Times New Roman" w:hAnsi="Times New Roman" w:cs="Times New Roman"/>
                <w:bCs/>
                <w:sz w:val="20"/>
                <w:szCs w:val="20"/>
              </w:rPr>
            </w:pPr>
            <w:r w:rsidRPr="00771CD5">
              <w:rPr>
                <w:rFonts w:ascii="Times New Roman" w:hAnsi="Times New Roman" w:cs="Times New Roman"/>
                <w:bCs/>
                <w:sz w:val="20"/>
                <w:szCs w:val="20"/>
              </w:rPr>
              <w:t>T2</w:t>
            </w:r>
          </w:p>
        </w:tc>
        <w:tc>
          <w:tcPr>
            <w:tcW w:w="0" w:type="auto"/>
            <w:vAlign w:val="center"/>
          </w:tcPr>
          <w:p w:rsidR="00771CD5" w:rsidRPr="00771CD5" w:rsidRDefault="00771CD5" w:rsidP="00CB76B0">
            <w:pPr>
              <w:spacing w:before="60" w:after="0" w:line="240" w:lineRule="auto"/>
              <w:jc w:val="center"/>
              <w:outlineLvl w:val="0"/>
              <w:rPr>
                <w:rFonts w:ascii="Times New Roman" w:hAnsi="Times New Roman" w:cs="Times New Roman"/>
                <w:sz w:val="20"/>
                <w:szCs w:val="20"/>
              </w:rPr>
            </w:pPr>
            <w:r w:rsidRPr="00771CD5">
              <w:rPr>
                <w:rFonts w:ascii="Times New Roman" w:hAnsi="Times New Roman" w:cs="Times New Roman"/>
                <w:sz w:val="20"/>
                <w:szCs w:val="20"/>
              </w:rPr>
              <w:t>-6.76</w:t>
            </w:r>
          </w:p>
        </w:tc>
        <w:tc>
          <w:tcPr>
            <w:tcW w:w="0" w:type="auto"/>
            <w:vMerge/>
            <w:vAlign w:val="center"/>
          </w:tcPr>
          <w:p w:rsidR="00771CD5" w:rsidRPr="00771CD5" w:rsidRDefault="00771CD5" w:rsidP="00CB76B0">
            <w:pPr>
              <w:spacing w:before="60" w:after="0" w:line="240" w:lineRule="auto"/>
              <w:outlineLvl w:val="0"/>
              <w:rPr>
                <w:rFonts w:ascii="Times New Roman" w:hAnsi="Times New Roman" w:cs="Times New Roman"/>
                <w:sz w:val="20"/>
                <w:szCs w:val="20"/>
              </w:rPr>
            </w:pPr>
          </w:p>
        </w:tc>
        <w:tc>
          <w:tcPr>
            <w:tcW w:w="0" w:type="auto"/>
            <w:vAlign w:val="center"/>
          </w:tcPr>
          <w:p w:rsidR="00771CD5" w:rsidRPr="00771CD5" w:rsidRDefault="00771CD5" w:rsidP="00CB76B0">
            <w:pPr>
              <w:spacing w:before="60" w:after="0" w:line="240" w:lineRule="auto"/>
              <w:jc w:val="both"/>
              <w:outlineLvl w:val="0"/>
              <w:rPr>
                <w:rFonts w:ascii="Times New Roman" w:hAnsi="Times New Roman" w:cs="Times New Roman"/>
                <w:sz w:val="20"/>
                <w:szCs w:val="20"/>
              </w:rPr>
            </w:pPr>
          </w:p>
        </w:tc>
      </w:tr>
      <w:tr w:rsidR="00771CD5" w:rsidRPr="00771CD5" w:rsidTr="00CB76B0">
        <w:trPr>
          <w:trHeight w:val="66"/>
          <w:jc w:val="center"/>
        </w:trPr>
        <w:tc>
          <w:tcPr>
            <w:tcW w:w="0" w:type="auto"/>
            <w:tcBorders>
              <w:bottom w:val="nil"/>
            </w:tcBorders>
            <w:vAlign w:val="center"/>
          </w:tcPr>
          <w:p w:rsidR="00771CD5" w:rsidRPr="00771CD5" w:rsidRDefault="00771CD5" w:rsidP="00CB76B0">
            <w:pPr>
              <w:spacing w:before="60" w:after="0" w:line="240" w:lineRule="auto"/>
              <w:outlineLvl w:val="0"/>
              <w:rPr>
                <w:rFonts w:ascii="Times New Roman" w:hAnsi="Times New Roman" w:cs="Times New Roman"/>
                <w:bCs/>
                <w:sz w:val="20"/>
                <w:szCs w:val="20"/>
              </w:rPr>
            </w:pPr>
            <w:r w:rsidRPr="00771CD5">
              <w:rPr>
                <w:rFonts w:ascii="Times New Roman" w:hAnsi="Times New Roman" w:cs="Times New Roman"/>
                <w:bCs/>
                <w:sz w:val="20"/>
                <w:szCs w:val="20"/>
              </w:rPr>
              <w:t>T3</w:t>
            </w:r>
          </w:p>
        </w:tc>
        <w:tc>
          <w:tcPr>
            <w:tcW w:w="0" w:type="auto"/>
            <w:tcBorders>
              <w:bottom w:val="nil"/>
            </w:tcBorders>
            <w:vAlign w:val="center"/>
          </w:tcPr>
          <w:p w:rsidR="00771CD5" w:rsidRPr="00771CD5" w:rsidRDefault="00771CD5" w:rsidP="00CB76B0">
            <w:pPr>
              <w:spacing w:before="60" w:after="0" w:line="240" w:lineRule="auto"/>
              <w:jc w:val="center"/>
              <w:outlineLvl w:val="0"/>
              <w:rPr>
                <w:rFonts w:ascii="Times New Roman" w:hAnsi="Times New Roman" w:cs="Times New Roman"/>
                <w:sz w:val="20"/>
                <w:szCs w:val="20"/>
              </w:rPr>
            </w:pPr>
            <w:r w:rsidRPr="00771CD5">
              <w:rPr>
                <w:rFonts w:ascii="Times New Roman" w:hAnsi="Times New Roman" w:cs="Times New Roman"/>
                <w:sz w:val="20"/>
                <w:szCs w:val="20"/>
              </w:rPr>
              <w:t>-7.09</w:t>
            </w:r>
          </w:p>
        </w:tc>
        <w:tc>
          <w:tcPr>
            <w:tcW w:w="0" w:type="auto"/>
            <w:vMerge/>
            <w:vAlign w:val="center"/>
          </w:tcPr>
          <w:p w:rsidR="00771CD5" w:rsidRPr="00771CD5" w:rsidRDefault="00771CD5" w:rsidP="00CB76B0">
            <w:pPr>
              <w:spacing w:before="60" w:after="0" w:line="240" w:lineRule="auto"/>
              <w:outlineLvl w:val="0"/>
              <w:rPr>
                <w:rFonts w:ascii="Times New Roman" w:hAnsi="Times New Roman" w:cs="Times New Roman"/>
                <w:sz w:val="20"/>
                <w:szCs w:val="20"/>
              </w:rPr>
            </w:pPr>
          </w:p>
        </w:tc>
        <w:tc>
          <w:tcPr>
            <w:tcW w:w="0" w:type="auto"/>
            <w:vAlign w:val="center"/>
          </w:tcPr>
          <w:p w:rsidR="00771CD5" w:rsidRPr="00771CD5" w:rsidRDefault="00771CD5" w:rsidP="00CB76B0">
            <w:pPr>
              <w:spacing w:before="60" w:after="0" w:line="240" w:lineRule="auto"/>
              <w:jc w:val="both"/>
              <w:outlineLvl w:val="0"/>
              <w:rPr>
                <w:rFonts w:ascii="Times New Roman" w:hAnsi="Times New Roman" w:cs="Times New Roman"/>
                <w:sz w:val="20"/>
                <w:szCs w:val="20"/>
              </w:rPr>
            </w:pPr>
          </w:p>
        </w:tc>
      </w:tr>
      <w:tr w:rsidR="00771CD5" w:rsidRPr="00771CD5" w:rsidTr="00CB76B0">
        <w:trPr>
          <w:trHeight w:val="93"/>
          <w:jc w:val="center"/>
        </w:trPr>
        <w:tc>
          <w:tcPr>
            <w:tcW w:w="0" w:type="auto"/>
            <w:tcBorders>
              <w:top w:val="nil"/>
              <w:bottom w:val="single" w:sz="4" w:space="0" w:color="auto"/>
            </w:tcBorders>
            <w:vAlign w:val="center"/>
          </w:tcPr>
          <w:p w:rsidR="00771CD5" w:rsidRPr="00771CD5" w:rsidRDefault="00771CD5" w:rsidP="00CB76B0">
            <w:pPr>
              <w:spacing w:before="60" w:after="60" w:line="240" w:lineRule="auto"/>
              <w:outlineLvl w:val="0"/>
              <w:rPr>
                <w:rFonts w:ascii="Times New Roman" w:hAnsi="Times New Roman" w:cs="Times New Roman"/>
                <w:bCs/>
                <w:sz w:val="20"/>
                <w:szCs w:val="20"/>
              </w:rPr>
            </w:pPr>
            <w:r w:rsidRPr="00771CD5">
              <w:rPr>
                <w:rFonts w:ascii="Times New Roman" w:hAnsi="Times New Roman" w:cs="Times New Roman"/>
                <w:bCs/>
                <w:sz w:val="20"/>
                <w:szCs w:val="20"/>
              </w:rPr>
              <w:t>Streptomycin (Std.)</w:t>
            </w:r>
          </w:p>
        </w:tc>
        <w:tc>
          <w:tcPr>
            <w:tcW w:w="0" w:type="auto"/>
            <w:tcBorders>
              <w:top w:val="nil"/>
              <w:bottom w:val="single" w:sz="4" w:space="0" w:color="auto"/>
            </w:tcBorders>
            <w:vAlign w:val="center"/>
          </w:tcPr>
          <w:p w:rsidR="00771CD5" w:rsidRPr="00771CD5" w:rsidRDefault="00771CD5" w:rsidP="00CB76B0">
            <w:pPr>
              <w:spacing w:before="60" w:after="60" w:line="240" w:lineRule="auto"/>
              <w:jc w:val="center"/>
              <w:outlineLvl w:val="0"/>
              <w:rPr>
                <w:rFonts w:ascii="Times New Roman" w:hAnsi="Times New Roman" w:cs="Times New Roman"/>
                <w:sz w:val="20"/>
                <w:szCs w:val="20"/>
              </w:rPr>
            </w:pPr>
            <w:r w:rsidRPr="00771CD5">
              <w:rPr>
                <w:rFonts w:ascii="Times New Roman" w:hAnsi="Times New Roman" w:cs="Times New Roman"/>
                <w:sz w:val="20"/>
                <w:szCs w:val="20"/>
              </w:rPr>
              <w:t>-7.66</w:t>
            </w:r>
          </w:p>
        </w:tc>
        <w:tc>
          <w:tcPr>
            <w:tcW w:w="0" w:type="auto"/>
            <w:vMerge/>
            <w:vAlign w:val="center"/>
          </w:tcPr>
          <w:p w:rsidR="00771CD5" w:rsidRPr="00771CD5" w:rsidRDefault="00771CD5" w:rsidP="00CB76B0">
            <w:pPr>
              <w:spacing w:before="60" w:after="0" w:line="240" w:lineRule="auto"/>
              <w:outlineLvl w:val="0"/>
              <w:rPr>
                <w:rFonts w:ascii="Times New Roman" w:hAnsi="Times New Roman" w:cs="Times New Roman"/>
                <w:sz w:val="20"/>
                <w:szCs w:val="20"/>
              </w:rPr>
            </w:pPr>
          </w:p>
        </w:tc>
        <w:tc>
          <w:tcPr>
            <w:tcW w:w="0" w:type="auto"/>
            <w:vAlign w:val="center"/>
          </w:tcPr>
          <w:p w:rsidR="00771CD5" w:rsidRPr="00771CD5" w:rsidRDefault="00771CD5" w:rsidP="00CB76B0">
            <w:pPr>
              <w:spacing w:before="60" w:after="0" w:line="240" w:lineRule="auto"/>
              <w:jc w:val="both"/>
              <w:outlineLvl w:val="0"/>
              <w:rPr>
                <w:rFonts w:ascii="Times New Roman" w:hAnsi="Times New Roman" w:cs="Times New Roman"/>
                <w:sz w:val="20"/>
                <w:szCs w:val="20"/>
              </w:rPr>
            </w:pPr>
          </w:p>
        </w:tc>
      </w:tr>
    </w:tbl>
    <w:p w:rsidR="00771CD5" w:rsidRPr="00771CD5" w:rsidRDefault="00771CD5" w:rsidP="00771CD5">
      <w:pPr>
        <w:spacing w:after="0" w:line="240" w:lineRule="auto"/>
        <w:jc w:val="both"/>
        <w:outlineLvl w:val="0"/>
        <w:rPr>
          <w:rFonts w:ascii="Times New Roman" w:hAnsi="Times New Roman"/>
          <w:b/>
          <w:sz w:val="20"/>
          <w:szCs w:val="20"/>
        </w:rPr>
      </w:pP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C327E" w:rsidRPr="00AC327E" w:rsidRDefault="00AC327E" w:rsidP="00AC327E">
      <w:pPr>
        <w:spacing w:after="0" w:line="240" w:lineRule="auto"/>
        <w:jc w:val="both"/>
        <w:outlineLvl w:val="0"/>
        <w:rPr>
          <w:rFonts w:ascii="Times New Roman" w:hAnsi="Times New Roman"/>
          <w:sz w:val="20"/>
          <w:szCs w:val="20"/>
        </w:rPr>
      </w:pPr>
      <w:r w:rsidRPr="00AC327E">
        <w:rPr>
          <w:rFonts w:ascii="Times New Roman" w:hAnsi="Times New Roman"/>
          <w:sz w:val="20"/>
          <w:szCs w:val="20"/>
        </w:rPr>
        <w:t>In conclusion, the present work has demonstrated that series of 2, 4, 5- trisubstituted-1,3-thiazole derivatives (</w:t>
      </w:r>
      <w:r w:rsidRPr="00AC327E">
        <w:rPr>
          <w:rFonts w:ascii="Times New Roman" w:hAnsi="Times New Roman"/>
          <w:b/>
          <w:bCs/>
          <w:sz w:val="20"/>
          <w:szCs w:val="20"/>
        </w:rPr>
        <w:t>T1</w:t>
      </w:r>
      <w:r w:rsidRPr="00AC327E">
        <w:rPr>
          <w:rFonts w:ascii="Times New Roman" w:hAnsi="Times New Roman"/>
          <w:sz w:val="20"/>
          <w:szCs w:val="20"/>
        </w:rPr>
        <w:t>-</w:t>
      </w:r>
      <w:r w:rsidRPr="00AC327E">
        <w:rPr>
          <w:rFonts w:ascii="Times New Roman" w:hAnsi="Times New Roman"/>
          <w:b/>
          <w:bCs/>
          <w:sz w:val="20"/>
          <w:szCs w:val="20"/>
        </w:rPr>
        <w:t>T3</w:t>
      </w:r>
      <w:r w:rsidRPr="00AC327E">
        <w:rPr>
          <w:rFonts w:ascii="Times New Roman" w:hAnsi="Times New Roman"/>
          <w:sz w:val="20"/>
          <w:szCs w:val="20"/>
        </w:rPr>
        <w:t>) were successfully synthesized in moderately good yield as well as characterized using different techniques and exhibited potential activity against the tested bacterial strains. Among the tested compounds, 5-acetyl-4-methyl-2-(methyl-4-aminobenzoate)-1, 3-thiazole (</w:t>
      </w:r>
      <w:r w:rsidRPr="00AC327E">
        <w:rPr>
          <w:rFonts w:ascii="Times New Roman" w:hAnsi="Times New Roman"/>
          <w:b/>
          <w:bCs/>
          <w:sz w:val="20"/>
          <w:szCs w:val="20"/>
        </w:rPr>
        <w:t>T3</w:t>
      </w:r>
      <w:r w:rsidRPr="00AC327E">
        <w:rPr>
          <w:rFonts w:ascii="Times New Roman" w:hAnsi="Times New Roman"/>
          <w:sz w:val="20"/>
          <w:szCs w:val="20"/>
        </w:rPr>
        <w:t xml:space="preserve">) has emerged as most active against tested bacterial strains. Molecular docking studies also revealed that </w:t>
      </w:r>
      <w:r w:rsidRPr="00AC327E">
        <w:rPr>
          <w:rFonts w:ascii="Times New Roman" w:hAnsi="Times New Roman"/>
          <w:b/>
          <w:bCs/>
          <w:sz w:val="20"/>
          <w:szCs w:val="20"/>
        </w:rPr>
        <w:t>T3</w:t>
      </w:r>
      <w:r w:rsidRPr="00AC327E">
        <w:rPr>
          <w:rFonts w:ascii="Times New Roman" w:hAnsi="Times New Roman"/>
          <w:sz w:val="20"/>
          <w:szCs w:val="20"/>
        </w:rPr>
        <w:t xml:space="preserve"> has the lowest binding energy and may consider as a good inhibitor of GlcN-6-P synthase. For further investigation, complete antimicrobial procedure including </w:t>
      </w:r>
      <w:r w:rsidRPr="00AC327E">
        <w:rPr>
          <w:rFonts w:ascii="Times New Roman" w:hAnsi="Times New Roman"/>
          <w:i/>
          <w:iCs/>
          <w:sz w:val="20"/>
          <w:szCs w:val="20"/>
        </w:rPr>
        <w:t>in vitro</w:t>
      </w:r>
      <w:r w:rsidRPr="00AC327E">
        <w:rPr>
          <w:rFonts w:ascii="Times New Roman" w:hAnsi="Times New Roman"/>
          <w:sz w:val="20"/>
          <w:szCs w:val="20"/>
        </w:rPr>
        <w:t xml:space="preserve"> assays should be </w:t>
      </w:r>
      <w:r w:rsidRPr="00AC327E">
        <w:rPr>
          <w:rFonts w:ascii="Times New Roman" w:hAnsi="Times New Roman"/>
          <w:sz w:val="20"/>
          <w:szCs w:val="20"/>
        </w:rPr>
        <w:lastRenderedPageBreak/>
        <w:t>applied to evaluate the potential of thiazole derivatives against different types of bacteria and fungi with the support of molecular docking study.</w:t>
      </w:r>
    </w:p>
    <w:p w:rsidR="00AC327E" w:rsidRPr="00AC327E" w:rsidRDefault="00AC327E" w:rsidP="00AC327E">
      <w:pPr>
        <w:spacing w:after="0" w:line="240" w:lineRule="auto"/>
        <w:jc w:val="center"/>
        <w:outlineLvl w:val="0"/>
        <w:rPr>
          <w:rFonts w:ascii="Times New Roman" w:hAnsi="Times New Roman"/>
          <w:sz w:val="20"/>
          <w:szCs w:val="20"/>
        </w:rPr>
      </w:pPr>
    </w:p>
    <w:p w:rsidR="00AC327E" w:rsidRPr="00AC327E" w:rsidRDefault="00AC327E" w:rsidP="00AC327E">
      <w:pPr>
        <w:spacing w:after="0" w:line="240" w:lineRule="auto"/>
        <w:jc w:val="center"/>
        <w:outlineLvl w:val="0"/>
        <w:rPr>
          <w:rFonts w:ascii="Times New Roman" w:hAnsi="Times New Roman"/>
          <w:b/>
          <w:sz w:val="20"/>
          <w:szCs w:val="20"/>
        </w:rPr>
      </w:pPr>
      <w:r w:rsidRPr="00AC327E">
        <w:rPr>
          <w:rFonts w:ascii="Times New Roman" w:hAnsi="Times New Roman"/>
          <w:b/>
          <w:sz w:val="20"/>
          <w:szCs w:val="20"/>
        </w:rPr>
        <w:t>Acknowledgement</w:t>
      </w:r>
    </w:p>
    <w:p w:rsidR="00AC0033" w:rsidRPr="00AC327E" w:rsidRDefault="00AC327E" w:rsidP="00AC327E">
      <w:pPr>
        <w:spacing w:after="0" w:line="240" w:lineRule="auto"/>
        <w:jc w:val="both"/>
        <w:outlineLvl w:val="0"/>
        <w:rPr>
          <w:rFonts w:ascii="Times New Roman" w:hAnsi="Times New Roman"/>
          <w:b/>
          <w:sz w:val="20"/>
          <w:szCs w:val="20"/>
        </w:rPr>
      </w:pPr>
      <w:r w:rsidRPr="00AC327E">
        <w:rPr>
          <w:rFonts w:ascii="Times New Roman" w:hAnsi="Times New Roman"/>
          <w:sz w:val="20"/>
          <w:szCs w:val="20"/>
        </w:rPr>
        <w:t>We gratefully acknowledge grants from the Ministry of Education Malaysia FRGS14-15-0392, Department of Chemistry and Biotechnology, Kulliyyah of Science, International Islamic University Malaysia (IIUM) for providing the essential laboratory facilities. We also would like to thank the Central Laboratory, Universiti Malaysia Pahang for NMR services.</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Tran, T., Nguyen, T., Do, T., Huynh, T., Tran, C. and Thai, K. (2012). Synthesis and antibacterial activity of some heterocyclic chalcone analogues alone and in combination with antibiotics. </w:t>
      </w:r>
      <w:r w:rsidRPr="002E07D0">
        <w:rPr>
          <w:rFonts w:ascii="Times New Roman" w:eastAsia="SimSun" w:hAnsi="Times New Roman"/>
          <w:i/>
          <w:iCs/>
          <w:sz w:val="20"/>
          <w:szCs w:val="20"/>
        </w:rPr>
        <w:t>Molecules</w:t>
      </w:r>
      <w:r w:rsidRPr="002E07D0">
        <w:rPr>
          <w:rFonts w:ascii="Times New Roman" w:eastAsia="SimSun" w:hAnsi="Times New Roman"/>
          <w:sz w:val="20"/>
          <w:szCs w:val="20"/>
        </w:rPr>
        <w:t>, 17(6): 6684 – 6696.</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Kotb, E. R., Anwar, M. M., Abbas, H. S. and El-Moez, S. I. A. (2013). A concise synthesis and antimicrobial activity of a novel series of naphthylpyridine-3-carbonitrile compounds. </w:t>
      </w:r>
      <w:r w:rsidRPr="002E07D0">
        <w:rPr>
          <w:rFonts w:ascii="Times New Roman" w:eastAsia="SimSun" w:hAnsi="Times New Roman"/>
          <w:i/>
          <w:iCs/>
          <w:sz w:val="20"/>
          <w:szCs w:val="20"/>
        </w:rPr>
        <w:t>Acta Poloniae Pharmaceutica-Drug Research</w:t>
      </w:r>
      <w:r w:rsidRPr="002E07D0">
        <w:rPr>
          <w:rFonts w:ascii="Times New Roman" w:eastAsia="SimSun" w:hAnsi="Times New Roman"/>
          <w:sz w:val="20"/>
          <w:szCs w:val="20"/>
        </w:rPr>
        <w:t>, 70(4): 667 – 679.</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Ejideke, I. P. and Ajibade, P. A. (2015). Synthesis, characterization, antioxidant and antibacterial studies of some metal (II) complexes of tetradentate Schiff base ligand: (4E)-4-[(2-{(E)-[1-(2,4-dihydroxyphenyl) ethylidene] amino}ethyl)imino]penta-2-one. </w:t>
      </w:r>
      <w:r w:rsidRPr="002E07D0">
        <w:rPr>
          <w:rFonts w:ascii="Times New Roman" w:eastAsia="SimSun" w:hAnsi="Times New Roman"/>
          <w:i/>
          <w:iCs/>
          <w:sz w:val="20"/>
          <w:szCs w:val="20"/>
        </w:rPr>
        <w:t>Bioinorganic Chemistry and Applications</w:t>
      </w:r>
      <w:r w:rsidRPr="002E07D0">
        <w:rPr>
          <w:rFonts w:ascii="Times New Roman" w:eastAsia="SimSun" w:hAnsi="Times New Roman"/>
          <w:sz w:val="20"/>
          <w:szCs w:val="20"/>
        </w:rPr>
        <w:t>, 9: 1 – 9.</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Dayt, D. and Serra, G. (2010). Thiazole and oxazole alkaloids: Isolation and synthesis. </w:t>
      </w:r>
      <w:r w:rsidRPr="002E07D0">
        <w:rPr>
          <w:rFonts w:ascii="Times New Roman" w:eastAsia="SimSun" w:hAnsi="Times New Roman"/>
          <w:i/>
          <w:iCs/>
          <w:sz w:val="20"/>
          <w:szCs w:val="20"/>
        </w:rPr>
        <w:t>Marine Drugs</w:t>
      </w:r>
      <w:r w:rsidRPr="002E07D0">
        <w:rPr>
          <w:rFonts w:ascii="Times New Roman" w:eastAsia="SimSun" w:hAnsi="Times New Roman"/>
          <w:sz w:val="20"/>
          <w:szCs w:val="20"/>
        </w:rPr>
        <w:t>, 8: 2755 – 2780.</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Kaur, K., Kaur, R. and Dhir, G. N. (2014). Synthesis and biological of amino acid and peptide conjugates of Rhein derivatives. </w:t>
      </w:r>
      <w:r w:rsidRPr="002E07D0">
        <w:rPr>
          <w:rFonts w:ascii="Times New Roman" w:eastAsia="SimSun" w:hAnsi="Times New Roman"/>
          <w:i/>
          <w:iCs/>
          <w:sz w:val="20"/>
          <w:szCs w:val="20"/>
        </w:rPr>
        <w:t>Journal of Advanced Pharmaceutical Education and Resource</w:t>
      </w:r>
      <w:r w:rsidRPr="002E07D0">
        <w:rPr>
          <w:rFonts w:ascii="Times New Roman" w:eastAsia="SimSun" w:hAnsi="Times New Roman"/>
          <w:sz w:val="20"/>
          <w:szCs w:val="20"/>
        </w:rPr>
        <w:t>, 4(3): 311 – 318.</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Penta, S. and Vedula, R. R. (2012). A facile one-pot synthesis of thiazole-pyrazole derivatives </w:t>
      </w:r>
      <w:r w:rsidRPr="002E07D0">
        <w:rPr>
          <w:rFonts w:ascii="Times New Roman" w:eastAsia="SimSun" w:hAnsi="Times New Roman"/>
          <w:i/>
          <w:iCs/>
          <w:sz w:val="20"/>
          <w:szCs w:val="20"/>
        </w:rPr>
        <w:t>via</w:t>
      </w:r>
      <w:r w:rsidRPr="002E07D0">
        <w:rPr>
          <w:rFonts w:ascii="Times New Roman" w:eastAsia="SimSun" w:hAnsi="Times New Roman"/>
          <w:sz w:val="20"/>
          <w:szCs w:val="20"/>
        </w:rPr>
        <w:t xml:space="preserve"> multicomponent approach. </w:t>
      </w:r>
      <w:r w:rsidRPr="002E07D0">
        <w:rPr>
          <w:rFonts w:ascii="Times New Roman" w:eastAsia="SimSun" w:hAnsi="Times New Roman"/>
          <w:i/>
          <w:iCs/>
          <w:sz w:val="20"/>
          <w:szCs w:val="20"/>
        </w:rPr>
        <w:t>Organic Communications</w:t>
      </w:r>
      <w:r w:rsidRPr="002E07D0">
        <w:rPr>
          <w:rFonts w:ascii="Times New Roman" w:eastAsia="SimSun" w:hAnsi="Times New Roman"/>
          <w:sz w:val="20"/>
          <w:szCs w:val="20"/>
        </w:rPr>
        <w:t>, 5(3): 143 – 149.</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Bodireddy, M. R., Mohinuddin, P. M. K., Gundala, T. R. and Reddy, G. (2016). Lactic acid-mediated tandem one-pot synthesis of 2-aminothiazole derivatives: A rapid, scalable and sustainable process. </w:t>
      </w:r>
      <w:r w:rsidRPr="002E07D0">
        <w:rPr>
          <w:rFonts w:ascii="Times New Roman" w:eastAsia="SimSun" w:hAnsi="Times New Roman"/>
          <w:i/>
          <w:iCs/>
          <w:sz w:val="20"/>
          <w:szCs w:val="20"/>
        </w:rPr>
        <w:t>Organic Chemistry</w:t>
      </w:r>
      <w:r w:rsidRPr="002E07D0">
        <w:rPr>
          <w:rFonts w:ascii="Times New Roman" w:eastAsia="SimSun" w:hAnsi="Times New Roman"/>
          <w:sz w:val="20"/>
          <w:szCs w:val="20"/>
        </w:rPr>
        <w:t>, 2: 1 – 13.</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Kołazcek, A., Fusiarz, I., Ławecka, J. and Braowska, D. (2014). Biological activity and synthesis of sulfonamide derivatives: A brief review. </w:t>
      </w:r>
      <w:r w:rsidRPr="002E07D0">
        <w:rPr>
          <w:rFonts w:ascii="Times New Roman" w:eastAsia="SimSun" w:hAnsi="Times New Roman"/>
          <w:i/>
          <w:iCs/>
          <w:sz w:val="20"/>
          <w:szCs w:val="20"/>
        </w:rPr>
        <w:t>Chemik Er Zeitung</w:t>
      </w:r>
      <w:r w:rsidRPr="002E07D0">
        <w:rPr>
          <w:rFonts w:ascii="Times New Roman" w:eastAsia="SimSun" w:hAnsi="Times New Roman"/>
          <w:sz w:val="20"/>
          <w:szCs w:val="20"/>
        </w:rPr>
        <w:t>, 68(7): 620 – 628.</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Kushwara, N., Kushwara, S. K. S. and Rai, A. K. (2012). Biological activities of thiadiazole derivatives: A review. </w:t>
      </w:r>
      <w:r w:rsidRPr="002E07D0">
        <w:rPr>
          <w:rFonts w:ascii="Times New Roman" w:eastAsia="SimSun" w:hAnsi="Times New Roman"/>
          <w:i/>
          <w:iCs/>
          <w:sz w:val="20"/>
          <w:szCs w:val="20"/>
        </w:rPr>
        <w:t>International Research of Chemtech Research</w:t>
      </w:r>
      <w:r w:rsidRPr="002E07D0">
        <w:rPr>
          <w:rFonts w:ascii="Times New Roman" w:eastAsia="SimSun" w:hAnsi="Times New Roman"/>
          <w:sz w:val="20"/>
          <w:szCs w:val="20"/>
        </w:rPr>
        <w:t>, 4(2): 517 – 531.</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Vijesh, A. M., Isloor, A. M., Telkar, S., Arulmoli, T. and Fun, H. K. (2013). Molecular docking studies of some new imidazole derivatives for antimicrobial properties. </w:t>
      </w:r>
      <w:r w:rsidRPr="002E07D0">
        <w:rPr>
          <w:rFonts w:ascii="Times New Roman" w:eastAsia="SimSun" w:hAnsi="Times New Roman"/>
          <w:i/>
          <w:iCs/>
          <w:sz w:val="20"/>
          <w:szCs w:val="20"/>
        </w:rPr>
        <w:t>Arabian Journal of Chemistry</w:t>
      </w:r>
      <w:r w:rsidRPr="002E07D0">
        <w:rPr>
          <w:rFonts w:ascii="Times New Roman" w:eastAsia="SimSun" w:hAnsi="Times New Roman"/>
          <w:sz w:val="20"/>
          <w:szCs w:val="20"/>
        </w:rPr>
        <w:t>, 6: 197– 204.</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Pawlak, D., Stolarska, M., Wojciechowski, M. and Andruszkiewicz, R. (2015). Synthesis, anticandial activity of N</w:t>
      </w:r>
      <w:r w:rsidRPr="002E07D0">
        <w:rPr>
          <w:rFonts w:ascii="Times New Roman" w:eastAsia="SimSun" w:hAnsi="Times New Roman"/>
          <w:sz w:val="20"/>
          <w:szCs w:val="20"/>
          <w:vertAlign w:val="superscript"/>
        </w:rPr>
        <w:t>3</w:t>
      </w:r>
      <w:r w:rsidRPr="002E07D0">
        <w:rPr>
          <w:rFonts w:ascii="Times New Roman" w:eastAsia="SimSun" w:hAnsi="Times New Roman"/>
          <w:sz w:val="20"/>
          <w:szCs w:val="20"/>
        </w:rPr>
        <w:t>-(4-methoxyfumaroyl) -(</w:t>
      </w:r>
      <w:r w:rsidRPr="002E07D0">
        <w:rPr>
          <w:rFonts w:ascii="Times New Roman" w:eastAsia="SimSun" w:hAnsi="Times New Roman"/>
          <w:i/>
          <w:iCs/>
          <w:sz w:val="20"/>
          <w:szCs w:val="20"/>
        </w:rPr>
        <w:t>S</w:t>
      </w:r>
      <w:r w:rsidRPr="002E07D0">
        <w:rPr>
          <w:rFonts w:ascii="Times New Roman" w:eastAsia="SimSun" w:hAnsi="Times New Roman"/>
          <w:sz w:val="20"/>
          <w:szCs w:val="20"/>
        </w:rPr>
        <w:t xml:space="preserve">)-2,3-diaminopropanoic amide derivatives–novel inhibitors of glucosamine-6-phosphate synthase. </w:t>
      </w:r>
      <w:r w:rsidRPr="002E07D0">
        <w:rPr>
          <w:rFonts w:ascii="Times New Roman" w:eastAsia="SimSun" w:hAnsi="Times New Roman"/>
          <w:i/>
          <w:iCs/>
          <w:sz w:val="20"/>
          <w:szCs w:val="20"/>
        </w:rPr>
        <w:t>European Journal of Medicinal Chemistry</w:t>
      </w:r>
      <w:r w:rsidRPr="002E07D0">
        <w:rPr>
          <w:rFonts w:ascii="Times New Roman" w:eastAsia="SimSun" w:hAnsi="Times New Roman"/>
          <w:sz w:val="20"/>
          <w:szCs w:val="20"/>
        </w:rPr>
        <w:t>, 90: 577 – 582.</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Milewski, S. (2012). Glucosamine-6-phosphate synthase –the multi-facets enzyme. </w:t>
      </w:r>
      <w:r w:rsidRPr="002E07D0">
        <w:rPr>
          <w:rFonts w:ascii="Times New Roman" w:eastAsia="SimSun" w:hAnsi="Times New Roman"/>
          <w:i/>
          <w:iCs/>
          <w:sz w:val="20"/>
          <w:szCs w:val="20"/>
        </w:rPr>
        <w:t>Biochimica et Biophysica Acta-Protein Structure and Molecular Enzymology</w:t>
      </w:r>
      <w:r w:rsidRPr="002E07D0">
        <w:rPr>
          <w:rFonts w:ascii="Times New Roman" w:eastAsia="SimSun" w:hAnsi="Times New Roman"/>
          <w:sz w:val="20"/>
          <w:szCs w:val="20"/>
        </w:rPr>
        <w:t>, 1597(2): 173 –192.</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Aouad, M. R., Mayaba, M. M., Naqvi, A., Bardaweel, S. K., Al-blewi, F. F., Messali, M. and Rezki, N. (2017). Design, synthesis, </w:t>
      </w:r>
      <w:r w:rsidRPr="002E07D0">
        <w:rPr>
          <w:rFonts w:ascii="Times New Roman" w:eastAsia="SimSun" w:hAnsi="Times New Roman"/>
          <w:i/>
          <w:iCs/>
          <w:sz w:val="20"/>
          <w:szCs w:val="20"/>
        </w:rPr>
        <w:t>in silico</w:t>
      </w:r>
      <w:r w:rsidRPr="002E07D0">
        <w:rPr>
          <w:rFonts w:ascii="Times New Roman" w:eastAsia="SimSun" w:hAnsi="Times New Roman"/>
          <w:sz w:val="20"/>
          <w:szCs w:val="20"/>
        </w:rPr>
        <w:t xml:space="preserve"> and </w:t>
      </w:r>
      <w:r w:rsidRPr="002E07D0">
        <w:rPr>
          <w:rFonts w:ascii="Times New Roman" w:eastAsia="SimSun" w:hAnsi="Times New Roman"/>
          <w:i/>
          <w:iCs/>
          <w:sz w:val="20"/>
          <w:szCs w:val="20"/>
        </w:rPr>
        <w:t>in vitro</w:t>
      </w:r>
      <w:r w:rsidRPr="002E07D0">
        <w:rPr>
          <w:rFonts w:ascii="Times New Roman" w:eastAsia="SimSun" w:hAnsi="Times New Roman"/>
          <w:sz w:val="20"/>
          <w:szCs w:val="20"/>
        </w:rPr>
        <w:t xml:space="preserve"> antimicrobial screenings of novel 1,2,4- triazoles carrying 1,2,3-triazole scaffold with lipophilic side chain tether. </w:t>
      </w:r>
      <w:r w:rsidRPr="002E07D0">
        <w:rPr>
          <w:rFonts w:ascii="Times New Roman" w:eastAsia="SimSun" w:hAnsi="Times New Roman"/>
          <w:i/>
          <w:iCs/>
          <w:sz w:val="20"/>
          <w:szCs w:val="20"/>
        </w:rPr>
        <w:t>Chemistry Central Journal</w:t>
      </w:r>
      <w:r w:rsidRPr="002E07D0">
        <w:rPr>
          <w:rFonts w:ascii="Times New Roman" w:eastAsia="SimSun" w:hAnsi="Times New Roman"/>
          <w:sz w:val="20"/>
          <w:szCs w:val="20"/>
        </w:rPr>
        <w:t>, 11(1): 1–13.</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Krishna, B. G., Sarojini, B. K. and Darshanraj, C. G. (2010). Synthesis, characterization, molecular docking and evaluation of antibacterial, antiproliferative and anti-inflammatory properties of new pyridinyl substituted triazole derivatives. </w:t>
      </w:r>
      <w:r w:rsidRPr="002E07D0">
        <w:rPr>
          <w:rFonts w:ascii="Times New Roman" w:eastAsia="SimSun" w:hAnsi="Times New Roman"/>
          <w:i/>
          <w:iCs/>
          <w:sz w:val="20"/>
          <w:szCs w:val="20"/>
        </w:rPr>
        <w:t>Der Pharma Chemica</w:t>
      </w:r>
      <w:r w:rsidRPr="002E07D0">
        <w:rPr>
          <w:rFonts w:ascii="Times New Roman" w:eastAsia="SimSun" w:hAnsi="Times New Roman"/>
          <w:sz w:val="20"/>
          <w:szCs w:val="20"/>
        </w:rPr>
        <w:t>, 6(4): 345 – 361.</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Rajasekaran, A., Sivakumar, K. K., Sureshkumar, K. and Manjushree, M. (2017). Design, synthesis, characterization and </w:t>
      </w:r>
      <w:r w:rsidRPr="002E07D0">
        <w:rPr>
          <w:rFonts w:ascii="Times New Roman" w:eastAsia="SimSun" w:hAnsi="Times New Roman"/>
          <w:i/>
          <w:iCs/>
          <w:sz w:val="20"/>
          <w:szCs w:val="20"/>
        </w:rPr>
        <w:t>in-vitro</w:t>
      </w:r>
      <w:r w:rsidRPr="002E07D0">
        <w:rPr>
          <w:rFonts w:ascii="Times New Roman" w:eastAsia="SimSun" w:hAnsi="Times New Roman"/>
          <w:sz w:val="20"/>
          <w:szCs w:val="20"/>
        </w:rPr>
        <w:t xml:space="preserve"> antimicrobial activity of some hybridized triazole scaffolds. </w:t>
      </w:r>
      <w:r w:rsidRPr="002E07D0">
        <w:rPr>
          <w:rFonts w:ascii="Times New Roman" w:eastAsia="SimSun" w:hAnsi="Times New Roman"/>
          <w:i/>
          <w:iCs/>
          <w:sz w:val="20"/>
          <w:szCs w:val="20"/>
        </w:rPr>
        <w:t>Future Journal of Pharmaceutical Sciences</w:t>
      </w:r>
      <w:r w:rsidRPr="002E07D0">
        <w:rPr>
          <w:rFonts w:ascii="Times New Roman" w:eastAsia="SimSun" w:hAnsi="Times New Roman"/>
          <w:sz w:val="20"/>
          <w:szCs w:val="20"/>
        </w:rPr>
        <w:t>, 3(1): 1 – 10.</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Tian, G. and Haffner, C. D. (2001). Linear relationships between binding energy of time-dependent inhibition of steroid 5α- reductase by Ϫ</w:t>
      </w:r>
      <w:r w:rsidRPr="002E07D0">
        <w:rPr>
          <w:rFonts w:ascii="Times New Roman" w:eastAsia="SimSun" w:hAnsi="Times New Roman"/>
          <w:sz w:val="20"/>
          <w:szCs w:val="20"/>
          <w:vertAlign w:val="superscript"/>
        </w:rPr>
        <w:t>1</w:t>
      </w:r>
      <w:r w:rsidRPr="002E07D0">
        <w:rPr>
          <w:rFonts w:ascii="Times New Roman" w:eastAsia="SimSun" w:hAnsi="Times New Roman"/>
          <w:sz w:val="20"/>
          <w:szCs w:val="20"/>
        </w:rPr>
        <w:t xml:space="preserve">-4-azasteroids. </w:t>
      </w:r>
      <w:r w:rsidRPr="002E07D0">
        <w:rPr>
          <w:rFonts w:ascii="Times New Roman" w:eastAsia="SimSun" w:hAnsi="Times New Roman"/>
          <w:i/>
          <w:iCs/>
          <w:sz w:val="20"/>
          <w:szCs w:val="20"/>
        </w:rPr>
        <w:t>The Journal of Biological Chemistry</w:t>
      </w:r>
      <w:r w:rsidRPr="002E07D0">
        <w:rPr>
          <w:rFonts w:ascii="Times New Roman" w:eastAsia="SimSun" w:hAnsi="Times New Roman"/>
          <w:sz w:val="20"/>
          <w:szCs w:val="20"/>
        </w:rPr>
        <w:t xml:space="preserve">, 276(24): 21359 – 21364. </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Koochak, H., Seyyednejad, S. M. and Motamedi, H. (2010). Preliminary study on the antibacterial activity of some medicinal plants of Khuzestan (Iran). </w:t>
      </w:r>
      <w:r w:rsidRPr="002E07D0">
        <w:rPr>
          <w:rFonts w:ascii="Times New Roman" w:eastAsia="SimSun" w:hAnsi="Times New Roman"/>
          <w:i/>
          <w:iCs/>
          <w:sz w:val="20"/>
          <w:szCs w:val="20"/>
        </w:rPr>
        <w:t>Asian Pacific Journal of Tropical Medicine</w:t>
      </w:r>
      <w:r w:rsidRPr="002E07D0">
        <w:rPr>
          <w:rFonts w:ascii="Times New Roman" w:eastAsia="SimSun" w:hAnsi="Times New Roman"/>
          <w:sz w:val="20"/>
          <w:szCs w:val="20"/>
        </w:rPr>
        <w:t>, 3(3): 180 – 184.</w:t>
      </w:r>
    </w:p>
    <w:p w:rsidR="00551DD7" w:rsidRPr="002E07D0" w:rsidRDefault="00551DD7" w:rsidP="002E07D0">
      <w:pPr>
        <w:spacing w:after="0" w:line="240" w:lineRule="auto"/>
        <w:ind w:left="360" w:hanging="360"/>
        <w:jc w:val="both"/>
        <w:rPr>
          <w:rFonts w:ascii="Times New Roman" w:eastAsia="SimSun" w:hAnsi="Times New Roman"/>
          <w:sz w:val="20"/>
          <w:szCs w:val="20"/>
        </w:rPr>
      </w:pP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lastRenderedPageBreak/>
        <w:t xml:space="preserve">Mouilleron, S., Badet-Deisot, M. A. and Golielli-Pimpaneau, B. (2008). Ordering of C-terminal loop and glutaminase domains of glucosamine-6-phosphate synthase promotes sugar ring opening and formation of the ammonia channel. </w:t>
      </w:r>
      <w:r w:rsidRPr="002E07D0">
        <w:rPr>
          <w:rFonts w:ascii="Times New Roman" w:eastAsia="SimSun" w:hAnsi="Times New Roman"/>
          <w:i/>
          <w:iCs/>
          <w:sz w:val="20"/>
          <w:szCs w:val="20"/>
        </w:rPr>
        <w:t>Journal of Molecular Biology</w:t>
      </w:r>
      <w:r w:rsidRPr="002E07D0">
        <w:rPr>
          <w:rFonts w:ascii="Times New Roman" w:eastAsia="SimSun" w:hAnsi="Times New Roman"/>
          <w:sz w:val="20"/>
          <w:szCs w:val="20"/>
        </w:rPr>
        <w:t>, 377(4): 1174 – 1185.</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Jumal, J., Latip, J. and Yamin, B. M. (2006). 2-(4-fluoroanilino)-4,5-dimethyl-1,3-thiazole. </w:t>
      </w:r>
      <w:r w:rsidRPr="002E07D0">
        <w:rPr>
          <w:rFonts w:ascii="Times New Roman" w:eastAsia="SimSun" w:hAnsi="Times New Roman"/>
          <w:i/>
          <w:iCs/>
          <w:sz w:val="20"/>
          <w:szCs w:val="20"/>
        </w:rPr>
        <w:t>Acta Crystallographica Section E Structure Report Online</w:t>
      </w:r>
      <w:r w:rsidRPr="002E07D0">
        <w:rPr>
          <w:rFonts w:ascii="Times New Roman" w:eastAsia="SimSun" w:hAnsi="Times New Roman"/>
          <w:sz w:val="20"/>
          <w:szCs w:val="20"/>
        </w:rPr>
        <w:t>, 62(4): 3305 – 3306.</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Patel, D. D., Patel, M. S., Patel, V. S. and Patel, K. C. (2014). Synthesis and benzothiazole derivatives, their Schiff bases and its anti-infective biological activities. </w:t>
      </w:r>
      <w:r w:rsidRPr="002E07D0">
        <w:rPr>
          <w:rFonts w:ascii="Times New Roman" w:eastAsia="SimSun" w:hAnsi="Times New Roman"/>
          <w:i/>
          <w:iCs/>
          <w:sz w:val="20"/>
          <w:szCs w:val="20"/>
        </w:rPr>
        <w:t>International Journal of Advanced Research</w:t>
      </w:r>
      <w:r w:rsidRPr="002E07D0">
        <w:rPr>
          <w:rFonts w:ascii="Times New Roman" w:eastAsia="SimSun" w:hAnsi="Times New Roman"/>
          <w:sz w:val="20"/>
          <w:szCs w:val="20"/>
        </w:rPr>
        <w:t>, 2 (3): 1048 –1054.</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Rawal, R. K., Tripathi, R., Katti, S. B., Pannecouque, C. and Clercq, E. D. (2008). Design and synthesis of 2-(2,6-dibromophenyl)-3-heteroaryl-1,3-thiazolidin-4-nes as anti-HIV agents. </w:t>
      </w:r>
      <w:r w:rsidRPr="002E07D0">
        <w:rPr>
          <w:rFonts w:ascii="Times New Roman" w:eastAsia="SimSun" w:hAnsi="Times New Roman"/>
          <w:i/>
          <w:iCs/>
          <w:sz w:val="20"/>
          <w:szCs w:val="20"/>
        </w:rPr>
        <w:t>European Journal of Medicinal Chemistry</w:t>
      </w:r>
      <w:r w:rsidRPr="002E07D0">
        <w:rPr>
          <w:rFonts w:ascii="Times New Roman" w:eastAsia="SimSun" w:hAnsi="Times New Roman"/>
          <w:sz w:val="20"/>
          <w:szCs w:val="20"/>
        </w:rPr>
        <w:t>, 43: 2800 – 2806.</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Khattab, S. N. (2005). Synthesis and biological activity of novel amino acid-(</w:t>
      </w:r>
      <w:r w:rsidRPr="002E07D0">
        <w:rPr>
          <w:rFonts w:ascii="Times New Roman" w:eastAsia="SimSun" w:hAnsi="Times New Roman"/>
          <w:i/>
          <w:iCs/>
          <w:sz w:val="20"/>
          <w:szCs w:val="20"/>
        </w:rPr>
        <w:t>n</w:t>
      </w:r>
      <w:r w:rsidRPr="002E07D0">
        <w:rPr>
          <w:rFonts w:ascii="Times New Roman" w:eastAsia="SimSun" w:hAnsi="Times New Roman"/>
          <w:sz w:val="20"/>
          <w:szCs w:val="20"/>
        </w:rPr>
        <w:t>’-benzoyl) hydrazine and amino acid-(</w:t>
      </w:r>
      <w:r w:rsidRPr="002E07D0">
        <w:rPr>
          <w:rFonts w:ascii="Times New Roman" w:eastAsia="SimSun" w:hAnsi="Times New Roman"/>
          <w:i/>
          <w:iCs/>
          <w:sz w:val="20"/>
          <w:szCs w:val="20"/>
        </w:rPr>
        <w:t>n</w:t>
      </w:r>
      <w:r w:rsidRPr="002E07D0">
        <w:rPr>
          <w:rFonts w:ascii="Times New Roman" w:eastAsia="SimSun" w:hAnsi="Times New Roman"/>
          <w:sz w:val="20"/>
          <w:szCs w:val="20"/>
        </w:rPr>
        <w:t xml:space="preserve">’-nicotinoyl) hydrazine derivatives. </w:t>
      </w:r>
      <w:r w:rsidRPr="002E07D0">
        <w:rPr>
          <w:rFonts w:ascii="Times New Roman" w:eastAsia="SimSun" w:hAnsi="Times New Roman"/>
          <w:i/>
          <w:iCs/>
          <w:sz w:val="20"/>
          <w:szCs w:val="20"/>
        </w:rPr>
        <w:t>Molecules</w:t>
      </w:r>
      <w:r w:rsidRPr="002E07D0">
        <w:rPr>
          <w:rFonts w:ascii="Times New Roman" w:eastAsia="SimSun" w:hAnsi="Times New Roman"/>
          <w:sz w:val="20"/>
          <w:szCs w:val="20"/>
        </w:rPr>
        <w:t>, 10: 1218 – 1228.</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Luzina, E. L. and Popov, A. V. (2009). Synthesis and anticancer activity of n-bis(trifluoromethyl)alkyl-n’-thiazolyl and </w:t>
      </w:r>
      <w:r w:rsidRPr="002E07D0">
        <w:rPr>
          <w:rFonts w:ascii="Times New Roman" w:eastAsia="SimSun" w:hAnsi="Times New Roman"/>
          <w:i/>
          <w:iCs/>
          <w:sz w:val="20"/>
          <w:szCs w:val="20"/>
        </w:rPr>
        <w:t>n</w:t>
      </w:r>
      <w:r w:rsidRPr="002E07D0">
        <w:rPr>
          <w:rFonts w:ascii="Times New Roman" w:eastAsia="SimSun" w:hAnsi="Times New Roman"/>
          <w:sz w:val="20"/>
          <w:szCs w:val="20"/>
        </w:rPr>
        <w:t>-bis(trifluoromethyl)alkyl-</w:t>
      </w:r>
      <w:r w:rsidRPr="002E07D0">
        <w:rPr>
          <w:rFonts w:ascii="Times New Roman" w:eastAsia="SimSun" w:hAnsi="Times New Roman"/>
          <w:i/>
          <w:iCs/>
          <w:sz w:val="20"/>
          <w:szCs w:val="20"/>
        </w:rPr>
        <w:t>n</w:t>
      </w:r>
      <w:r w:rsidRPr="002E07D0">
        <w:rPr>
          <w:rFonts w:ascii="Times New Roman" w:eastAsia="SimSun" w:hAnsi="Times New Roman"/>
          <w:sz w:val="20"/>
          <w:szCs w:val="20"/>
        </w:rPr>
        <w:t xml:space="preserve">’-benzothiazolyl ureas. </w:t>
      </w:r>
      <w:r w:rsidRPr="002E07D0">
        <w:rPr>
          <w:rFonts w:ascii="Times New Roman" w:eastAsia="SimSun" w:hAnsi="Times New Roman"/>
          <w:i/>
          <w:iCs/>
          <w:sz w:val="20"/>
          <w:szCs w:val="20"/>
        </w:rPr>
        <w:t>European Journal of Medicinal Chemistry</w:t>
      </w:r>
      <w:r w:rsidRPr="002E07D0">
        <w:rPr>
          <w:rFonts w:ascii="Times New Roman" w:eastAsia="SimSun" w:hAnsi="Times New Roman"/>
          <w:sz w:val="20"/>
          <w:szCs w:val="20"/>
        </w:rPr>
        <w:t>, 44 (2009): 4944 – 4953.</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Upmanyu, N., Kumar, S., Shah, K. and Mishra, P. (2012). synthesis and antimicrobial studies of some 4-(substituted)-ethanoylamino-3-mercapto-5-(4-substituted) phenyl-1, 2, 4-triazoles. </w:t>
      </w:r>
      <w:r w:rsidRPr="002E07D0">
        <w:rPr>
          <w:rFonts w:ascii="Times New Roman" w:eastAsia="SimSun" w:hAnsi="Times New Roman"/>
          <w:i/>
          <w:iCs/>
          <w:sz w:val="20"/>
          <w:szCs w:val="20"/>
        </w:rPr>
        <w:t>Dhaka University Journal of Pharmaceutical Sciences</w:t>
      </w:r>
      <w:r w:rsidRPr="002E07D0">
        <w:rPr>
          <w:rFonts w:ascii="Times New Roman" w:eastAsia="SimSun" w:hAnsi="Times New Roman"/>
          <w:sz w:val="20"/>
          <w:szCs w:val="20"/>
        </w:rPr>
        <w:t xml:space="preserve">, 11(1): 7 – 18.  </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Anbazhagan, R. and Sankaran, K. R. (2013). Syntheses, spectral characterization, single crystal X-ray diffraction and DFT computational studies of novel derivatives. </w:t>
      </w:r>
      <w:r w:rsidRPr="002E07D0">
        <w:rPr>
          <w:rFonts w:ascii="Times New Roman" w:eastAsia="SimSun" w:hAnsi="Times New Roman"/>
          <w:i/>
          <w:iCs/>
          <w:sz w:val="20"/>
          <w:szCs w:val="20"/>
        </w:rPr>
        <w:t>Journal of Molecular Structure</w:t>
      </w:r>
      <w:r w:rsidRPr="002E07D0">
        <w:rPr>
          <w:rFonts w:ascii="Times New Roman" w:eastAsia="SimSun" w:hAnsi="Times New Roman"/>
          <w:sz w:val="20"/>
          <w:szCs w:val="20"/>
        </w:rPr>
        <w:t xml:space="preserve">, 1050: 73 – 80. </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Nalwa, H. S., Hanack, M., Pawlowski, G. and Engel, M. K. (1999). Third-order nonlinear optical properties of porphyrazine, phthalocyanine and naphthalocyanine germanium derivatives: demonstrating the effect of π-conjugation length on third-order optical nonlinearity of two-dimensional molecules. </w:t>
      </w:r>
      <w:r w:rsidRPr="002E07D0">
        <w:rPr>
          <w:rFonts w:ascii="Times New Roman" w:eastAsia="SimSun" w:hAnsi="Times New Roman"/>
          <w:i/>
          <w:iCs/>
          <w:sz w:val="20"/>
          <w:szCs w:val="20"/>
        </w:rPr>
        <w:t>Chemical Physics</w:t>
      </w:r>
      <w:r w:rsidRPr="002E07D0">
        <w:rPr>
          <w:rFonts w:ascii="Times New Roman" w:eastAsia="SimSun" w:hAnsi="Times New Roman"/>
          <w:sz w:val="20"/>
          <w:szCs w:val="20"/>
        </w:rPr>
        <w:t>, 245: 17 – 26.</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Qiao, L. and Hao, S. (2018). Novel trifluoromethylcoumarinyl urea derivatives: synthesis, characterization, fluoroscence, and bioactivity. </w:t>
      </w:r>
      <w:r w:rsidRPr="002E07D0">
        <w:rPr>
          <w:rFonts w:ascii="Times New Roman" w:eastAsia="SimSun" w:hAnsi="Times New Roman"/>
          <w:i/>
          <w:iCs/>
          <w:sz w:val="20"/>
          <w:szCs w:val="20"/>
        </w:rPr>
        <w:t>Molecules</w:t>
      </w:r>
      <w:r w:rsidRPr="002E07D0">
        <w:rPr>
          <w:rFonts w:ascii="Times New Roman" w:eastAsia="SimSun" w:hAnsi="Times New Roman"/>
          <w:sz w:val="20"/>
          <w:szCs w:val="20"/>
        </w:rPr>
        <w:t>, 23(600): 1 – 14.</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Saylam, A., Seferoglu, Z. and Ertan, N. (2008). Synthesis of new hetarylazoindole dyes from some 2-aminothiazole derivatives. </w:t>
      </w:r>
      <w:r w:rsidRPr="002E07D0">
        <w:rPr>
          <w:rFonts w:ascii="Times New Roman" w:eastAsia="SimSun" w:hAnsi="Times New Roman"/>
          <w:i/>
          <w:iCs/>
          <w:sz w:val="20"/>
          <w:szCs w:val="20"/>
        </w:rPr>
        <w:t>Russian Journal of Organic Chemistry</w:t>
      </w:r>
      <w:r w:rsidRPr="002E07D0">
        <w:rPr>
          <w:rFonts w:ascii="Times New Roman" w:eastAsia="SimSun" w:hAnsi="Times New Roman"/>
          <w:sz w:val="20"/>
          <w:szCs w:val="20"/>
        </w:rPr>
        <w:t>, 44(4): 587 – 594.</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Arora, P., Narang, R., Bhatia, S., Nayak, S. K., Singh, S., K. and Narasimhan, B. (2015). Synthesis, molecular docking and QSAR studies of 2, 4-disubsituted thiazoles as antimicrobial agents. </w:t>
      </w:r>
      <w:r w:rsidRPr="002E07D0">
        <w:rPr>
          <w:rFonts w:ascii="Times New Roman" w:eastAsia="SimSun" w:hAnsi="Times New Roman"/>
          <w:i/>
          <w:iCs/>
          <w:sz w:val="20"/>
          <w:szCs w:val="20"/>
        </w:rPr>
        <w:t>Journal of Applied Pharmaceutical Science</w:t>
      </w:r>
      <w:r w:rsidRPr="002E07D0">
        <w:rPr>
          <w:rFonts w:ascii="Times New Roman" w:eastAsia="SimSun" w:hAnsi="Times New Roman"/>
          <w:sz w:val="20"/>
          <w:szCs w:val="20"/>
        </w:rPr>
        <w:t xml:space="preserve">, 5(2): 28 – 42. </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Majik, M. S., Rodrigues, C., Mascarenhas, S. and Souza, L. D. (2014). Bioorganic chemistry design and synthesis of marine natural product-based 1 </w:t>
      </w:r>
      <w:r w:rsidRPr="002E07D0">
        <w:rPr>
          <w:rFonts w:ascii="Times New Roman" w:eastAsia="SimSun" w:hAnsi="Times New Roman"/>
          <w:i/>
          <w:iCs/>
          <w:sz w:val="20"/>
          <w:szCs w:val="20"/>
        </w:rPr>
        <w:t>H</w:t>
      </w:r>
      <w:r w:rsidRPr="002E07D0">
        <w:rPr>
          <w:rFonts w:ascii="Times New Roman" w:eastAsia="SimSun" w:hAnsi="Times New Roman"/>
          <w:sz w:val="20"/>
          <w:szCs w:val="20"/>
        </w:rPr>
        <w:t xml:space="preserve">-indole-2, 3-dione scaffold as a new antifouling/ antibacterial agent against fouling bacteria. </w:t>
      </w:r>
      <w:r w:rsidRPr="002E07D0">
        <w:rPr>
          <w:rFonts w:ascii="Times New Roman" w:eastAsia="SimSun" w:hAnsi="Times New Roman"/>
          <w:i/>
          <w:iCs/>
          <w:sz w:val="20"/>
          <w:szCs w:val="20"/>
        </w:rPr>
        <w:t>Bioorganic Chemistry</w:t>
      </w:r>
      <w:r w:rsidRPr="002E07D0">
        <w:rPr>
          <w:rFonts w:ascii="Times New Roman" w:eastAsia="SimSun" w:hAnsi="Times New Roman"/>
          <w:sz w:val="20"/>
          <w:szCs w:val="20"/>
        </w:rPr>
        <w:t>, 54: 89 – 95.</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Shia, J. S., Al-Bayati, R. I. H., Abdula, A. M. and Saour, K. Y. (2015). Docking study of some </w:t>
      </w:r>
      <w:r w:rsidRPr="002E07D0">
        <w:rPr>
          <w:rFonts w:ascii="Times New Roman" w:eastAsia="SimSun" w:hAnsi="Times New Roman"/>
          <w:i/>
          <w:iCs/>
          <w:sz w:val="20"/>
          <w:szCs w:val="20"/>
        </w:rPr>
        <w:t>N</w:t>
      </w:r>
      <w:r w:rsidRPr="002E07D0">
        <w:rPr>
          <w:rFonts w:ascii="Times New Roman" w:eastAsia="SimSun" w:hAnsi="Times New Roman"/>
          <w:sz w:val="20"/>
          <w:szCs w:val="20"/>
        </w:rPr>
        <w:t xml:space="preserve">-[4-(4-arylidene)-2-(4-substituted-phenyl)-5-oxo-4, 5-dihydro-imidazol-1-yl] benzenesulfonamide derivatives against glucosamine-6-phosphate synthase. </w:t>
      </w:r>
      <w:r w:rsidRPr="002E07D0">
        <w:rPr>
          <w:rFonts w:ascii="Times New Roman" w:eastAsia="SimSun" w:hAnsi="Times New Roman"/>
          <w:i/>
          <w:iCs/>
          <w:sz w:val="20"/>
          <w:szCs w:val="20"/>
        </w:rPr>
        <w:t>International Journal of Chemical Sciences</w:t>
      </w:r>
      <w:r w:rsidRPr="002E07D0">
        <w:rPr>
          <w:rFonts w:ascii="Times New Roman" w:eastAsia="SimSun" w:hAnsi="Times New Roman"/>
          <w:sz w:val="20"/>
          <w:szCs w:val="20"/>
        </w:rPr>
        <w:t>, 13(4): 1982 – 1990.</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Venkatesh, T., Bodke, Y. D., Kenchappa, R. and Telkar, S. (2016). Synthesis, antimicrobial and antioxidant activity of chalcone derivatives containing thiobarbitone nucleus. </w:t>
      </w:r>
      <w:r w:rsidRPr="002E07D0">
        <w:rPr>
          <w:rFonts w:ascii="Times New Roman" w:eastAsia="SimSun" w:hAnsi="Times New Roman"/>
          <w:i/>
          <w:iCs/>
          <w:sz w:val="20"/>
          <w:szCs w:val="20"/>
        </w:rPr>
        <w:t>Medicinal Chemistry</w:t>
      </w:r>
      <w:r w:rsidRPr="002E07D0">
        <w:rPr>
          <w:rFonts w:ascii="Times New Roman" w:eastAsia="SimSun" w:hAnsi="Times New Roman"/>
          <w:sz w:val="20"/>
          <w:szCs w:val="20"/>
        </w:rPr>
        <w:t>, 6 (7): 440 – 448.</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Fikrika, H., Ambarsari, L. and Sumaryada, T. (2009). Molecular docking studies of catechin and its derivatives as anti-bacterial inhibitor for glucosamine-6-phosphate synthase. </w:t>
      </w:r>
      <w:r w:rsidRPr="002E07D0">
        <w:rPr>
          <w:rFonts w:ascii="Times New Roman" w:eastAsia="SimSun" w:hAnsi="Times New Roman"/>
          <w:i/>
          <w:iCs/>
          <w:sz w:val="20"/>
          <w:szCs w:val="20"/>
        </w:rPr>
        <w:t>Earth and Environmental Science</w:t>
      </w:r>
      <w:r w:rsidRPr="002E07D0">
        <w:rPr>
          <w:rFonts w:ascii="Times New Roman" w:eastAsia="SimSun" w:hAnsi="Times New Roman"/>
          <w:sz w:val="20"/>
          <w:szCs w:val="20"/>
        </w:rPr>
        <w:t xml:space="preserve">, 31: 1 – 6. </w:t>
      </w:r>
    </w:p>
    <w:p w:rsidR="00EF3436"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Sarojini, B. K., Krishna, B. G., Darshanraj, C. G., Bharath, B. R. and Manjunatha, H. (2010). Synthesis, characterization, </w:t>
      </w:r>
      <w:r w:rsidRPr="002E07D0">
        <w:rPr>
          <w:rFonts w:ascii="Times New Roman" w:eastAsia="SimSun" w:hAnsi="Times New Roman"/>
          <w:i/>
          <w:iCs/>
          <w:sz w:val="20"/>
          <w:szCs w:val="20"/>
        </w:rPr>
        <w:t>in vitro</w:t>
      </w:r>
      <w:r w:rsidRPr="002E07D0">
        <w:rPr>
          <w:rFonts w:ascii="Times New Roman" w:eastAsia="SimSun" w:hAnsi="Times New Roman"/>
          <w:sz w:val="20"/>
          <w:szCs w:val="20"/>
        </w:rPr>
        <w:t xml:space="preserve"> and molecular docking studies of new 2, 5-dichloro thienyl substituted thiazole derivatives for antimicrobial properties. </w:t>
      </w:r>
      <w:r w:rsidRPr="002E07D0">
        <w:rPr>
          <w:rFonts w:ascii="Times New Roman" w:eastAsia="SimSun" w:hAnsi="Times New Roman"/>
          <w:i/>
          <w:iCs/>
          <w:sz w:val="20"/>
          <w:szCs w:val="20"/>
        </w:rPr>
        <w:t>European Journal of Medicinal Chemistry</w:t>
      </w:r>
      <w:r w:rsidRPr="002E07D0">
        <w:rPr>
          <w:rFonts w:ascii="Times New Roman" w:eastAsia="SimSun" w:hAnsi="Times New Roman"/>
          <w:sz w:val="20"/>
          <w:szCs w:val="20"/>
        </w:rPr>
        <w:t>, 45(8): 3490 – 3496.</w:t>
      </w:r>
    </w:p>
    <w:p w:rsidR="001F27E8" w:rsidRPr="002E07D0" w:rsidRDefault="00EF3436" w:rsidP="002E07D0">
      <w:pPr>
        <w:pStyle w:val="ListParagraph"/>
        <w:numPr>
          <w:ilvl w:val="0"/>
          <w:numId w:val="4"/>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Venkatesh, T., Bodke, Y. D., Kenchappa, R. and Telkar, S. (2016). Synthesis, antimicrobial and antioxidant activity of chalcone derivatives containing thiobarbitone nucleus. </w:t>
      </w:r>
      <w:r w:rsidRPr="002E07D0">
        <w:rPr>
          <w:rFonts w:ascii="Times New Roman" w:eastAsia="SimSun" w:hAnsi="Times New Roman"/>
          <w:i/>
          <w:iCs/>
          <w:sz w:val="20"/>
          <w:szCs w:val="20"/>
        </w:rPr>
        <w:t>Medicinal Chemistry</w:t>
      </w:r>
      <w:r w:rsidRPr="002E07D0">
        <w:rPr>
          <w:rFonts w:ascii="Times New Roman" w:eastAsia="SimSun" w:hAnsi="Times New Roman"/>
          <w:sz w:val="20"/>
          <w:szCs w:val="20"/>
        </w:rPr>
        <w:t>, 6(7): 440 – 448.</w:t>
      </w:r>
    </w:p>
    <w:p w:rsidR="00551DD7" w:rsidRPr="002E07D0" w:rsidRDefault="00551DD7" w:rsidP="002E07D0">
      <w:pPr>
        <w:spacing w:after="0" w:line="240" w:lineRule="auto"/>
        <w:ind w:left="360" w:hanging="360"/>
        <w:jc w:val="both"/>
        <w:rPr>
          <w:rFonts w:ascii="Times New Roman" w:eastAsia="SimSun" w:hAnsi="Times New Roman"/>
          <w:sz w:val="20"/>
          <w:szCs w:val="20"/>
        </w:rPr>
      </w:pPr>
    </w:p>
    <w:sectPr w:rsidR="00551DD7" w:rsidRPr="002E07D0" w:rsidSect="00822ECF">
      <w:headerReference w:type="even" r:id="rId19"/>
      <w:headerReference w:type="default" r:id="rId20"/>
      <w:footerReference w:type="even" r:id="rId21"/>
      <w:footerReference w:type="default" r:id="rId22"/>
      <w:pgSz w:w="12240" w:h="15840" w:code="1"/>
      <w:pgMar w:top="1800" w:right="1469" w:bottom="1699" w:left="1440" w:header="706" w:footer="706" w:gutter="0"/>
      <w:pgNumType w:start="23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045F3">
      <w:rPr>
        <w:rFonts w:ascii="Times New Roman" w:hAnsi="Times New Roman"/>
        <w:noProof/>
      </w:rPr>
      <w:t>246</w:t>
    </w:r>
    <w:r w:rsidRPr="008B5904">
      <w:rPr>
        <w:rFonts w:ascii="Times New Roman" w:hAnsi="Times New Roman"/>
        <w:noProof/>
      </w:rPr>
      <w:fldChar w:fldCharType="end"/>
    </w:r>
  </w:p>
  <w:p w:rsidR="007964D6" w:rsidRDefault="007964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045F3">
      <w:rPr>
        <w:rFonts w:ascii="Times New Roman" w:hAnsi="Times New Roman"/>
        <w:noProof/>
      </w:rPr>
      <w:t>245</w:t>
    </w:r>
    <w:r w:rsidRPr="008B5904">
      <w:rPr>
        <w:rFonts w:ascii="Times New Roman" w:hAnsi="Times New Roman"/>
        <w:noProof/>
      </w:rPr>
      <w:fldChar w:fldCharType="end"/>
    </w:r>
  </w:p>
  <w:p w:rsidR="001F27E8" w:rsidRDefault="001F27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F3" w:rsidRPr="005D4BF3" w:rsidRDefault="005D4BF3" w:rsidP="005D4BF3">
    <w:pPr>
      <w:spacing w:after="0" w:line="240" w:lineRule="auto"/>
      <w:ind w:left="1980" w:hanging="1980"/>
      <w:outlineLvl w:val="0"/>
      <w:rPr>
        <w:rFonts w:ascii="Times New Roman" w:hAnsi="Times New Roman"/>
        <w:sz w:val="20"/>
        <w:szCs w:val="20"/>
      </w:rPr>
    </w:pPr>
    <w:r>
      <w:rPr>
        <w:rFonts w:ascii="Times New Roman" w:hAnsi="Times New Roman"/>
        <w:sz w:val="20"/>
        <w:szCs w:val="20"/>
      </w:rPr>
      <w:t>Iswatun Hasanah et al</w:t>
    </w:r>
    <w:r w:rsidR="006B72B0" w:rsidRPr="005D4BF3">
      <w:rPr>
        <w:rFonts w:ascii="Times New Roman" w:hAnsi="Times New Roman"/>
        <w:sz w:val="20"/>
        <w:szCs w:val="20"/>
      </w:rPr>
      <w:t xml:space="preserve">: </w:t>
    </w:r>
    <w:r w:rsidR="00070F31" w:rsidRPr="005D4BF3">
      <w:rPr>
        <w:rFonts w:ascii="Times New Roman" w:hAnsi="Times New Roman"/>
        <w:sz w:val="20"/>
        <w:szCs w:val="20"/>
      </w:rPr>
      <w:t xml:space="preserve"> </w:t>
    </w:r>
    <w:r w:rsidRPr="005D4BF3">
      <w:rPr>
        <w:rFonts w:ascii="Times New Roman" w:hAnsi="Times New Roman"/>
        <w:sz w:val="20"/>
        <w:szCs w:val="20"/>
      </w:rPr>
      <w:t xml:space="preserve"> </w:t>
    </w:r>
    <w:r>
      <w:rPr>
        <w:rFonts w:ascii="Times New Roman" w:hAnsi="Times New Roman"/>
        <w:sz w:val="20"/>
        <w:szCs w:val="20"/>
      </w:rPr>
      <w:tab/>
    </w:r>
    <w:r w:rsidRPr="005D4BF3">
      <w:rPr>
        <w:rFonts w:ascii="Times New Roman" w:hAnsi="Times New Roman"/>
        <w:sz w:val="20"/>
        <w:szCs w:val="20"/>
      </w:rPr>
      <w:t>SYNTHESIS AND MOLECULAR DOCKING OF 2,4,5-TRISUBSTITUTED-1,3-THIAZOLE DERIVATIVES AS ANTIBACTERIAL AGENTS</w:t>
    </w:r>
  </w:p>
  <w:p w:rsidR="007964D6" w:rsidRDefault="007964D6" w:rsidP="005D4BF3">
    <w:pPr>
      <w:autoSpaceDE w:val="0"/>
      <w:autoSpaceDN w:val="0"/>
      <w:adjustRightInd w:val="0"/>
      <w:spacing w:after="0" w:line="240" w:lineRule="auto"/>
      <w:ind w:left="1260" w:hanging="12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 xml:space="preserve">No </w:t>
    </w:r>
    <w:r w:rsidR="0043729D">
      <w:rPr>
        <w:rFonts w:ascii="Times New Roman" w:hAnsi="Times New Roman"/>
        <w:i/>
        <w:lang w:val="en-US"/>
      </w:rPr>
      <w:t>2</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822ECF">
      <w:rPr>
        <w:rFonts w:ascii="Times New Roman" w:hAnsi="Times New Roman"/>
        <w:i/>
        <w:lang w:val="en-US"/>
      </w:rPr>
      <w:t>237</w:t>
    </w:r>
    <w:r>
      <w:rPr>
        <w:rFonts w:ascii="Times New Roman" w:hAnsi="Times New Roman"/>
        <w:i/>
        <w:lang w:val="en-US"/>
      </w:rPr>
      <w:t xml:space="preserve"> </w:t>
    </w:r>
    <w:r w:rsidR="007A0583">
      <w:rPr>
        <w:rFonts w:ascii="Times New Roman" w:hAnsi="Times New Roman"/>
        <w:i/>
        <w:lang w:val="en-US"/>
      </w:rPr>
      <w:t>-</w:t>
    </w:r>
    <w:r w:rsidR="002E07D0">
      <w:rPr>
        <w:rFonts w:ascii="Times New Roman" w:hAnsi="Times New Roman"/>
        <w:i/>
        <w:lang w:val="en-US"/>
      </w:rPr>
      <w:t xml:space="preserve"> </w:t>
    </w:r>
    <w:r w:rsidR="00822ECF">
      <w:rPr>
        <w:rFonts w:ascii="Times New Roman" w:hAnsi="Times New Roman"/>
        <w:i/>
        <w:lang w:val="en-US"/>
      </w:rPr>
      <w:t>246</w:t>
    </w:r>
  </w:p>
  <w:p w:rsidR="007964D6" w:rsidRPr="00771CD5" w:rsidRDefault="00F4760B" w:rsidP="00771CD5">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43729D">
      <w:rPr>
        <w:rFonts w:ascii="Times New Roman" w:hAnsi="Times New Roman"/>
        <w:i/>
        <w:lang w:val="en-US"/>
      </w:rPr>
      <w:t>2</w:t>
    </w:r>
    <w:r w:rsidR="002E07D0">
      <w:rPr>
        <w:rFonts w:ascii="Times New Roman" w:hAnsi="Times New Roman"/>
        <w:i/>
        <w:lang w:val="en-US"/>
      </w:rPr>
      <w:t>-</w:t>
    </w:r>
    <w:r w:rsidR="00822ECF">
      <w:rPr>
        <w:rFonts w:ascii="Times New Roman" w:hAnsi="Times New Roman"/>
        <w:i/>
        <w:lang w:val="en-US"/>
      </w:rPr>
      <w:t>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C051796"/>
    <w:multiLevelType w:val="hybridMultilevel"/>
    <w:tmpl w:val="27B00150"/>
    <w:lvl w:ilvl="0" w:tplc="5F3608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F77DA"/>
    <w:rsid w:val="001068E8"/>
    <w:rsid w:val="001106D8"/>
    <w:rsid w:val="00117BCD"/>
    <w:rsid w:val="001B530C"/>
    <w:rsid w:val="001D035A"/>
    <w:rsid w:val="001D3855"/>
    <w:rsid w:val="001D6F2C"/>
    <w:rsid w:val="001F27E8"/>
    <w:rsid w:val="00277498"/>
    <w:rsid w:val="0028007D"/>
    <w:rsid w:val="002860B7"/>
    <w:rsid w:val="00290F4D"/>
    <w:rsid w:val="002A2FC0"/>
    <w:rsid w:val="002B188F"/>
    <w:rsid w:val="002B3BD8"/>
    <w:rsid w:val="002E07D0"/>
    <w:rsid w:val="002E5503"/>
    <w:rsid w:val="002F3F91"/>
    <w:rsid w:val="00304767"/>
    <w:rsid w:val="00304B34"/>
    <w:rsid w:val="00361BAF"/>
    <w:rsid w:val="00362FCE"/>
    <w:rsid w:val="00367D1F"/>
    <w:rsid w:val="003B6019"/>
    <w:rsid w:val="003D4CDD"/>
    <w:rsid w:val="003D585B"/>
    <w:rsid w:val="003E7DA6"/>
    <w:rsid w:val="003F12FF"/>
    <w:rsid w:val="00401EB9"/>
    <w:rsid w:val="0043729D"/>
    <w:rsid w:val="0047088F"/>
    <w:rsid w:val="004760D4"/>
    <w:rsid w:val="00494C46"/>
    <w:rsid w:val="004B43FF"/>
    <w:rsid w:val="004D7E25"/>
    <w:rsid w:val="00502641"/>
    <w:rsid w:val="00551DD7"/>
    <w:rsid w:val="005C6768"/>
    <w:rsid w:val="005C687B"/>
    <w:rsid w:val="005D4BF3"/>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71CD5"/>
    <w:rsid w:val="007943F3"/>
    <w:rsid w:val="007964D6"/>
    <w:rsid w:val="007A0583"/>
    <w:rsid w:val="007A738C"/>
    <w:rsid w:val="007B1349"/>
    <w:rsid w:val="007C28A9"/>
    <w:rsid w:val="007D45AC"/>
    <w:rsid w:val="007E25BD"/>
    <w:rsid w:val="00802C35"/>
    <w:rsid w:val="0082181A"/>
    <w:rsid w:val="00822ECF"/>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92104"/>
    <w:rsid w:val="00AC0033"/>
    <w:rsid w:val="00AC327E"/>
    <w:rsid w:val="00AD1B8A"/>
    <w:rsid w:val="00AE713F"/>
    <w:rsid w:val="00AF2305"/>
    <w:rsid w:val="00AF2821"/>
    <w:rsid w:val="00B1121C"/>
    <w:rsid w:val="00B25B65"/>
    <w:rsid w:val="00B2770A"/>
    <w:rsid w:val="00B314AD"/>
    <w:rsid w:val="00B75BF6"/>
    <w:rsid w:val="00B7735A"/>
    <w:rsid w:val="00B91DE7"/>
    <w:rsid w:val="00BA1595"/>
    <w:rsid w:val="00BA1F7B"/>
    <w:rsid w:val="00BA7D4B"/>
    <w:rsid w:val="00BB58AF"/>
    <w:rsid w:val="00BE7C30"/>
    <w:rsid w:val="00C045F3"/>
    <w:rsid w:val="00C055BF"/>
    <w:rsid w:val="00C2226A"/>
    <w:rsid w:val="00C234BA"/>
    <w:rsid w:val="00C5106B"/>
    <w:rsid w:val="00C94D92"/>
    <w:rsid w:val="00C97340"/>
    <w:rsid w:val="00CA513F"/>
    <w:rsid w:val="00CB3AA6"/>
    <w:rsid w:val="00CB76B0"/>
    <w:rsid w:val="00CC20C2"/>
    <w:rsid w:val="00CF05FF"/>
    <w:rsid w:val="00D340BB"/>
    <w:rsid w:val="00D505D5"/>
    <w:rsid w:val="00D75B35"/>
    <w:rsid w:val="00D76E09"/>
    <w:rsid w:val="00D9736F"/>
    <w:rsid w:val="00D9792A"/>
    <w:rsid w:val="00DD377F"/>
    <w:rsid w:val="00E12074"/>
    <w:rsid w:val="00E16130"/>
    <w:rsid w:val="00E25547"/>
    <w:rsid w:val="00E3287E"/>
    <w:rsid w:val="00E47895"/>
    <w:rsid w:val="00E54D12"/>
    <w:rsid w:val="00E66197"/>
    <w:rsid w:val="00EF3436"/>
    <w:rsid w:val="00F000EB"/>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unhideWhenUsed/>
    <w:rsid w:val="00EF343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3436"/>
    <w:pPr>
      <w:autoSpaceDE w:val="0"/>
      <w:autoSpaceDN w:val="0"/>
      <w:adjustRightInd w:val="0"/>
    </w:pPr>
    <w:rPr>
      <w:rFonts w:ascii="Times New Roman" w:eastAsiaTheme="minorHAnsi" w:hAnsi="Times New Roman"/>
      <w:color w:val="000000"/>
      <w:sz w:val="24"/>
      <w:szCs w:val="24"/>
      <w:lang w:val="en-MY"/>
    </w:rPr>
  </w:style>
  <w:style w:type="paragraph" w:styleId="NormalWeb">
    <w:name w:val="Normal (Web)"/>
    <w:basedOn w:val="Normal"/>
    <w:uiPriority w:val="99"/>
    <w:semiHidden/>
    <w:unhideWhenUsed/>
    <w:rsid w:val="00EF3436"/>
    <w:pPr>
      <w:spacing w:before="100" w:beforeAutospacing="1" w:after="100" w:afterAutospacing="1" w:line="240" w:lineRule="auto"/>
    </w:pPr>
    <w:rPr>
      <w:rFonts w:ascii="Times New Roman" w:eastAsiaTheme="minorEastAsia" w:hAnsi="Times New Roman"/>
      <w:sz w:val="24"/>
      <w:szCs w:val="24"/>
      <w:lang w:val="en-MY" w:eastAsia="en-MY" w:bidi="ar-SA"/>
    </w:rPr>
  </w:style>
  <w:style w:type="character" w:customStyle="1" w:styleId="UnresolvedMention">
    <w:name w:val="Unresolved Mention"/>
    <w:basedOn w:val="DefaultParagraphFont"/>
    <w:uiPriority w:val="99"/>
    <w:semiHidden/>
    <w:unhideWhenUsed/>
    <w:rsid w:val="00EF3436"/>
    <w:rPr>
      <w:color w:val="605E5C"/>
      <w:shd w:val="clear" w:color="auto" w:fill="E1DFDD"/>
    </w:rPr>
  </w:style>
  <w:style w:type="character" w:styleId="FollowedHyperlink">
    <w:name w:val="FollowedHyperlink"/>
    <w:basedOn w:val="DefaultParagraphFont"/>
    <w:uiPriority w:val="99"/>
    <w:semiHidden/>
    <w:unhideWhenUsed/>
    <w:rsid w:val="00EF343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unhideWhenUsed/>
    <w:rsid w:val="00EF343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3436"/>
    <w:pPr>
      <w:autoSpaceDE w:val="0"/>
      <w:autoSpaceDN w:val="0"/>
      <w:adjustRightInd w:val="0"/>
    </w:pPr>
    <w:rPr>
      <w:rFonts w:ascii="Times New Roman" w:eastAsiaTheme="minorHAnsi" w:hAnsi="Times New Roman"/>
      <w:color w:val="000000"/>
      <w:sz w:val="24"/>
      <w:szCs w:val="24"/>
      <w:lang w:val="en-MY"/>
    </w:rPr>
  </w:style>
  <w:style w:type="paragraph" w:styleId="NormalWeb">
    <w:name w:val="Normal (Web)"/>
    <w:basedOn w:val="Normal"/>
    <w:uiPriority w:val="99"/>
    <w:semiHidden/>
    <w:unhideWhenUsed/>
    <w:rsid w:val="00EF3436"/>
    <w:pPr>
      <w:spacing w:before="100" w:beforeAutospacing="1" w:after="100" w:afterAutospacing="1" w:line="240" w:lineRule="auto"/>
    </w:pPr>
    <w:rPr>
      <w:rFonts w:ascii="Times New Roman" w:eastAsiaTheme="minorEastAsia" w:hAnsi="Times New Roman"/>
      <w:sz w:val="24"/>
      <w:szCs w:val="24"/>
      <w:lang w:val="en-MY" w:eastAsia="en-MY" w:bidi="ar-SA"/>
    </w:rPr>
  </w:style>
  <w:style w:type="character" w:customStyle="1" w:styleId="UnresolvedMention">
    <w:name w:val="Unresolved Mention"/>
    <w:basedOn w:val="DefaultParagraphFont"/>
    <w:uiPriority w:val="99"/>
    <w:semiHidden/>
    <w:unhideWhenUsed/>
    <w:rsid w:val="00EF3436"/>
    <w:rPr>
      <w:color w:val="605E5C"/>
      <w:shd w:val="clear" w:color="auto" w:fill="E1DFDD"/>
    </w:rPr>
  </w:style>
  <w:style w:type="character" w:styleId="FollowedHyperlink">
    <w:name w:val="FollowedHyperlink"/>
    <w:basedOn w:val="DefaultParagraphFont"/>
    <w:uiPriority w:val="99"/>
    <w:semiHidden/>
    <w:unhideWhenUsed/>
    <w:rsid w:val="00EF34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434F3-1261-4917-8A5B-80F5A88B5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4496</Words>
  <Characters>27111</Characters>
  <Application>Microsoft Office Word</Application>
  <DocSecurity>0</DocSecurity>
  <Lines>451</Lines>
  <Paragraphs>171</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31436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17</cp:revision>
  <cp:lastPrinted>2019-04-18T14:55:00Z</cp:lastPrinted>
  <dcterms:created xsi:type="dcterms:W3CDTF">2019-04-02T10:37:00Z</dcterms:created>
  <dcterms:modified xsi:type="dcterms:W3CDTF">2019-04-18T14:55:00Z</dcterms:modified>
</cp:coreProperties>
</file>