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B13D44" w:rsidRPr="00B13D44" w:rsidRDefault="00B13D44" w:rsidP="00B13D44">
      <w:pPr>
        <w:spacing w:after="0" w:line="240" w:lineRule="auto"/>
        <w:jc w:val="center"/>
        <w:outlineLvl w:val="0"/>
        <w:rPr>
          <w:rFonts w:ascii="Times New Roman" w:hAnsi="Times New Roman"/>
          <w:b/>
          <w:color w:val="548DD4" w:themeColor="text2" w:themeTint="99"/>
          <w:szCs w:val="20"/>
        </w:rPr>
      </w:pPr>
      <w:r w:rsidRPr="00B13D44">
        <w:rPr>
          <w:rFonts w:ascii="Times New Roman" w:hAnsi="Times New Roman"/>
          <w:sz w:val="28"/>
          <w:szCs w:val="28"/>
        </w:rPr>
        <w:t xml:space="preserve">EFFECTS OF SILVER NANOWIRE-BASED POLYMER COMPOSITE MEMBRANE ON THE PHYSICAL AND ELECTROCHEMICAL PROPERTIES OF MALACHITE GREEN SENSOR </w:t>
      </w:r>
    </w:p>
    <w:p w:rsidR="00B13D44" w:rsidRPr="00B13D44" w:rsidRDefault="00B13D44" w:rsidP="00B13D44">
      <w:pPr>
        <w:spacing w:after="0" w:line="240" w:lineRule="auto"/>
        <w:jc w:val="center"/>
        <w:outlineLvl w:val="0"/>
        <w:rPr>
          <w:rFonts w:ascii="Times New Roman" w:hAnsi="Times New Roman"/>
          <w:b/>
          <w:color w:val="548DD4" w:themeColor="text2" w:themeTint="99"/>
          <w:sz w:val="24"/>
          <w:szCs w:val="24"/>
        </w:rPr>
      </w:pPr>
    </w:p>
    <w:p w:rsidR="00B13D44" w:rsidRPr="00B13D44" w:rsidRDefault="00B13D44" w:rsidP="00B13D44">
      <w:pPr>
        <w:spacing w:after="0" w:line="240" w:lineRule="auto"/>
        <w:jc w:val="center"/>
        <w:outlineLvl w:val="0"/>
        <w:rPr>
          <w:rFonts w:ascii="Times New Roman" w:hAnsi="Times New Roman"/>
          <w:sz w:val="24"/>
          <w:lang w:val="ms-MY"/>
        </w:rPr>
      </w:pPr>
      <w:r w:rsidRPr="00B13D44">
        <w:rPr>
          <w:rFonts w:ascii="Times New Roman" w:hAnsi="Times New Roman"/>
          <w:sz w:val="24"/>
        </w:rPr>
        <w:t>(</w:t>
      </w:r>
      <w:r w:rsidRPr="00B13D44">
        <w:rPr>
          <w:rFonts w:ascii="Times New Roman" w:hAnsi="Times New Roman"/>
          <w:sz w:val="24"/>
          <w:lang w:val="ms-MY"/>
        </w:rPr>
        <w:t xml:space="preserve">Kesan Nanowayar Perak-Membran Komposit Polimer ke atas Sifat Fizikal </w:t>
      </w:r>
    </w:p>
    <w:p w:rsidR="00B13D44" w:rsidRPr="00B13D44" w:rsidRDefault="00B13D44" w:rsidP="00B13D44">
      <w:pPr>
        <w:spacing w:after="0" w:line="240" w:lineRule="auto"/>
        <w:jc w:val="center"/>
        <w:outlineLvl w:val="0"/>
        <w:rPr>
          <w:rFonts w:ascii="Times New Roman" w:hAnsi="Times New Roman"/>
          <w:sz w:val="24"/>
          <w:lang w:val="ms-MY"/>
        </w:rPr>
      </w:pPr>
      <w:r w:rsidRPr="00B13D44">
        <w:rPr>
          <w:rFonts w:ascii="Times New Roman" w:hAnsi="Times New Roman"/>
          <w:sz w:val="24"/>
          <w:lang w:val="ms-MY"/>
        </w:rPr>
        <w:t>dan Elektrokimia untuk Sensor Malakit Hijau)</w:t>
      </w:r>
    </w:p>
    <w:p w:rsidR="00B13D44" w:rsidRPr="00B13D44" w:rsidRDefault="00B13D44" w:rsidP="00B13D44">
      <w:pPr>
        <w:spacing w:after="0" w:line="240" w:lineRule="auto"/>
        <w:jc w:val="center"/>
        <w:outlineLvl w:val="0"/>
        <w:rPr>
          <w:rFonts w:ascii="Times New Roman" w:hAnsi="Times New Roman"/>
          <w:b/>
          <w:color w:val="548DD4" w:themeColor="text2" w:themeTint="99"/>
          <w:sz w:val="20"/>
          <w:szCs w:val="20"/>
        </w:rPr>
      </w:pPr>
    </w:p>
    <w:p w:rsidR="00B13D44" w:rsidRDefault="00B13D44" w:rsidP="00B13D44">
      <w:pPr>
        <w:spacing w:after="0" w:line="240" w:lineRule="auto"/>
        <w:jc w:val="center"/>
        <w:outlineLvl w:val="0"/>
        <w:rPr>
          <w:rFonts w:ascii="Times New Roman" w:hAnsi="Times New Roman"/>
          <w:sz w:val="20"/>
          <w:szCs w:val="20"/>
        </w:rPr>
      </w:pPr>
      <w:r w:rsidRPr="00B13D44">
        <w:rPr>
          <w:rFonts w:ascii="Times New Roman" w:hAnsi="Times New Roman"/>
          <w:sz w:val="20"/>
          <w:szCs w:val="20"/>
        </w:rPr>
        <w:t>Sharifah Nur Atikah Al Yahya</w:t>
      </w:r>
      <w:r w:rsidRPr="00B13D44">
        <w:rPr>
          <w:rFonts w:ascii="Times New Roman" w:hAnsi="Times New Roman"/>
          <w:sz w:val="20"/>
          <w:szCs w:val="20"/>
          <w:vertAlign w:val="superscript"/>
        </w:rPr>
        <w:t>1</w:t>
      </w:r>
      <w:r w:rsidRPr="00B13D44">
        <w:rPr>
          <w:rFonts w:ascii="Times New Roman" w:hAnsi="Times New Roman"/>
          <w:sz w:val="20"/>
          <w:szCs w:val="20"/>
        </w:rPr>
        <w:t>, Sharina Abu Hanifah</w:t>
      </w:r>
      <w:r w:rsidRPr="00B13D44">
        <w:rPr>
          <w:rFonts w:ascii="Times New Roman" w:hAnsi="Times New Roman"/>
          <w:sz w:val="20"/>
          <w:szCs w:val="20"/>
          <w:vertAlign w:val="superscript"/>
        </w:rPr>
        <w:t>1,2</w:t>
      </w:r>
      <w:r w:rsidRPr="00B13D44">
        <w:rPr>
          <w:rFonts w:ascii="Times New Roman" w:hAnsi="Times New Roman"/>
          <w:sz w:val="20"/>
          <w:szCs w:val="20"/>
        </w:rPr>
        <w:t>*, Normazida Rozi</w:t>
      </w:r>
      <w:r w:rsidRPr="00B13D44">
        <w:rPr>
          <w:rFonts w:ascii="Times New Roman" w:hAnsi="Times New Roman"/>
          <w:sz w:val="20"/>
          <w:szCs w:val="20"/>
          <w:vertAlign w:val="superscript"/>
        </w:rPr>
        <w:t>1</w:t>
      </w:r>
      <w:r w:rsidRPr="00B13D44">
        <w:rPr>
          <w:rFonts w:ascii="Times New Roman" w:hAnsi="Times New Roman"/>
          <w:sz w:val="20"/>
          <w:szCs w:val="20"/>
        </w:rPr>
        <w:t>, Nurul Huda Abd Karim</w:t>
      </w:r>
      <w:r w:rsidRPr="00B13D44">
        <w:rPr>
          <w:rFonts w:ascii="Times New Roman" w:hAnsi="Times New Roman"/>
          <w:sz w:val="20"/>
          <w:szCs w:val="20"/>
          <w:vertAlign w:val="superscript"/>
        </w:rPr>
        <w:t>1</w:t>
      </w:r>
      <w:r w:rsidRPr="00B13D44">
        <w:rPr>
          <w:rFonts w:ascii="Times New Roman" w:hAnsi="Times New Roman"/>
          <w:sz w:val="20"/>
          <w:szCs w:val="20"/>
        </w:rPr>
        <w:t xml:space="preserve">, </w:t>
      </w:r>
    </w:p>
    <w:p w:rsidR="00B13D44" w:rsidRPr="00B13D44" w:rsidRDefault="00B13D44" w:rsidP="00B13D44">
      <w:pPr>
        <w:spacing w:after="0" w:line="240" w:lineRule="auto"/>
        <w:jc w:val="center"/>
        <w:outlineLvl w:val="0"/>
        <w:rPr>
          <w:rFonts w:ascii="Times New Roman" w:hAnsi="Times New Roman"/>
          <w:sz w:val="20"/>
          <w:szCs w:val="20"/>
        </w:rPr>
      </w:pPr>
      <w:r w:rsidRPr="00B13D44">
        <w:rPr>
          <w:rFonts w:ascii="Times New Roman" w:hAnsi="Times New Roman"/>
          <w:sz w:val="20"/>
          <w:szCs w:val="20"/>
        </w:rPr>
        <w:t>Lee Yook Heng</w:t>
      </w:r>
      <w:r w:rsidRPr="00B13D44">
        <w:rPr>
          <w:rFonts w:ascii="Times New Roman" w:hAnsi="Times New Roman"/>
          <w:sz w:val="20"/>
          <w:szCs w:val="20"/>
          <w:vertAlign w:val="superscript"/>
        </w:rPr>
        <w:t>1</w:t>
      </w:r>
    </w:p>
    <w:p w:rsidR="00B13D44" w:rsidRPr="00B13D44" w:rsidRDefault="00B13D44" w:rsidP="00B13D44">
      <w:pPr>
        <w:spacing w:after="0" w:line="240" w:lineRule="auto"/>
        <w:jc w:val="center"/>
        <w:outlineLvl w:val="0"/>
        <w:rPr>
          <w:rFonts w:ascii="Times New Roman" w:hAnsi="Times New Roman"/>
          <w:b/>
          <w:color w:val="FF0000"/>
          <w:sz w:val="18"/>
          <w:szCs w:val="18"/>
        </w:rPr>
      </w:pPr>
    </w:p>
    <w:p w:rsidR="00B13D44" w:rsidRPr="00B13D44" w:rsidRDefault="00B13D44" w:rsidP="00B13D44">
      <w:pPr>
        <w:spacing w:after="0" w:line="240" w:lineRule="auto"/>
        <w:jc w:val="center"/>
        <w:outlineLvl w:val="0"/>
        <w:rPr>
          <w:rFonts w:ascii="Times New Roman" w:hAnsi="Times New Roman"/>
          <w:i/>
          <w:sz w:val="18"/>
          <w:szCs w:val="18"/>
        </w:rPr>
      </w:pPr>
      <w:r w:rsidRPr="00B13D44">
        <w:rPr>
          <w:rFonts w:ascii="Times New Roman" w:hAnsi="Times New Roman"/>
          <w:i/>
          <w:sz w:val="18"/>
          <w:szCs w:val="18"/>
          <w:vertAlign w:val="superscript"/>
        </w:rPr>
        <w:t>1</w:t>
      </w:r>
      <w:r w:rsidRPr="00B13D44">
        <w:rPr>
          <w:rFonts w:ascii="Times New Roman" w:hAnsi="Times New Roman"/>
          <w:i/>
          <w:sz w:val="18"/>
          <w:szCs w:val="18"/>
        </w:rPr>
        <w:t>Center for Advanced Ma</w:t>
      </w:r>
      <w:r>
        <w:rPr>
          <w:rFonts w:ascii="Times New Roman" w:hAnsi="Times New Roman"/>
          <w:i/>
          <w:sz w:val="18"/>
          <w:szCs w:val="18"/>
        </w:rPr>
        <w:t xml:space="preserve">terials and Renewable Resources, </w:t>
      </w:r>
      <w:r w:rsidRPr="00B13D44">
        <w:rPr>
          <w:rFonts w:ascii="Times New Roman" w:hAnsi="Times New Roman"/>
          <w:i/>
          <w:sz w:val="18"/>
          <w:szCs w:val="18"/>
        </w:rPr>
        <w:t xml:space="preserve">Faculty of Science and Technology </w:t>
      </w:r>
    </w:p>
    <w:p w:rsidR="00B13D44" w:rsidRPr="00B13D44" w:rsidRDefault="00B13D44" w:rsidP="00B13D44">
      <w:pPr>
        <w:spacing w:after="0" w:line="240" w:lineRule="auto"/>
        <w:jc w:val="center"/>
        <w:outlineLvl w:val="0"/>
        <w:rPr>
          <w:rFonts w:ascii="Times New Roman" w:hAnsi="Times New Roman"/>
          <w:i/>
          <w:sz w:val="18"/>
          <w:szCs w:val="18"/>
        </w:rPr>
      </w:pPr>
      <w:r w:rsidRPr="00B13D44">
        <w:rPr>
          <w:rFonts w:ascii="Times New Roman" w:hAnsi="Times New Roman"/>
          <w:i/>
          <w:sz w:val="18"/>
          <w:szCs w:val="18"/>
          <w:vertAlign w:val="superscript"/>
        </w:rPr>
        <w:t>2</w:t>
      </w:r>
      <w:r w:rsidRPr="00B13D44">
        <w:rPr>
          <w:rFonts w:ascii="Times New Roman" w:hAnsi="Times New Roman"/>
          <w:i/>
          <w:sz w:val="18"/>
          <w:szCs w:val="18"/>
        </w:rPr>
        <w:t>Polymer Research Center (PORCE), Faculty of Science and Technology</w:t>
      </w:r>
    </w:p>
    <w:p w:rsidR="00B13D44" w:rsidRPr="00B13D44" w:rsidRDefault="00B13D44" w:rsidP="00B13D44">
      <w:pPr>
        <w:tabs>
          <w:tab w:val="left" w:pos="2250"/>
        </w:tabs>
        <w:spacing w:after="0" w:line="240" w:lineRule="auto"/>
        <w:jc w:val="center"/>
        <w:outlineLvl w:val="0"/>
        <w:rPr>
          <w:rFonts w:ascii="Times New Roman" w:hAnsi="Times New Roman"/>
          <w:i/>
          <w:sz w:val="18"/>
          <w:szCs w:val="18"/>
        </w:rPr>
      </w:pPr>
      <w:r>
        <w:rPr>
          <w:rFonts w:ascii="Times New Roman" w:hAnsi="Times New Roman"/>
          <w:i/>
          <w:sz w:val="18"/>
          <w:szCs w:val="18"/>
        </w:rPr>
        <w:t xml:space="preserve">Universiti Kebangsaan Malaysia, </w:t>
      </w:r>
      <w:r w:rsidRPr="00B13D44">
        <w:rPr>
          <w:rFonts w:ascii="Times New Roman" w:hAnsi="Times New Roman"/>
          <w:i/>
          <w:sz w:val="18"/>
          <w:szCs w:val="18"/>
        </w:rPr>
        <w:t xml:space="preserve">43600 </w:t>
      </w:r>
      <w:r>
        <w:rPr>
          <w:rFonts w:ascii="Times New Roman" w:hAnsi="Times New Roman"/>
          <w:i/>
          <w:sz w:val="18"/>
          <w:szCs w:val="18"/>
        </w:rPr>
        <w:t xml:space="preserve">UKM </w:t>
      </w:r>
      <w:r w:rsidRPr="00B13D44">
        <w:rPr>
          <w:rFonts w:ascii="Times New Roman" w:hAnsi="Times New Roman"/>
          <w:i/>
          <w:sz w:val="18"/>
          <w:szCs w:val="18"/>
        </w:rPr>
        <w:t xml:space="preserve">Bangi, Selangor, Malaysia </w:t>
      </w:r>
    </w:p>
    <w:p w:rsidR="00B13D44" w:rsidRPr="00B13D44" w:rsidRDefault="00B13D44" w:rsidP="00B13D44">
      <w:pPr>
        <w:spacing w:after="0" w:line="240" w:lineRule="auto"/>
        <w:jc w:val="center"/>
        <w:outlineLvl w:val="0"/>
        <w:rPr>
          <w:rFonts w:ascii="Times New Roman" w:hAnsi="Times New Roman"/>
          <w:b/>
          <w:color w:val="548DD4" w:themeColor="text2" w:themeTint="99"/>
          <w:sz w:val="18"/>
          <w:szCs w:val="18"/>
        </w:rPr>
      </w:pPr>
    </w:p>
    <w:p w:rsidR="00B13D44" w:rsidRPr="00B13D44" w:rsidRDefault="00B13D44" w:rsidP="00B13D44">
      <w:pPr>
        <w:spacing w:after="0" w:line="240" w:lineRule="auto"/>
        <w:jc w:val="center"/>
        <w:outlineLvl w:val="0"/>
        <w:rPr>
          <w:rFonts w:ascii="Times New Roman" w:hAnsi="Times New Roman"/>
          <w:i/>
          <w:sz w:val="18"/>
          <w:szCs w:val="18"/>
        </w:rPr>
      </w:pPr>
      <w:r w:rsidRPr="00B13D44">
        <w:rPr>
          <w:rFonts w:ascii="Times New Roman" w:hAnsi="Times New Roman"/>
          <w:i/>
          <w:sz w:val="18"/>
          <w:szCs w:val="18"/>
        </w:rPr>
        <w:t xml:space="preserve">*Corresponding author: </w:t>
      </w:r>
      <w:r>
        <w:rPr>
          <w:rFonts w:ascii="Times New Roman" w:hAnsi="Times New Roman"/>
          <w:i/>
          <w:sz w:val="18"/>
          <w:szCs w:val="18"/>
        </w:rPr>
        <w:t xml:space="preserve"> </w:t>
      </w:r>
      <w:r w:rsidRPr="00B13D44">
        <w:rPr>
          <w:rFonts w:ascii="Times New Roman" w:hAnsi="Times New Roman"/>
          <w:i/>
          <w:sz w:val="18"/>
          <w:szCs w:val="18"/>
        </w:rPr>
        <w:t>sharina@ukm.edu.my</w:t>
      </w:r>
    </w:p>
    <w:p w:rsidR="00AC0033" w:rsidRPr="00F447A7" w:rsidRDefault="00AC0033" w:rsidP="00B13D44">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4A7940">
        <w:rPr>
          <w:rFonts w:ascii="Times New Roman" w:hAnsi="Times New Roman"/>
          <w:noProof/>
          <w:sz w:val="18"/>
          <w:szCs w:val="18"/>
          <w:lang w:bidi="ar-SA"/>
        </w:rPr>
        <w:t>19 August 2018</w:t>
      </w:r>
      <w:r>
        <w:rPr>
          <w:rFonts w:ascii="Times New Roman" w:hAnsi="Times New Roman"/>
          <w:noProof/>
          <w:sz w:val="18"/>
          <w:szCs w:val="18"/>
          <w:lang w:bidi="ar-SA"/>
        </w:rPr>
        <w:t xml:space="preserve">; Accepted: </w:t>
      </w:r>
      <w:r w:rsidR="004A7940">
        <w:rPr>
          <w:rFonts w:ascii="Times New Roman" w:hAnsi="Times New Roman"/>
          <w:noProof/>
          <w:sz w:val="18"/>
          <w:szCs w:val="18"/>
          <w:lang w:bidi="ar-SA"/>
        </w:rPr>
        <w:t>18 March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13D44" w:rsidRPr="00AB12BB" w:rsidRDefault="00B13D44" w:rsidP="00B13D44">
      <w:pPr>
        <w:spacing w:after="0" w:line="240" w:lineRule="auto"/>
        <w:jc w:val="both"/>
        <w:outlineLvl w:val="0"/>
        <w:rPr>
          <w:rFonts w:ascii="Times New Roman" w:hAnsi="Times New Roman"/>
          <w:sz w:val="18"/>
          <w:szCs w:val="18"/>
        </w:rPr>
      </w:pPr>
      <w:r w:rsidRPr="00AB12BB">
        <w:rPr>
          <w:rFonts w:ascii="Times New Roman" w:hAnsi="Times New Roman"/>
          <w:sz w:val="18"/>
          <w:szCs w:val="18"/>
        </w:rPr>
        <w:t>Malachite green is widely used in the aquaculture, food, and textile industries. However, malachite green is carcinogenic, mutagenic, and teratogenic. Therefore, a chemical sensor was developed to detect malachite green in water samples. Screen-printed carbon electrode was coated with (p(AAm-</w:t>
      </w:r>
      <w:r w:rsidRPr="00AB12BB">
        <w:rPr>
          <w:rFonts w:ascii="Times New Roman" w:hAnsi="Times New Roman"/>
          <w:i/>
          <w:iCs/>
          <w:sz w:val="18"/>
          <w:szCs w:val="18"/>
        </w:rPr>
        <w:t>co</w:t>
      </w:r>
      <w:r w:rsidRPr="00AB12BB">
        <w:rPr>
          <w:rFonts w:ascii="Times New Roman" w:hAnsi="Times New Roman"/>
          <w:sz w:val="18"/>
          <w:szCs w:val="18"/>
        </w:rPr>
        <w:t>-EMA)/Ru(bpy)</w:t>
      </w:r>
      <w:r w:rsidRPr="00AB12BB">
        <w:rPr>
          <w:rFonts w:ascii="Times New Roman" w:hAnsi="Times New Roman"/>
          <w:sz w:val="18"/>
          <w:szCs w:val="18"/>
          <w:vertAlign w:val="subscript"/>
        </w:rPr>
        <w:t>3</w:t>
      </w:r>
      <w:r w:rsidRPr="00AB12BB">
        <w:rPr>
          <w:rFonts w:ascii="Times New Roman" w:hAnsi="Times New Roman"/>
          <w:sz w:val="18"/>
          <w:szCs w:val="18"/>
          <w:vertAlign w:val="superscript"/>
        </w:rPr>
        <w:t>2+</w:t>
      </w:r>
      <w:r w:rsidRPr="00AB12BB">
        <w:rPr>
          <w:rFonts w:ascii="Times New Roman" w:hAnsi="Times New Roman"/>
          <w:sz w:val="18"/>
          <w:szCs w:val="18"/>
        </w:rPr>
        <w:t xml:space="preserve">/AgNWs to investigate its potential as a membrane for chemical sensor. The membrane was synthesized using the photopolymerization technique and characterized by </w:t>
      </w:r>
      <w:r>
        <w:rPr>
          <w:rFonts w:ascii="Times New Roman" w:hAnsi="Times New Roman"/>
          <w:sz w:val="18"/>
          <w:szCs w:val="18"/>
        </w:rPr>
        <w:t>f</w:t>
      </w:r>
      <w:r w:rsidRPr="00AB12BB">
        <w:rPr>
          <w:rFonts w:ascii="Times New Roman" w:hAnsi="Times New Roman"/>
          <w:sz w:val="18"/>
          <w:szCs w:val="18"/>
        </w:rPr>
        <w:t xml:space="preserve">ourier transform infrared (FTIR), </w:t>
      </w:r>
      <w:r w:rsidRPr="00AB12BB">
        <w:rPr>
          <w:rFonts w:ascii="Times New Roman" w:hAnsi="Times New Roman"/>
          <w:sz w:val="18"/>
          <w:szCs w:val="18"/>
          <w:vertAlign w:val="superscript"/>
        </w:rPr>
        <w:t>1</w:t>
      </w:r>
      <w:r w:rsidRPr="00AB12BB">
        <w:rPr>
          <w:rFonts w:ascii="Times New Roman" w:hAnsi="Times New Roman"/>
          <w:sz w:val="18"/>
          <w:szCs w:val="18"/>
        </w:rPr>
        <w:t>H nuclear magnetic resonance (</w:t>
      </w:r>
      <w:r w:rsidRPr="00AB12BB">
        <w:rPr>
          <w:rFonts w:ascii="Times New Roman" w:hAnsi="Times New Roman"/>
          <w:sz w:val="18"/>
          <w:szCs w:val="18"/>
          <w:vertAlign w:val="superscript"/>
        </w:rPr>
        <w:t>1</w:t>
      </w:r>
      <w:r w:rsidRPr="00AB12BB">
        <w:rPr>
          <w:rFonts w:ascii="Times New Roman" w:hAnsi="Times New Roman"/>
          <w:sz w:val="18"/>
          <w:szCs w:val="18"/>
        </w:rPr>
        <w:t>H NMR), swelling test, field emission scanning electron microscopy/electron dispersive X-</w:t>
      </w:r>
      <w:r>
        <w:rPr>
          <w:rFonts w:ascii="Times New Roman" w:hAnsi="Times New Roman"/>
          <w:sz w:val="18"/>
          <w:szCs w:val="18"/>
        </w:rPr>
        <w:t>r</w:t>
      </w:r>
      <w:r w:rsidRPr="00AB12BB">
        <w:rPr>
          <w:rFonts w:ascii="Times New Roman" w:hAnsi="Times New Roman"/>
          <w:sz w:val="18"/>
          <w:szCs w:val="18"/>
        </w:rPr>
        <w:t xml:space="preserve">ay </w:t>
      </w:r>
      <w:r>
        <w:rPr>
          <w:rFonts w:ascii="Times New Roman" w:hAnsi="Times New Roman"/>
          <w:sz w:val="18"/>
          <w:szCs w:val="18"/>
        </w:rPr>
        <w:t>a</w:t>
      </w:r>
      <w:r w:rsidRPr="00AB12BB">
        <w:rPr>
          <w:rFonts w:ascii="Times New Roman" w:hAnsi="Times New Roman"/>
          <w:sz w:val="18"/>
          <w:szCs w:val="18"/>
        </w:rPr>
        <w:t xml:space="preserve">nalysis (FESEM/EDX), </w:t>
      </w:r>
      <w:r>
        <w:rPr>
          <w:rFonts w:ascii="Times New Roman" w:hAnsi="Times New Roman"/>
          <w:sz w:val="18"/>
          <w:szCs w:val="18"/>
        </w:rPr>
        <w:t>t</w:t>
      </w:r>
      <w:r w:rsidRPr="00AB12BB">
        <w:rPr>
          <w:rFonts w:ascii="Times New Roman" w:hAnsi="Times New Roman"/>
          <w:sz w:val="18"/>
          <w:szCs w:val="18"/>
        </w:rPr>
        <w:t xml:space="preserve">hermogravimetric </w:t>
      </w:r>
      <w:r>
        <w:rPr>
          <w:rFonts w:ascii="Times New Roman" w:hAnsi="Times New Roman"/>
          <w:sz w:val="18"/>
          <w:szCs w:val="18"/>
        </w:rPr>
        <w:t>a</w:t>
      </w:r>
      <w:r w:rsidRPr="00AB12BB">
        <w:rPr>
          <w:rFonts w:ascii="Times New Roman" w:hAnsi="Times New Roman"/>
          <w:sz w:val="18"/>
          <w:szCs w:val="18"/>
        </w:rPr>
        <w:t>nalysis (TGA), and cyclic voltammetry (CV). The peak of –CO in the FTIR spectra indicated that the copolymerization was successful. Furthermore, the NMR spectrum confirmed the FTIR result with the presence of peak at 4.2 ppm. Swelling test showed that p(AAm-</w:t>
      </w:r>
      <w:r w:rsidRPr="00AB12BB">
        <w:rPr>
          <w:rFonts w:ascii="Times New Roman" w:hAnsi="Times New Roman"/>
          <w:i/>
          <w:sz w:val="18"/>
          <w:szCs w:val="18"/>
        </w:rPr>
        <w:t>co</w:t>
      </w:r>
      <w:r w:rsidRPr="00AB12BB">
        <w:rPr>
          <w:rFonts w:ascii="Times New Roman" w:hAnsi="Times New Roman"/>
          <w:sz w:val="18"/>
          <w:szCs w:val="18"/>
        </w:rPr>
        <w:t>-EMA)/AgNWs had a lower swelling percentage than p(AAm-</w:t>
      </w:r>
      <w:r w:rsidRPr="00AB12BB">
        <w:rPr>
          <w:rFonts w:ascii="Times New Roman" w:hAnsi="Times New Roman"/>
          <w:i/>
          <w:sz w:val="18"/>
          <w:szCs w:val="18"/>
        </w:rPr>
        <w:t>co</w:t>
      </w:r>
      <w:r w:rsidRPr="00AB12BB">
        <w:rPr>
          <w:rFonts w:ascii="Times New Roman" w:hAnsi="Times New Roman"/>
          <w:sz w:val="18"/>
          <w:szCs w:val="18"/>
        </w:rPr>
        <w:t>-EMA) due to AgNWs filling the pores of the membrane, which can be seen in the cross section of the SEM micrograph. Thermal decomposition temperature of the membrane was around 400 °C. Cyclic voltammogram proved that the p(AAm-</w:t>
      </w:r>
      <w:r w:rsidRPr="00AB12BB">
        <w:rPr>
          <w:rFonts w:ascii="Times New Roman" w:hAnsi="Times New Roman"/>
          <w:i/>
          <w:sz w:val="18"/>
          <w:szCs w:val="18"/>
        </w:rPr>
        <w:t>co</w:t>
      </w:r>
      <w:r w:rsidRPr="00AB12BB">
        <w:rPr>
          <w:rFonts w:ascii="Times New Roman" w:hAnsi="Times New Roman"/>
          <w:sz w:val="18"/>
          <w:szCs w:val="18"/>
        </w:rPr>
        <w:t>-EMA)/Ru(bpy)</w:t>
      </w:r>
      <w:r w:rsidRPr="00AB12BB">
        <w:rPr>
          <w:rFonts w:ascii="Times New Roman" w:hAnsi="Times New Roman"/>
          <w:sz w:val="18"/>
          <w:szCs w:val="18"/>
          <w:vertAlign w:val="subscript"/>
        </w:rPr>
        <w:t>3</w:t>
      </w:r>
      <w:r w:rsidRPr="00AB12BB">
        <w:rPr>
          <w:rFonts w:ascii="Times New Roman" w:hAnsi="Times New Roman"/>
          <w:sz w:val="18"/>
          <w:szCs w:val="18"/>
          <w:vertAlign w:val="superscript"/>
        </w:rPr>
        <w:t>2+/</w:t>
      </w:r>
      <w:r w:rsidRPr="00AB12BB">
        <w:rPr>
          <w:rFonts w:ascii="Times New Roman" w:hAnsi="Times New Roman"/>
          <w:sz w:val="18"/>
          <w:szCs w:val="18"/>
        </w:rPr>
        <w:t xml:space="preserve">AgNWs film coated on screen-printed carbon electrode which acted as a working electrode was able to detect malachite green by showing anodic peak around 0.25 V and cathodic peak around -1.0 V. </w:t>
      </w:r>
    </w:p>
    <w:p w:rsidR="00B13D44" w:rsidRPr="00AB12BB" w:rsidRDefault="00B13D44" w:rsidP="00B13D44">
      <w:pPr>
        <w:spacing w:after="0" w:line="240" w:lineRule="auto"/>
        <w:jc w:val="both"/>
        <w:outlineLvl w:val="0"/>
        <w:rPr>
          <w:rFonts w:ascii="Times New Roman" w:hAnsi="Times New Roman"/>
          <w:sz w:val="18"/>
          <w:szCs w:val="18"/>
        </w:rPr>
      </w:pPr>
      <w:r w:rsidRPr="00AB12BB">
        <w:rPr>
          <w:rFonts w:ascii="Times New Roman" w:hAnsi="Times New Roman"/>
          <w:sz w:val="18"/>
          <w:szCs w:val="18"/>
        </w:rPr>
        <w:t xml:space="preserve"> </w:t>
      </w:r>
    </w:p>
    <w:p w:rsidR="00B13D44" w:rsidRPr="00AB12BB" w:rsidRDefault="00B13D44" w:rsidP="00B13D44">
      <w:pPr>
        <w:spacing w:after="0" w:line="240" w:lineRule="auto"/>
        <w:jc w:val="both"/>
        <w:outlineLvl w:val="0"/>
        <w:rPr>
          <w:rFonts w:ascii="Times New Roman" w:hAnsi="Times New Roman"/>
          <w:sz w:val="18"/>
          <w:szCs w:val="18"/>
        </w:rPr>
      </w:pPr>
      <w:r w:rsidRPr="00AB12BB">
        <w:rPr>
          <w:rFonts w:ascii="Times New Roman" w:hAnsi="Times New Roman"/>
          <w:b/>
          <w:sz w:val="18"/>
          <w:szCs w:val="18"/>
        </w:rPr>
        <w:t>Keywords</w:t>
      </w:r>
      <w:r w:rsidRPr="005A075C">
        <w:rPr>
          <w:rFonts w:ascii="Times New Roman" w:hAnsi="Times New Roman"/>
          <w:b/>
          <w:sz w:val="18"/>
          <w:szCs w:val="18"/>
        </w:rPr>
        <w:t>:</w:t>
      </w:r>
      <w:r w:rsidRPr="00AB12BB">
        <w:rPr>
          <w:rFonts w:ascii="Times New Roman" w:hAnsi="Times New Roman"/>
          <w:sz w:val="18"/>
          <w:szCs w:val="18"/>
        </w:rPr>
        <w:t xml:space="preserve"> </w:t>
      </w:r>
      <w:r>
        <w:rPr>
          <w:rFonts w:ascii="Times New Roman" w:hAnsi="Times New Roman"/>
          <w:sz w:val="18"/>
          <w:szCs w:val="18"/>
        </w:rPr>
        <w:t xml:space="preserve"> m</w:t>
      </w:r>
      <w:r w:rsidRPr="00AB12BB">
        <w:rPr>
          <w:rFonts w:ascii="Times New Roman" w:hAnsi="Times New Roman"/>
          <w:sz w:val="18"/>
          <w:szCs w:val="18"/>
        </w:rPr>
        <w:t>alachite green, electrochemical sensor, photopolymerization, silver nanowires</w:t>
      </w:r>
    </w:p>
    <w:p w:rsidR="00B13D44" w:rsidRPr="00AB12BB" w:rsidRDefault="00B13D44" w:rsidP="00B13D44">
      <w:pPr>
        <w:spacing w:after="0" w:line="240" w:lineRule="auto"/>
        <w:jc w:val="center"/>
        <w:outlineLvl w:val="0"/>
        <w:rPr>
          <w:rFonts w:ascii="Times New Roman" w:hAnsi="Times New Roman"/>
          <w:b/>
          <w:color w:val="548DD4" w:themeColor="text2" w:themeTint="99"/>
          <w:sz w:val="18"/>
          <w:szCs w:val="18"/>
        </w:rPr>
      </w:pPr>
    </w:p>
    <w:p w:rsidR="00B13D44" w:rsidRPr="005A075C" w:rsidRDefault="00B13D44" w:rsidP="00B13D44">
      <w:pPr>
        <w:spacing w:after="0" w:line="240" w:lineRule="auto"/>
        <w:jc w:val="center"/>
        <w:outlineLvl w:val="0"/>
        <w:rPr>
          <w:rFonts w:ascii="Times New Roman" w:hAnsi="Times New Roman"/>
          <w:b/>
          <w:sz w:val="18"/>
          <w:szCs w:val="18"/>
          <w:lang w:val="ms-MY"/>
        </w:rPr>
      </w:pPr>
      <w:r w:rsidRPr="005A075C">
        <w:rPr>
          <w:rFonts w:ascii="Times New Roman" w:hAnsi="Times New Roman"/>
          <w:b/>
          <w:sz w:val="18"/>
          <w:szCs w:val="18"/>
          <w:lang w:val="ms-MY"/>
        </w:rPr>
        <w:t>Abstrak</w:t>
      </w:r>
    </w:p>
    <w:p w:rsidR="00B13D44" w:rsidRPr="005A075C" w:rsidRDefault="00B13D44" w:rsidP="00B13D44">
      <w:pPr>
        <w:spacing w:after="0" w:line="240" w:lineRule="auto"/>
        <w:jc w:val="both"/>
        <w:outlineLvl w:val="0"/>
        <w:rPr>
          <w:rFonts w:ascii="Times New Roman" w:hAnsi="Times New Roman"/>
          <w:sz w:val="18"/>
          <w:szCs w:val="18"/>
          <w:lang w:val="ms-MY"/>
        </w:rPr>
      </w:pPr>
      <w:r w:rsidRPr="005A075C">
        <w:rPr>
          <w:rFonts w:ascii="Times New Roman" w:hAnsi="Times New Roman"/>
          <w:sz w:val="18"/>
          <w:szCs w:val="18"/>
          <w:lang w:val="ms-MY"/>
        </w:rPr>
        <w:t>Malakit hijau digunakan secara meluas dalam industri akuakultur, makanan dan tekstil. Walaubagaimanapun, malakit hijau bersifat karsinogenik, mutagenik dan teratogenik. Oleh itu, sensor kimia dibangunkan untuk mengesan malakit hijau dalam sampel air. Skrin bercetak elektrod karbon bersalut (p(AAm-</w:t>
      </w:r>
      <w:r w:rsidRPr="005A075C">
        <w:rPr>
          <w:rFonts w:ascii="Times New Roman" w:hAnsi="Times New Roman"/>
          <w:i/>
          <w:sz w:val="18"/>
          <w:szCs w:val="18"/>
          <w:lang w:val="ms-MY"/>
        </w:rPr>
        <w:t>ko</w:t>
      </w:r>
      <w:r w:rsidRPr="005A075C">
        <w:rPr>
          <w:rFonts w:ascii="Times New Roman" w:hAnsi="Times New Roman"/>
          <w:sz w:val="18"/>
          <w:szCs w:val="18"/>
          <w:lang w:val="ms-MY"/>
        </w:rPr>
        <w:t>-EMA)/Ru(bpy)</w:t>
      </w:r>
      <w:r w:rsidRPr="005A075C">
        <w:rPr>
          <w:rFonts w:ascii="Times New Roman" w:hAnsi="Times New Roman"/>
          <w:sz w:val="18"/>
          <w:szCs w:val="18"/>
          <w:vertAlign w:val="subscript"/>
          <w:lang w:val="ms-MY"/>
        </w:rPr>
        <w:t>3</w:t>
      </w:r>
      <w:r w:rsidRPr="005A075C">
        <w:rPr>
          <w:rFonts w:ascii="Times New Roman" w:hAnsi="Times New Roman"/>
          <w:sz w:val="18"/>
          <w:szCs w:val="18"/>
          <w:vertAlign w:val="superscript"/>
          <w:lang w:val="ms-MY"/>
        </w:rPr>
        <w:t>2+</w:t>
      </w:r>
      <w:r w:rsidRPr="005A075C">
        <w:rPr>
          <w:rFonts w:ascii="Times New Roman" w:hAnsi="Times New Roman"/>
          <w:sz w:val="18"/>
          <w:szCs w:val="18"/>
          <w:lang w:val="ms-MY"/>
        </w:rPr>
        <w:t xml:space="preserve">/AgNWs telah dibangunkan bagi mengkaji potensinya sebagai filem untuk sensor kimia. Membran tersebut disintesis dengan menggunakan teknik fotopempolimeran dan dianalisis menggunakan spektroskopi infra merah tranformasi fourier (FTIR), </w:t>
      </w:r>
      <w:r w:rsidRPr="005A075C">
        <w:rPr>
          <w:rFonts w:ascii="Times New Roman" w:hAnsi="Times New Roman"/>
          <w:sz w:val="18"/>
          <w:szCs w:val="18"/>
          <w:vertAlign w:val="superscript"/>
          <w:lang w:val="ms-MY"/>
        </w:rPr>
        <w:t>1</w:t>
      </w:r>
      <w:r w:rsidRPr="005A075C">
        <w:rPr>
          <w:rFonts w:ascii="Times New Roman" w:hAnsi="Times New Roman"/>
          <w:sz w:val="18"/>
          <w:szCs w:val="18"/>
          <w:lang w:val="ms-MY"/>
        </w:rPr>
        <w:t>H resonans magnetik nukleus (</w:t>
      </w:r>
      <w:r w:rsidRPr="005A075C">
        <w:rPr>
          <w:rFonts w:ascii="Times New Roman" w:hAnsi="Times New Roman"/>
          <w:sz w:val="18"/>
          <w:szCs w:val="18"/>
          <w:vertAlign w:val="superscript"/>
          <w:lang w:val="ms-MY"/>
        </w:rPr>
        <w:t>1</w:t>
      </w:r>
      <w:r w:rsidRPr="005A075C">
        <w:rPr>
          <w:rFonts w:ascii="Times New Roman" w:hAnsi="Times New Roman"/>
          <w:sz w:val="18"/>
          <w:szCs w:val="18"/>
          <w:lang w:val="ms-MY"/>
        </w:rPr>
        <w:t>H RMN), mikroskopi imbasan elektron pancaran medan/penyebaran elektron sinar-X (FESEM/EDX), analisis termogravimetri (TGA) dan voltametri siklik (CV). Puncak -CO yang hadir dalam spektrum FTIR menunjukkan kopempolimeran telah berjaya. Spektrum NMR mengesahkan spektrum FTIR dengan kehadiran puncak pada 4.2 ppm. Ujian penyerapan air pula menunjukkan peratus serapan air p(AAm-</w:t>
      </w:r>
      <w:r w:rsidRPr="005A075C">
        <w:rPr>
          <w:rFonts w:ascii="Times New Roman" w:hAnsi="Times New Roman"/>
          <w:i/>
          <w:sz w:val="18"/>
          <w:szCs w:val="18"/>
          <w:lang w:val="ms-MY"/>
        </w:rPr>
        <w:t>ko</w:t>
      </w:r>
      <w:r w:rsidRPr="005A075C">
        <w:rPr>
          <w:rFonts w:ascii="Times New Roman" w:hAnsi="Times New Roman"/>
          <w:sz w:val="18"/>
          <w:szCs w:val="18"/>
          <w:lang w:val="ms-MY"/>
        </w:rPr>
        <w:t>-EMA)/AgNWs lebih rendah berbanding p(AAm-</w:t>
      </w:r>
      <w:r w:rsidRPr="005A075C">
        <w:rPr>
          <w:rFonts w:ascii="Times New Roman" w:hAnsi="Times New Roman"/>
          <w:i/>
          <w:sz w:val="18"/>
          <w:szCs w:val="18"/>
          <w:lang w:val="ms-MY"/>
        </w:rPr>
        <w:t>ko</w:t>
      </w:r>
      <w:r w:rsidRPr="005A075C">
        <w:rPr>
          <w:rFonts w:ascii="Times New Roman" w:hAnsi="Times New Roman"/>
          <w:sz w:val="18"/>
          <w:szCs w:val="18"/>
          <w:lang w:val="ms-MY"/>
        </w:rPr>
        <w:t>-EMA) kerana AgNWs memenuhi liang–liang yang terdapat dalam filem seperti yang ditunjukkan pada mikrograf keratan rentas SEM. Penguraian terma berlaku pada suhu 400 °C. Voltamogram siklik membuktikan filem p(AAm-</w:t>
      </w:r>
      <w:r w:rsidRPr="005A075C">
        <w:rPr>
          <w:rFonts w:ascii="Times New Roman" w:hAnsi="Times New Roman"/>
          <w:i/>
          <w:sz w:val="18"/>
          <w:szCs w:val="18"/>
          <w:lang w:val="ms-MY"/>
        </w:rPr>
        <w:t>ko</w:t>
      </w:r>
      <w:r w:rsidRPr="005A075C">
        <w:rPr>
          <w:rFonts w:ascii="Times New Roman" w:hAnsi="Times New Roman"/>
          <w:sz w:val="18"/>
          <w:szCs w:val="18"/>
          <w:lang w:val="ms-MY"/>
        </w:rPr>
        <w:t>-EMA)/Ru(bpy)</w:t>
      </w:r>
      <w:r w:rsidRPr="005A075C">
        <w:rPr>
          <w:rFonts w:ascii="Times New Roman" w:hAnsi="Times New Roman"/>
          <w:sz w:val="18"/>
          <w:szCs w:val="18"/>
          <w:vertAlign w:val="subscript"/>
          <w:lang w:val="ms-MY"/>
        </w:rPr>
        <w:t>3</w:t>
      </w:r>
      <w:r w:rsidRPr="005A075C">
        <w:rPr>
          <w:rFonts w:ascii="Times New Roman" w:hAnsi="Times New Roman"/>
          <w:sz w:val="18"/>
          <w:szCs w:val="18"/>
          <w:vertAlign w:val="superscript"/>
          <w:lang w:val="ms-MY"/>
        </w:rPr>
        <w:t>2+/</w:t>
      </w:r>
      <w:r w:rsidRPr="005A075C">
        <w:rPr>
          <w:rFonts w:ascii="Times New Roman" w:hAnsi="Times New Roman"/>
          <w:sz w:val="18"/>
          <w:szCs w:val="18"/>
          <w:lang w:val="ms-MY"/>
        </w:rPr>
        <w:t xml:space="preserve">AgNWs yang disalut atas skrin bercetak elektrod karbon </w:t>
      </w:r>
      <w:r w:rsidRPr="005A075C">
        <w:rPr>
          <w:rFonts w:ascii="Times New Roman" w:hAnsi="Times New Roman"/>
          <w:sz w:val="18"/>
          <w:szCs w:val="18"/>
          <w:lang w:val="ms-MY"/>
        </w:rPr>
        <w:lastRenderedPageBreak/>
        <w:t>bertindak sebagai elektrod kerja berupaya mengesan malakit hijau dengan menunjukkan puncak anodik sekitar 0.25 V dan puncak katodik sekitar -1.0 V.</w:t>
      </w:r>
    </w:p>
    <w:p w:rsidR="00B13D44" w:rsidRPr="005A075C" w:rsidRDefault="00B13D44" w:rsidP="00B13D44">
      <w:pPr>
        <w:spacing w:after="0" w:line="240" w:lineRule="auto"/>
        <w:jc w:val="both"/>
        <w:outlineLvl w:val="0"/>
        <w:rPr>
          <w:rFonts w:ascii="Times New Roman" w:hAnsi="Times New Roman"/>
          <w:sz w:val="18"/>
          <w:szCs w:val="18"/>
          <w:lang w:val="ms-MY"/>
        </w:rPr>
      </w:pPr>
    </w:p>
    <w:p w:rsidR="00B13D44" w:rsidRPr="005A075C" w:rsidRDefault="00B13D44" w:rsidP="00B13D44">
      <w:pPr>
        <w:spacing w:after="0" w:line="240" w:lineRule="auto"/>
        <w:jc w:val="both"/>
        <w:outlineLvl w:val="0"/>
        <w:rPr>
          <w:rFonts w:ascii="Times New Roman" w:hAnsi="Times New Roman"/>
          <w:b/>
          <w:color w:val="548DD4" w:themeColor="text2" w:themeTint="99"/>
          <w:lang w:val="ms-MY"/>
        </w:rPr>
      </w:pPr>
      <w:r w:rsidRPr="005A075C">
        <w:rPr>
          <w:rFonts w:ascii="Times New Roman" w:hAnsi="Times New Roman"/>
          <w:b/>
          <w:sz w:val="18"/>
          <w:szCs w:val="18"/>
          <w:lang w:val="ms-MY"/>
        </w:rPr>
        <w:t>Kata kunci:</w:t>
      </w:r>
      <w:r w:rsidRPr="005A075C">
        <w:rPr>
          <w:rFonts w:ascii="Times New Roman" w:hAnsi="Times New Roman"/>
          <w:b/>
          <w:lang w:val="ms-MY"/>
        </w:rPr>
        <w:t xml:space="preserve"> </w:t>
      </w:r>
      <w:r>
        <w:rPr>
          <w:rFonts w:ascii="Times New Roman" w:hAnsi="Times New Roman"/>
          <w:b/>
          <w:lang w:val="ms-MY"/>
        </w:rPr>
        <w:t xml:space="preserve"> </w:t>
      </w:r>
      <w:r w:rsidRPr="005A075C">
        <w:rPr>
          <w:rFonts w:ascii="Times New Roman" w:hAnsi="Times New Roman"/>
          <w:sz w:val="18"/>
          <w:szCs w:val="18"/>
          <w:lang w:val="ms-MY"/>
        </w:rPr>
        <w:t>malakit hijau, sensor elektrokimia, fotopempolimeran, wayar nano perak</w:t>
      </w:r>
      <w:r w:rsidRPr="005A075C">
        <w:rPr>
          <w:rFonts w:ascii="Times New Roman" w:hAnsi="Times New Roman"/>
          <w:b/>
          <w:color w:val="548DD4" w:themeColor="text2" w:themeTint="99"/>
          <w:lang w:val="ms-MY"/>
        </w:rPr>
        <w:t xml:space="preserve"> </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r w:rsidRPr="007A0C6C">
        <w:rPr>
          <w:rFonts w:ascii="Times New Roman" w:hAnsi="Times New Roman"/>
          <w:color w:val="000000" w:themeColor="text1"/>
          <w:sz w:val="20"/>
          <w:szCs w:val="20"/>
        </w:rPr>
        <w:t xml:space="preserve">Malachite green or known as [4-[[4-(dimethylamino)phenyl]-phenylmethylidene]cyclohexa-2,5-dien-1-ylidene]-dimethylazanium (Figure 1) is a type of commercial triphenylmethane dye. Malachite green is widely used in the textile and food industries as dye while in the aquaculture industry, it is used as anti-bacteria, anti-fungi, and anti-protozoa for aquatic life. However, the Food and Drug Association (FDA) has banned its use in aquatic life because malachite green is carcinogenic, teratogenic, and mutagenic; causing cancer, disrupting the growth of embryos, and altering genetics [1]. Malachite green can adversely affect humans if they consume aquatic life that has been treated with malachite green. Due to these effects, several countries such as America, Canada, and China have banned its usage in the aquaculture industry. </w:t>
      </w:r>
      <w:r w:rsidRPr="007A0C6C">
        <w:rPr>
          <w:rFonts w:ascii="Times New Roman" w:hAnsi="Times New Roman"/>
          <w:sz w:val="20"/>
          <w:szCs w:val="20"/>
        </w:rPr>
        <w:t>However, malachite green is widely used because</w:t>
      </w:r>
      <w:r w:rsidRPr="007A0C6C">
        <w:rPr>
          <w:rFonts w:ascii="Times New Roman" w:hAnsi="Times New Roman"/>
          <w:color w:val="000000" w:themeColor="text1"/>
          <w:sz w:val="20"/>
          <w:szCs w:val="20"/>
        </w:rPr>
        <w:t xml:space="preserve"> the cost is cheap, it is effective, and easily available in the market. Therefore, the European Commission has determined that only 2 µg/kg of total residue of malachite green and leucomalachite green should be present in aquaculture products as the minimum required performance limits (MRPLs). MRPLs are the minimum analyte needed for any detection method. Various detection methods were introduced by many researchers like high performance liquid chromatography (HPLC), gas chromatography-mass spectrometry (GC-MS), and liquid chromatography-mass spectrometry/mass spectrometry (LC-MS/MS). However, the existing detection methods are time-consuming and have indirect measurements [2]. Therefore, many researchers have started focusing on sensors because they can be used as </w:t>
      </w:r>
      <w:r w:rsidRPr="007A0C6C">
        <w:rPr>
          <w:rFonts w:ascii="Times New Roman" w:hAnsi="Times New Roman"/>
          <w:i/>
          <w:color w:val="000000" w:themeColor="text1"/>
          <w:sz w:val="20"/>
          <w:szCs w:val="20"/>
        </w:rPr>
        <w:t>in-situ</w:t>
      </w:r>
      <w:r w:rsidRPr="007A0C6C">
        <w:rPr>
          <w:rFonts w:ascii="Times New Roman" w:hAnsi="Times New Roman"/>
          <w:color w:val="000000" w:themeColor="text1"/>
          <w:sz w:val="20"/>
          <w:szCs w:val="20"/>
        </w:rPr>
        <w:t xml:space="preserve"> detection. Sensor is a device that transmits signals received from an input as the physical stimulus and converts them into data that can be processed [3].</w:t>
      </w:r>
      <w:r w:rsidRPr="007A0C6C">
        <w:rPr>
          <w:rStyle w:val="CommentReference"/>
          <w:rFonts w:ascii="Times New Roman" w:hAnsi="Times New Roman"/>
          <w:sz w:val="20"/>
          <w:szCs w:val="20"/>
        </w:rPr>
        <w:t xml:space="preserve"> T</w:t>
      </w:r>
      <w:r w:rsidRPr="007A0C6C">
        <w:rPr>
          <w:rFonts w:ascii="Times New Roman" w:hAnsi="Times New Roman"/>
          <w:color w:val="000000" w:themeColor="text1"/>
          <w:sz w:val="20"/>
          <w:szCs w:val="20"/>
        </w:rPr>
        <w:t>here are many types of sensors that have caught the attention of researchers, for example biosensors, chemical sensors, and optical sensors. For the detection of malachite green, Fatma et al. [4] developed a dual detection sensor using polyvinyl chloride membrane, which showed a linear range at 10</w:t>
      </w:r>
      <w:r w:rsidRPr="007A0C6C">
        <w:rPr>
          <w:rFonts w:ascii="Times New Roman" w:hAnsi="Times New Roman"/>
          <w:color w:val="000000" w:themeColor="text1"/>
          <w:sz w:val="20"/>
          <w:szCs w:val="20"/>
          <w:vertAlign w:val="superscript"/>
        </w:rPr>
        <w:t xml:space="preserve"> -5 </w:t>
      </w:r>
      <w:r w:rsidRPr="007A0C6C">
        <w:rPr>
          <w:rFonts w:ascii="Times New Roman" w:hAnsi="Times New Roman"/>
          <w:color w:val="000000" w:themeColor="text1"/>
          <w:sz w:val="20"/>
          <w:szCs w:val="20"/>
        </w:rPr>
        <w:t>to 10</w:t>
      </w:r>
      <w:r w:rsidRPr="007A0C6C">
        <w:rPr>
          <w:rFonts w:ascii="Times New Roman" w:hAnsi="Times New Roman"/>
          <w:color w:val="000000" w:themeColor="text1"/>
          <w:sz w:val="20"/>
          <w:szCs w:val="20"/>
          <w:vertAlign w:val="superscript"/>
        </w:rPr>
        <w:t>-3</w:t>
      </w:r>
      <w:r w:rsidRPr="007A0C6C">
        <w:rPr>
          <w:rFonts w:ascii="Times New Roman" w:hAnsi="Times New Roman"/>
          <w:color w:val="000000" w:themeColor="text1"/>
          <w:sz w:val="20"/>
          <w:szCs w:val="20"/>
        </w:rPr>
        <w:t xml:space="preserve"> M malachite green concentration. Meanwhile, Faridah et al. [5] introduced an electrochemical enzyme inhibition sensor by electro-polymerized butyryl-cholinesterase enzyme and polyprrole matrix on a sensor surface, which showed a limit of detection at 0.25 ppb malachite green concentration. Among all these types of sensors, electrochemical sensor has gained the most attention from researchers due to its simplicity and short analysis time.</w:t>
      </w:r>
    </w:p>
    <w:p w:rsidR="007A0C6C" w:rsidRPr="007A0C6C" w:rsidRDefault="007A0C6C" w:rsidP="007A0C6C">
      <w:pPr>
        <w:spacing w:after="120" w:line="240" w:lineRule="auto"/>
        <w:jc w:val="both"/>
        <w:outlineLvl w:val="0"/>
        <w:rPr>
          <w:rFonts w:ascii="Times New Roman" w:hAnsi="Times New Roman"/>
          <w:color w:val="000000" w:themeColor="text1"/>
          <w:sz w:val="20"/>
          <w:szCs w:val="20"/>
        </w:rPr>
      </w:pPr>
      <w:r w:rsidRPr="007A0C6C">
        <w:rPr>
          <w:rFonts w:ascii="Times New Roman" w:hAnsi="Times New Roman"/>
          <w:noProof/>
          <w:color w:val="000000" w:themeColor="text1"/>
          <w:sz w:val="20"/>
          <w:szCs w:val="20"/>
          <w:lang w:bidi="ar-SA"/>
        </w:rPr>
        <w:drawing>
          <wp:anchor distT="0" distB="0" distL="114300" distR="114300" simplePos="0" relativeHeight="251680256" behindDoc="0" locked="0" layoutInCell="1" allowOverlap="1" wp14:anchorId="6B73729B" wp14:editId="47009A78">
            <wp:simplePos x="0" y="0"/>
            <wp:positionH relativeFrom="column">
              <wp:posOffset>2040255</wp:posOffset>
            </wp:positionH>
            <wp:positionV relativeFrom="paragraph">
              <wp:posOffset>120015</wp:posOffset>
            </wp:positionV>
            <wp:extent cx="1891665" cy="1988820"/>
            <wp:effectExtent l="0" t="0" r="0" b="0"/>
            <wp:wrapSquare wrapText="bothSides"/>
            <wp:docPr id="2" name="Picture 2" descr="MG-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G-edit"/>
                    <pic:cNvPicPr>
                      <a:picLocks noChangeAspect="1"/>
                    </pic:cNvPicPr>
                  </pic:nvPicPr>
                  <pic:blipFill>
                    <a:blip r:embed="rId11"/>
                    <a:stretch>
                      <a:fillRect/>
                    </a:stretch>
                  </pic:blipFill>
                  <pic:spPr>
                    <a:xfrm>
                      <a:off x="0" y="0"/>
                      <a:ext cx="1891665" cy="1988820"/>
                    </a:xfrm>
                    <a:prstGeom prst="rect">
                      <a:avLst/>
                    </a:prstGeom>
                  </pic:spPr>
                </pic:pic>
              </a:graphicData>
            </a:graphic>
            <wp14:sizeRelH relativeFrom="margin">
              <wp14:pctWidth>0</wp14:pctWidth>
            </wp14:sizeRelH>
            <wp14:sizeRelV relativeFrom="margin">
              <wp14:pctHeight>0</wp14:pctHeight>
            </wp14:sizeRelV>
          </wp:anchor>
        </w:drawing>
      </w: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center"/>
        <w:outlineLvl w:val="0"/>
        <w:rPr>
          <w:rFonts w:ascii="Times New Roman" w:hAnsi="Times New Roman"/>
          <w:color w:val="000000" w:themeColor="text1"/>
          <w:sz w:val="20"/>
          <w:szCs w:val="20"/>
        </w:rPr>
      </w:pPr>
      <w:r w:rsidRPr="007A0C6C">
        <w:rPr>
          <w:rFonts w:ascii="Times New Roman" w:hAnsi="Times New Roman"/>
          <w:color w:val="000000" w:themeColor="text1"/>
          <w:sz w:val="20"/>
          <w:szCs w:val="20"/>
        </w:rPr>
        <w:t xml:space="preserve">Figure 1. </w:t>
      </w:r>
      <w:r>
        <w:rPr>
          <w:rFonts w:ascii="Times New Roman" w:hAnsi="Times New Roman"/>
          <w:color w:val="000000" w:themeColor="text1"/>
          <w:sz w:val="20"/>
          <w:szCs w:val="20"/>
        </w:rPr>
        <w:t xml:space="preserve"> </w:t>
      </w:r>
      <w:r w:rsidRPr="007A0C6C">
        <w:rPr>
          <w:rFonts w:ascii="Times New Roman" w:hAnsi="Times New Roman"/>
          <w:color w:val="000000" w:themeColor="text1"/>
          <w:sz w:val="20"/>
          <w:szCs w:val="20"/>
        </w:rPr>
        <w:t>Chemical structure of malachite green</w:t>
      </w:r>
    </w:p>
    <w:p w:rsidR="007A0C6C" w:rsidRPr="007A0C6C" w:rsidRDefault="007A0C6C" w:rsidP="007A0C6C">
      <w:pPr>
        <w:spacing w:after="12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r w:rsidRPr="007A0C6C">
        <w:rPr>
          <w:rFonts w:ascii="Times New Roman" w:hAnsi="Times New Roman"/>
          <w:color w:val="000000" w:themeColor="text1"/>
          <w:sz w:val="20"/>
          <w:szCs w:val="20"/>
        </w:rPr>
        <w:t>In this work, screen-printed carbon electrode coated with poly(acrylamide-</w:t>
      </w:r>
      <w:r w:rsidRPr="007A0C6C">
        <w:rPr>
          <w:rFonts w:ascii="Times New Roman" w:hAnsi="Times New Roman"/>
          <w:i/>
          <w:color w:val="000000" w:themeColor="text1"/>
          <w:sz w:val="20"/>
          <w:szCs w:val="20"/>
        </w:rPr>
        <w:t>co</w:t>
      </w:r>
      <w:r w:rsidRPr="007A0C6C">
        <w:rPr>
          <w:rFonts w:ascii="Times New Roman" w:hAnsi="Times New Roman"/>
          <w:color w:val="000000" w:themeColor="text1"/>
          <w:sz w:val="20"/>
          <w:szCs w:val="20"/>
        </w:rPr>
        <w:t>-ethyl methacrylate)/Ru(bpy)</w:t>
      </w:r>
      <w:r w:rsidRPr="007A0C6C">
        <w:rPr>
          <w:rFonts w:ascii="Times New Roman" w:hAnsi="Times New Roman"/>
          <w:color w:val="000000" w:themeColor="text1"/>
          <w:sz w:val="20"/>
          <w:szCs w:val="20"/>
          <w:vertAlign w:val="subscript"/>
        </w:rPr>
        <w:t>3</w:t>
      </w:r>
      <w:r w:rsidRPr="007A0C6C">
        <w:rPr>
          <w:rFonts w:ascii="Times New Roman" w:hAnsi="Times New Roman"/>
          <w:color w:val="000000" w:themeColor="text1"/>
          <w:sz w:val="20"/>
          <w:szCs w:val="20"/>
          <w:vertAlign w:val="superscript"/>
        </w:rPr>
        <w:t>2+</w:t>
      </w:r>
      <w:r w:rsidRPr="007A0C6C">
        <w:rPr>
          <w:rFonts w:ascii="Times New Roman" w:hAnsi="Times New Roman"/>
          <w:color w:val="000000" w:themeColor="text1"/>
          <w:sz w:val="20"/>
          <w:szCs w:val="20"/>
        </w:rPr>
        <w:t>/ silver nanowires (p(AAm-co-EMA)/Ru(bpy)</w:t>
      </w:r>
      <w:r w:rsidRPr="007A0C6C">
        <w:rPr>
          <w:rFonts w:ascii="Times New Roman" w:hAnsi="Times New Roman"/>
          <w:color w:val="000000" w:themeColor="text1"/>
          <w:sz w:val="20"/>
          <w:szCs w:val="20"/>
          <w:vertAlign w:val="subscript"/>
        </w:rPr>
        <w:t>3</w:t>
      </w:r>
      <w:r w:rsidRPr="007A0C6C">
        <w:rPr>
          <w:rFonts w:ascii="Times New Roman" w:hAnsi="Times New Roman"/>
          <w:color w:val="000000" w:themeColor="text1"/>
          <w:sz w:val="20"/>
          <w:szCs w:val="20"/>
          <w:vertAlign w:val="superscript"/>
        </w:rPr>
        <w:t>2+</w:t>
      </w:r>
      <w:r w:rsidRPr="007A0C6C">
        <w:rPr>
          <w:rFonts w:ascii="Times New Roman" w:hAnsi="Times New Roman"/>
          <w:color w:val="000000" w:themeColor="text1"/>
          <w:sz w:val="20"/>
          <w:szCs w:val="20"/>
        </w:rPr>
        <w:t xml:space="preserve">/AgNWs) was used as a working electrode for the detection of malachite </w:t>
      </w:r>
      <w:r w:rsidRPr="007A0C6C">
        <w:rPr>
          <w:rStyle w:val="CommentReference"/>
          <w:rFonts w:ascii="Times New Roman" w:hAnsi="Times New Roman"/>
          <w:sz w:val="20"/>
          <w:szCs w:val="20"/>
        </w:rPr>
        <w:t>g</w:t>
      </w:r>
      <w:r w:rsidRPr="007A0C6C">
        <w:rPr>
          <w:rFonts w:ascii="Times New Roman" w:hAnsi="Times New Roman"/>
          <w:color w:val="000000" w:themeColor="text1"/>
          <w:sz w:val="20"/>
          <w:szCs w:val="20"/>
        </w:rPr>
        <w:t>reen. Poly(acrylamide-</w:t>
      </w:r>
      <w:r w:rsidRPr="007A0C6C">
        <w:rPr>
          <w:rFonts w:ascii="Times New Roman" w:hAnsi="Times New Roman"/>
          <w:i/>
          <w:color w:val="000000" w:themeColor="text1"/>
          <w:sz w:val="20"/>
          <w:szCs w:val="20"/>
        </w:rPr>
        <w:t>co</w:t>
      </w:r>
      <w:r w:rsidRPr="007A0C6C">
        <w:rPr>
          <w:rFonts w:ascii="Times New Roman" w:hAnsi="Times New Roman"/>
          <w:color w:val="000000" w:themeColor="text1"/>
          <w:sz w:val="20"/>
          <w:szCs w:val="20"/>
        </w:rPr>
        <w:t>-ethyl methacrylate) in Figure 2 is a polymeric membrane acting as the immobilization matrix for Ru(bpy)</w:t>
      </w:r>
      <w:r w:rsidRPr="007A0C6C">
        <w:rPr>
          <w:rFonts w:ascii="Times New Roman" w:hAnsi="Times New Roman"/>
          <w:color w:val="000000" w:themeColor="text1"/>
          <w:sz w:val="20"/>
          <w:szCs w:val="20"/>
          <w:vertAlign w:val="subscript"/>
        </w:rPr>
        <w:t>3</w:t>
      </w:r>
      <w:r w:rsidRPr="007A0C6C">
        <w:rPr>
          <w:rFonts w:ascii="Times New Roman" w:hAnsi="Times New Roman"/>
          <w:color w:val="000000" w:themeColor="text1"/>
          <w:sz w:val="20"/>
          <w:szCs w:val="20"/>
          <w:vertAlign w:val="superscript"/>
        </w:rPr>
        <w:t>2+</w:t>
      </w:r>
      <w:r w:rsidRPr="007A0C6C">
        <w:rPr>
          <w:rFonts w:ascii="Times New Roman" w:hAnsi="Times New Roman"/>
          <w:color w:val="000000" w:themeColor="text1"/>
          <w:sz w:val="20"/>
          <w:szCs w:val="20"/>
        </w:rPr>
        <w:t xml:space="preserve">. Acrylamide (AAm) monomer is a colorless and odorless crystalline compound and soluble in water. The polymer form of AAm is usually used in the paper, textile, and water treatment industries. AAm monomer is used in polymer form in paper, textile and water treatment industries. AAm consists of the amide group </w:t>
      </w:r>
      <w:r w:rsidRPr="007A0C6C">
        <w:rPr>
          <w:rFonts w:ascii="Times New Roman" w:hAnsi="Times New Roman"/>
          <w:color w:val="000000" w:themeColor="text1"/>
          <w:sz w:val="20"/>
          <w:szCs w:val="20"/>
        </w:rPr>
        <w:lastRenderedPageBreak/>
        <w:t>and carbonyl group. The presence of amide group causes the hydrophilicity of AAm, which forms a porous structure when undergoing polymerization [6] and it can provide better absorption capacity with a reduced polymer swelling [7]. The polymerization of AAm forming a porous structure can help in water absorption. Meanwhile, ethyl methacrylate (EMA) is a colorless liquid with a pungent smell that has hydrophobic and peel-able properties. The addition of a peelable property of EMA in copolymer can give an advantage to the non-disposable electrode and is used in the modification of electrode surface such as screen-printed electrode [8]. EMA consists of the carbonyl and ester groups. In this study, AAm acts as a host monomer while EMA acts as the comonomer to form poly(arylamide-</w:t>
      </w:r>
      <w:r w:rsidRPr="007A0C6C">
        <w:rPr>
          <w:rFonts w:ascii="Times New Roman" w:hAnsi="Times New Roman"/>
          <w:i/>
          <w:color w:val="000000" w:themeColor="text1"/>
          <w:sz w:val="20"/>
          <w:szCs w:val="20"/>
        </w:rPr>
        <w:t>co</w:t>
      </w:r>
      <w:r w:rsidRPr="007A0C6C">
        <w:rPr>
          <w:rFonts w:ascii="Times New Roman" w:hAnsi="Times New Roman"/>
          <w:color w:val="000000" w:themeColor="text1"/>
          <w:sz w:val="20"/>
          <w:szCs w:val="20"/>
        </w:rPr>
        <w:t>-ethyl methacrylate) (p(AAm-co-EMA)).</w:t>
      </w:r>
      <w:r w:rsidRPr="007A0C6C">
        <w:rPr>
          <w:rFonts w:ascii="Times New Roman" w:hAnsi="Times New Roman"/>
          <w:sz w:val="20"/>
          <w:szCs w:val="20"/>
        </w:rPr>
        <w:t xml:space="preserve"> In this study, only a small ratio of EMA monomer was added to alter the hydrophilicity of copolymer. </w:t>
      </w:r>
      <w:r w:rsidRPr="007A0C6C">
        <w:rPr>
          <w:rFonts w:ascii="Times New Roman" w:hAnsi="Times New Roman"/>
          <w:color w:val="000000" w:themeColor="text1"/>
          <w:sz w:val="20"/>
          <w:szCs w:val="20"/>
        </w:rPr>
        <w:t xml:space="preserve">This was due to the increasing mass percentage of EMA monomer, which can lead to hydrophilicity disruption of membrane, making it not suitable to use as membranes in sensors [9]. </w:t>
      </w: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r w:rsidRPr="007A0C6C">
        <w:rPr>
          <w:rFonts w:ascii="Times New Roman" w:hAnsi="Times New Roman"/>
          <w:noProof/>
          <w:color w:val="000000" w:themeColor="text1"/>
          <w:sz w:val="20"/>
          <w:szCs w:val="20"/>
          <w:lang w:bidi="ar-SA"/>
        </w:rPr>
        <w:drawing>
          <wp:anchor distT="0" distB="0" distL="114300" distR="114300" simplePos="0" relativeHeight="251681280" behindDoc="0" locked="0" layoutInCell="1" allowOverlap="1" wp14:anchorId="7D32D8AA" wp14:editId="22AEE141">
            <wp:simplePos x="0" y="0"/>
            <wp:positionH relativeFrom="column">
              <wp:posOffset>1651000</wp:posOffset>
            </wp:positionH>
            <wp:positionV relativeFrom="paragraph">
              <wp:posOffset>19050</wp:posOffset>
            </wp:positionV>
            <wp:extent cx="2677160" cy="1905635"/>
            <wp:effectExtent l="0" t="0" r="8890" b="0"/>
            <wp:wrapSquare wrapText="bothSides"/>
            <wp:docPr id="3" name="Picture 3" descr="p(AAm-co-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AAm-co-EMA)"/>
                    <pic:cNvPicPr>
                      <a:picLocks noChangeAspect="1"/>
                    </pic:cNvPicPr>
                  </pic:nvPicPr>
                  <pic:blipFill>
                    <a:blip r:embed="rId12"/>
                    <a:stretch>
                      <a:fillRect/>
                    </a:stretch>
                  </pic:blipFill>
                  <pic:spPr>
                    <a:xfrm>
                      <a:off x="0" y="0"/>
                      <a:ext cx="2677160" cy="1905635"/>
                    </a:xfrm>
                    <a:prstGeom prst="rect">
                      <a:avLst/>
                    </a:prstGeom>
                  </pic:spPr>
                </pic:pic>
              </a:graphicData>
            </a:graphic>
          </wp:anchor>
        </w:drawing>
      </w: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p>
    <w:p w:rsidR="007A0C6C" w:rsidRDefault="007A0C6C" w:rsidP="007A0C6C">
      <w:pPr>
        <w:spacing w:after="0" w:line="240" w:lineRule="auto"/>
        <w:jc w:val="center"/>
        <w:outlineLvl w:val="0"/>
        <w:rPr>
          <w:rFonts w:ascii="Times New Roman" w:hAnsi="Times New Roman"/>
          <w:color w:val="000000" w:themeColor="text1"/>
          <w:sz w:val="20"/>
          <w:szCs w:val="20"/>
        </w:rPr>
      </w:pPr>
      <w:r w:rsidRPr="007A0C6C">
        <w:rPr>
          <w:rFonts w:ascii="Times New Roman" w:hAnsi="Times New Roman"/>
          <w:color w:val="000000" w:themeColor="text1"/>
          <w:sz w:val="20"/>
          <w:szCs w:val="20"/>
        </w:rPr>
        <w:t xml:space="preserve">Figure 2. </w:t>
      </w:r>
      <w:r>
        <w:rPr>
          <w:rFonts w:ascii="Times New Roman" w:hAnsi="Times New Roman"/>
          <w:color w:val="000000" w:themeColor="text1"/>
          <w:sz w:val="20"/>
          <w:szCs w:val="20"/>
        </w:rPr>
        <w:t xml:space="preserve"> </w:t>
      </w:r>
      <w:r w:rsidRPr="007A0C6C">
        <w:rPr>
          <w:rFonts w:ascii="Times New Roman" w:hAnsi="Times New Roman"/>
          <w:color w:val="000000" w:themeColor="text1"/>
          <w:sz w:val="20"/>
          <w:szCs w:val="20"/>
        </w:rPr>
        <w:t>Chemical structure of poly(acrylamide-</w:t>
      </w:r>
      <w:r w:rsidRPr="007A0C6C">
        <w:rPr>
          <w:rFonts w:ascii="Times New Roman" w:hAnsi="Times New Roman"/>
          <w:i/>
          <w:color w:val="000000" w:themeColor="text1"/>
          <w:sz w:val="20"/>
          <w:szCs w:val="20"/>
        </w:rPr>
        <w:t>co</w:t>
      </w:r>
      <w:r w:rsidRPr="007A0C6C">
        <w:rPr>
          <w:rFonts w:ascii="Times New Roman" w:hAnsi="Times New Roman"/>
          <w:color w:val="000000" w:themeColor="text1"/>
          <w:sz w:val="20"/>
          <w:szCs w:val="20"/>
        </w:rPr>
        <w:t>-ethyl methacrylate)</w:t>
      </w:r>
    </w:p>
    <w:p w:rsidR="007A0C6C" w:rsidRPr="007A0C6C" w:rsidRDefault="007A0C6C" w:rsidP="007A0C6C">
      <w:pPr>
        <w:spacing w:after="120" w:line="240" w:lineRule="auto"/>
        <w:jc w:val="both"/>
        <w:outlineLvl w:val="0"/>
        <w:rPr>
          <w:rFonts w:ascii="Times New Roman" w:hAnsi="Times New Roman"/>
          <w:color w:val="000000" w:themeColor="text1"/>
          <w:sz w:val="20"/>
          <w:szCs w:val="20"/>
        </w:rPr>
      </w:pPr>
    </w:p>
    <w:p w:rsidR="007A0C6C" w:rsidRPr="007A0C6C" w:rsidRDefault="007A0C6C" w:rsidP="007A0C6C">
      <w:pPr>
        <w:spacing w:after="0" w:line="240" w:lineRule="auto"/>
        <w:jc w:val="both"/>
        <w:outlineLvl w:val="0"/>
        <w:rPr>
          <w:rFonts w:ascii="Times New Roman" w:hAnsi="Times New Roman"/>
          <w:color w:val="000000" w:themeColor="text1"/>
          <w:sz w:val="20"/>
          <w:szCs w:val="20"/>
        </w:rPr>
      </w:pPr>
      <w:r w:rsidRPr="007A0C6C">
        <w:rPr>
          <w:rFonts w:ascii="Times New Roman" w:hAnsi="Times New Roman"/>
          <w:color w:val="000000" w:themeColor="text1"/>
          <w:sz w:val="20"/>
          <w:szCs w:val="20"/>
        </w:rPr>
        <w:t>Silver nanowires (AgNWs) are silver nanostructure with a diameter of nanometer that has electrical, optical, and thermal properties. AgNWs has the ability to increase the sensitivity of sensors three times compared to other film electrodes [10]. Furthermore, silver has s higher electric conductivity; 6.3 x 10</w:t>
      </w:r>
      <w:r w:rsidRPr="007A0C6C">
        <w:rPr>
          <w:rFonts w:ascii="Times New Roman" w:hAnsi="Times New Roman"/>
          <w:color w:val="000000" w:themeColor="text1"/>
          <w:sz w:val="20"/>
          <w:szCs w:val="20"/>
          <w:vertAlign w:val="superscript"/>
        </w:rPr>
        <w:t>7</w:t>
      </w:r>
      <w:r w:rsidRPr="007A0C6C">
        <w:rPr>
          <w:rFonts w:ascii="Times New Roman" w:hAnsi="Times New Roman"/>
          <w:color w:val="000000" w:themeColor="text1"/>
          <w:sz w:val="20"/>
          <w:szCs w:val="20"/>
        </w:rPr>
        <w:t xml:space="preserve"> S/m than other metals [11]. Besides, AgNWs was proven to replace indium tin oxide (ITO) in solar cell applications. According to Lee et al. [12], sensors fabricated from AgNWs to detect hydrogen peroxide showed an acceptable detection limit of 46 µM with a fast response time of 2 s and high sensitivity of 749 µA mM</w:t>
      </w:r>
      <w:r w:rsidRPr="007A0C6C">
        <w:rPr>
          <w:rFonts w:ascii="Times New Roman" w:hAnsi="Times New Roman"/>
          <w:color w:val="000000" w:themeColor="text1"/>
          <w:sz w:val="20"/>
          <w:szCs w:val="20"/>
          <w:vertAlign w:val="superscript"/>
        </w:rPr>
        <w:t>-1</w:t>
      </w:r>
      <w:r w:rsidRPr="007A0C6C">
        <w:rPr>
          <w:rFonts w:ascii="Times New Roman" w:hAnsi="Times New Roman"/>
          <w:color w:val="000000" w:themeColor="text1"/>
          <w:sz w:val="20"/>
          <w:szCs w:val="20"/>
        </w:rPr>
        <w:t xml:space="preserve"> cm</w:t>
      </w:r>
      <w:r w:rsidRPr="007A0C6C">
        <w:rPr>
          <w:rFonts w:ascii="Times New Roman" w:hAnsi="Times New Roman"/>
          <w:color w:val="000000" w:themeColor="text1"/>
          <w:sz w:val="20"/>
          <w:szCs w:val="20"/>
          <w:vertAlign w:val="superscript"/>
        </w:rPr>
        <w:t>-2</w:t>
      </w:r>
      <w:r w:rsidRPr="007A0C6C">
        <w:rPr>
          <w:rFonts w:ascii="Times New Roman" w:hAnsi="Times New Roman"/>
          <w:color w:val="000000" w:themeColor="text1"/>
          <w:sz w:val="20"/>
          <w:szCs w:val="20"/>
        </w:rPr>
        <w:t>. This is due to its nanostructure that assists the electron transfer and enhances the sensitivity of chemical sensor. On the other hand, Ru(bpy)</w:t>
      </w:r>
      <w:r w:rsidRPr="007A0C6C">
        <w:rPr>
          <w:rFonts w:ascii="Times New Roman" w:hAnsi="Times New Roman"/>
          <w:color w:val="000000" w:themeColor="text1"/>
          <w:sz w:val="20"/>
          <w:szCs w:val="20"/>
          <w:vertAlign w:val="subscript"/>
        </w:rPr>
        <w:t>3</w:t>
      </w:r>
      <w:r w:rsidRPr="007A0C6C">
        <w:rPr>
          <w:rFonts w:ascii="Times New Roman" w:hAnsi="Times New Roman"/>
          <w:color w:val="000000" w:themeColor="text1"/>
          <w:sz w:val="20"/>
          <w:szCs w:val="20"/>
          <w:vertAlign w:val="superscript"/>
        </w:rPr>
        <w:t>2+</w:t>
      </w:r>
      <w:r w:rsidRPr="007A0C6C">
        <w:rPr>
          <w:rFonts w:ascii="Times New Roman" w:hAnsi="Times New Roman"/>
          <w:iCs/>
          <w:sz w:val="20"/>
          <w:szCs w:val="20"/>
        </w:rPr>
        <w:t xml:space="preserve"> is one of the ruthenium complexes that can be used to detect the presence of malachite green. </w:t>
      </w:r>
      <w:r w:rsidRPr="007A0C6C">
        <w:rPr>
          <w:rFonts w:ascii="Times New Roman" w:hAnsi="Times New Roman"/>
          <w:color w:val="000000" w:themeColor="text1"/>
          <w:sz w:val="20"/>
          <w:szCs w:val="20"/>
        </w:rPr>
        <w:t>Ru(bpy)</w:t>
      </w:r>
      <w:r w:rsidRPr="007A0C6C">
        <w:rPr>
          <w:rFonts w:ascii="Times New Roman" w:hAnsi="Times New Roman"/>
          <w:color w:val="000000" w:themeColor="text1"/>
          <w:sz w:val="20"/>
          <w:szCs w:val="20"/>
          <w:vertAlign w:val="subscript"/>
        </w:rPr>
        <w:t>3</w:t>
      </w:r>
      <w:r w:rsidRPr="007A0C6C">
        <w:rPr>
          <w:rFonts w:ascii="Times New Roman" w:hAnsi="Times New Roman"/>
          <w:color w:val="000000" w:themeColor="text1"/>
          <w:sz w:val="20"/>
          <w:szCs w:val="20"/>
          <w:vertAlign w:val="superscript"/>
        </w:rPr>
        <w:t>2+</w:t>
      </w:r>
      <w:r w:rsidRPr="007A0C6C">
        <w:rPr>
          <w:rFonts w:ascii="Times New Roman" w:hAnsi="Times New Roman"/>
          <w:color w:val="000000" w:themeColor="text1"/>
          <w:sz w:val="20"/>
          <w:szCs w:val="20"/>
        </w:rPr>
        <w:t xml:space="preserve"> has reversibility properties which allows it to develop a portable yet reusable sensor</w:t>
      </w:r>
      <w:r w:rsidRPr="007A0C6C">
        <w:rPr>
          <w:rStyle w:val="CommentReference"/>
          <w:rFonts w:ascii="Times New Roman" w:hAnsi="Times New Roman"/>
          <w:sz w:val="20"/>
          <w:szCs w:val="20"/>
        </w:rPr>
        <w:t xml:space="preserve"> [13]</w:t>
      </w:r>
      <w:r w:rsidRPr="007A0C6C">
        <w:rPr>
          <w:rFonts w:ascii="Times New Roman" w:hAnsi="Times New Roman"/>
          <w:color w:val="000000" w:themeColor="text1"/>
          <w:sz w:val="20"/>
          <w:szCs w:val="20"/>
        </w:rPr>
        <w:t xml:space="preserve">. </w:t>
      </w:r>
      <w:r w:rsidRPr="007A0C6C">
        <w:rPr>
          <w:rFonts w:ascii="Times New Roman" w:hAnsi="Times New Roman"/>
          <w:iCs/>
          <w:sz w:val="20"/>
          <w:szCs w:val="20"/>
        </w:rPr>
        <w:t>Besides, its usage with malachite green can form a redox reaction as proposed by Shao et al. [14].</w:t>
      </w:r>
      <w:r w:rsidRPr="007A0C6C">
        <w:rPr>
          <w:rFonts w:ascii="Times New Roman" w:hAnsi="Times New Roman"/>
          <w:sz w:val="20"/>
          <w:szCs w:val="20"/>
        </w:rPr>
        <w:t xml:space="preserve"> </w:t>
      </w:r>
      <w:r w:rsidRPr="007A0C6C">
        <w:rPr>
          <w:rFonts w:ascii="Times New Roman" w:hAnsi="Times New Roman"/>
          <w:color w:val="000000" w:themeColor="text1"/>
          <w:sz w:val="20"/>
          <w:szCs w:val="20"/>
        </w:rPr>
        <w:t>Lan et al. [15] used the adsorption technique to immobilize Ru(bpy)</w:t>
      </w:r>
      <w:r w:rsidRPr="007A0C6C">
        <w:rPr>
          <w:rFonts w:ascii="Times New Roman" w:hAnsi="Times New Roman"/>
          <w:color w:val="000000" w:themeColor="text1"/>
          <w:sz w:val="20"/>
          <w:szCs w:val="20"/>
          <w:vertAlign w:val="subscript"/>
        </w:rPr>
        <w:t>3</w:t>
      </w:r>
      <w:r w:rsidRPr="007A0C6C">
        <w:rPr>
          <w:rFonts w:ascii="Times New Roman" w:hAnsi="Times New Roman"/>
          <w:color w:val="000000" w:themeColor="text1"/>
          <w:sz w:val="20"/>
          <w:szCs w:val="20"/>
          <w:vertAlign w:val="superscript"/>
        </w:rPr>
        <w:t>2+</w:t>
      </w:r>
      <w:r w:rsidRPr="007A0C6C">
        <w:rPr>
          <w:rFonts w:ascii="Times New Roman" w:hAnsi="Times New Roman"/>
          <w:color w:val="000000" w:themeColor="text1"/>
          <w:sz w:val="20"/>
          <w:szCs w:val="20"/>
        </w:rPr>
        <w:t xml:space="preserve"> on conducting polymer, while Liu et al. [16] and Shao et al. [14] used Ru(bpy)</w:t>
      </w:r>
      <w:r w:rsidRPr="007A0C6C">
        <w:rPr>
          <w:rFonts w:ascii="Times New Roman" w:hAnsi="Times New Roman"/>
          <w:color w:val="000000" w:themeColor="text1"/>
          <w:sz w:val="20"/>
          <w:szCs w:val="20"/>
          <w:vertAlign w:val="subscript"/>
        </w:rPr>
        <w:t>3</w:t>
      </w:r>
      <w:r w:rsidRPr="007A0C6C">
        <w:rPr>
          <w:rFonts w:ascii="Times New Roman" w:hAnsi="Times New Roman"/>
          <w:color w:val="000000" w:themeColor="text1"/>
          <w:sz w:val="20"/>
          <w:szCs w:val="20"/>
          <w:vertAlign w:val="superscript"/>
        </w:rPr>
        <w:t>2+</w:t>
      </w:r>
      <w:r w:rsidRPr="007A0C6C">
        <w:rPr>
          <w:rFonts w:ascii="Times New Roman" w:hAnsi="Times New Roman"/>
          <w:color w:val="000000" w:themeColor="text1"/>
          <w:sz w:val="20"/>
          <w:szCs w:val="20"/>
        </w:rPr>
        <w:t xml:space="preserve"> in free solution form to detect malachite green via the electrochemiluminescence technique. The presence of Ru(bpy)</w:t>
      </w:r>
      <w:r w:rsidRPr="007A0C6C">
        <w:rPr>
          <w:rFonts w:ascii="Times New Roman" w:hAnsi="Times New Roman"/>
          <w:color w:val="000000" w:themeColor="text1"/>
          <w:sz w:val="20"/>
          <w:szCs w:val="20"/>
          <w:vertAlign w:val="subscript"/>
        </w:rPr>
        <w:t>3</w:t>
      </w:r>
      <w:r w:rsidRPr="007A0C6C">
        <w:rPr>
          <w:rFonts w:ascii="Times New Roman" w:hAnsi="Times New Roman"/>
          <w:color w:val="000000" w:themeColor="text1"/>
          <w:sz w:val="20"/>
          <w:szCs w:val="20"/>
          <w:vertAlign w:val="superscript"/>
        </w:rPr>
        <w:t>2+</w:t>
      </w:r>
      <w:r w:rsidRPr="007A0C6C">
        <w:rPr>
          <w:rFonts w:ascii="Times New Roman" w:hAnsi="Times New Roman"/>
          <w:color w:val="000000" w:themeColor="text1"/>
          <w:sz w:val="20"/>
          <w:szCs w:val="20"/>
        </w:rPr>
        <w:t xml:space="preserve"> helps to produce z sensor with high sensitivity and low detection limit. Therefore, in this study, silver nanowires and Ru(bpy)</w:t>
      </w:r>
      <w:r w:rsidRPr="007A0C6C">
        <w:rPr>
          <w:rFonts w:ascii="Times New Roman" w:hAnsi="Times New Roman"/>
          <w:color w:val="000000" w:themeColor="text1"/>
          <w:sz w:val="20"/>
          <w:szCs w:val="20"/>
          <w:vertAlign w:val="subscript"/>
        </w:rPr>
        <w:t>3</w:t>
      </w:r>
      <w:r w:rsidRPr="007A0C6C">
        <w:rPr>
          <w:rFonts w:ascii="Times New Roman" w:hAnsi="Times New Roman"/>
          <w:color w:val="000000" w:themeColor="text1"/>
          <w:sz w:val="20"/>
          <w:szCs w:val="20"/>
          <w:vertAlign w:val="superscript"/>
        </w:rPr>
        <w:t>2+</w:t>
      </w:r>
      <w:r w:rsidRPr="007A0C6C">
        <w:rPr>
          <w:rFonts w:ascii="Times New Roman" w:hAnsi="Times New Roman"/>
          <w:color w:val="000000" w:themeColor="text1"/>
          <w:sz w:val="20"/>
          <w:szCs w:val="20"/>
        </w:rPr>
        <w:t xml:space="preserve"> were entrapped in the (p(AAm-</w:t>
      </w:r>
      <w:r w:rsidRPr="007A0C6C">
        <w:rPr>
          <w:rFonts w:ascii="Times New Roman" w:hAnsi="Times New Roman"/>
          <w:i/>
          <w:color w:val="000000" w:themeColor="text1"/>
          <w:sz w:val="20"/>
          <w:szCs w:val="20"/>
        </w:rPr>
        <w:t>co</w:t>
      </w:r>
      <w:r w:rsidRPr="007A0C6C">
        <w:rPr>
          <w:rFonts w:ascii="Times New Roman" w:hAnsi="Times New Roman"/>
          <w:color w:val="000000" w:themeColor="text1"/>
          <w:sz w:val="20"/>
          <w:szCs w:val="20"/>
        </w:rPr>
        <w:t>-EMA) to observe their ability to improve the sensitivity of sensors.</w:t>
      </w:r>
    </w:p>
    <w:p w:rsidR="007A0C6C" w:rsidRPr="007A0C6C" w:rsidRDefault="007A0C6C" w:rsidP="007A0C6C">
      <w:pPr>
        <w:spacing w:after="0" w:line="240" w:lineRule="auto"/>
        <w:jc w:val="center"/>
        <w:outlineLvl w:val="0"/>
        <w:rPr>
          <w:rFonts w:ascii="Times New Roman" w:hAnsi="Times New Roman"/>
          <w:b/>
          <w:sz w:val="20"/>
          <w:szCs w:val="20"/>
        </w:rPr>
      </w:pPr>
    </w:p>
    <w:p w:rsidR="007A0C6C" w:rsidRPr="007A0C6C" w:rsidRDefault="007A0C6C" w:rsidP="007A0C6C">
      <w:pPr>
        <w:spacing w:after="0" w:line="240" w:lineRule="auto"/>
        <w:jc w:val="center"/>
        <w:outlineLvl w:val="0"/>
        <w:rPr>
          <w:rFonts w:ascii="Times New Roman" w:hAnsi="Times New Roman"/>
          <w:b/>
          <w:sz w:val="20"/>
          <w:szCs w:val="20"/>
        </w:rPr>
      </w:pPr>
      <w:r w:rsidRPr="007A0C6C">
        <w:rPr>
          <w:rFonts w:ascii="Times New Roman" w:hAnsi="Times New Roman"/>
          <w:b/>
          <w:sz w:val="20"/>
          <w:szCs w:val="20"/>
        </w:rPr>
        <w:t>Materials and Methods</w:t>
      </w:r>
    </w:p>
    <w:p w:rsidR="007A0C6C" w:rsidRPr="007A0C6C" w:rsidRDefault="007A0C6C" w:rsidP="007A0C6C">
      <w:pPr>
        <w:spacing w:after="0" w:line="240" w:lineRule="auto"/>
        <w:jc w:val="both"/>
        <w:outlineLvl w:val="0"/>
        <w:rPr>
          <w:rFonts w:ascii="Times New Roman" w:hAnsi="Times New Roman"/>
          <w:b/>
          <w:iCs/>
          <w:color w:val="548DD4" w:themeColor="text2" w:themeTint="99"/>
          <w:sz w:val="20"/>
          <w:szCs w:val="20"/>
        </w:rPr>
      </w:pPr>
      <w:r w:rsidRPr="007A0C6C">
        <w:rPr>
          <w:rFonts w:ascii="Times New Roman" w:hAnsi="Times New Roman"/>
          <w:b/>
          <w:iCs/>
          <w:sz w:val="20"/>
          <w:szCs w:val="20"/>
        </w:rPr>
        <w:t>Chemicals</w:t>
      </w: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sz w:val="20"/>
          <w:szCs w:val="20"/>
        </w:rPr>
        <w:t>Chemicals used in this experiment were acrylamide (AAm), ethyl methacrylate (EMA), 2,2-dimethoxy-2-phenyl-acetophenone (DMPP) silver nanowires (AgNWs), and tris(2,2′-bipyridyl)dichloro-ruthenium(II) hexahydrate (Ru(bpy)</w:t>
      </w:r>
      <w:r w:rsidRPr="007A0C6C">
        <w:rPr>
          <w:rFonts w:ascii="Times New Roman" w:hAnsi="Times New Roman"/>
          <w:sz w:val="20"/>
          <w:szCs w:val="20"/>
          <w:vertAlign w:val="subscript"/>
        </w:rPr>
        <w:t>3</w:t>
      </w:r>
      <w:r w:rsidRPr="007A0C6C">
        <w:rPr>
          <w:rFonts w:ascii="Times New Roman" w:hAnsi="Times New Roman"/>
          <w:sz w:val="20"/>
          <w:szCs w:val="20"/>
        </w:rPr>
        <w:t>Cl</w:t>
      </w:r>
      <w:r w:rsidRPr="007A0C6C">
        <w:rPr>
          <w:rFonts w:ascii="Times New Roman" w:hAnsi="Times New Roman"/>
          <w:sz w:val="20"/>
          <w:szCs w:val="20"/>
          <w:vertAlign w:val="subscript"/>
        </w:rPr>
        <w:t>2</w:t>
      </w:r>
      <w:r w:rsidRPr="007A0C6C">
        <w:rPr>
          <w:rFonts w:ascii="Times New Roman" w:hAnsi="Times New Roman"/>
          <w:sz w:val="20"/>
          <w:szCs w:val="20"/>
        </w:rPr>
        <w:t>.6H</w:t>
      </w:r>
      <w:r w:rsidRPr="007A0C6C">
        <w:rPr>
          <w:rFonts w:ascii="Times New Roman" w:hAnsi="Times New Roman"/>
          <w:sz w:val="20"/>
          <w:szCs w:val="20"/>
          <w:vertAlign w:val="subscript"/>
        </w:rPr>
        <w:t>2</w:t>
      </w:r>
      <w:r w:rsidRPr="007A0C6C">
        <w:rPr>
          <w:rFonts w:ascii="Times New Roman" w:hAnsi="Times New Roman"/>
          <w:sz w:val="20"/>
          <w:szCs w:val="20"/>
        </w:rPr>
        <w:t>O) purchased from Sigma Aldrich. Di-potassium hydrogen phosphates (K</w:t>
      </w:r>
      <w:r w:rsidRPr="007A0C6C">
        <w:rPr>
          <w:rFonts w:ascii="Times New Roman" w:hAnsi="Times New Roman"/>
          <w:sz w:val="20"/>
          <w:szCs w:val="20"/>
          <w:vertAlign w:val="subscript"/>
        </w:rPr>
        <w:t>2</w:t>
      </w:r>
      <w:r w:rsidRPr="007A0C6C">
        <w:rPr>
          <w:rFonts w:ascii="Times New Roman" w:hAnsi="Times New Roman"/>
          <w:sz w:val="20"/>
          <w:szCs w:val="20"/>
        </w:rPr>
        <w:t>HPO</w:t>
      </w:r>
      <w:r w:rsidRPr="007A0C6C">
        <w:rPr>
          <w:rFonts w:ascii="Times New Roman" w:hAnsi="Times New Roman"/>
          <w:sz w:val="20"/>
          <w:szCs w:val="20"/>
          <w:vertAlign w:val="subscript"/>
        </w:rPr>
        <w:t>4</w:t>
      </w:r>
      <w:r w:rsidRPr="007A0C6C">
        <w:rPr>
          <w:rFonts w:ascii="Times New Roman" w:hAnsi="Times New Roman"/>
          <w:sz w:val="20"/>
          <w:szCs w:val="20"/>
        </w:rPr>
        <w:t>) and potassium dihydrogen phosphate (KH</w:t>
      </w:r>
      <w:r w:rsidRPr="007A0C6C">
        <w:rPr>
          <w:rFonts w:ascii="Times New Roman" w:hAnsi="Times New Roman"/>
          <w:sz w:val="20"/>
          <w:szCs w:val="20"/>
          <w:vertAlign w:val="subscript"/>
        </w:rPr>
        <w:t>2</w:t>
      </w:r>
      <w:r w:rsidRPr="007A0C6C">
        <w:rPr>
          <w:rFonts w:ascii="Times New Roman" w:hAnsi="Times New Roman"/>
          <w:sz w:val="20"/>
          <w:szCs w:val="20"/>
        </w:rPr>
        <w:t>PO</w:t>
      </w:r>
      <w:r w:rsidRPr="007A0C6C">
        <w:rPr>
          <w:rFonts w:ascii="Times New Roman" w:hAnsi="Times New Roman"/>
          <w:sz w:val="20"/>
          <w:szCs w:val="20"/>
          <w:vertAlign w:val="subscript"/>
        </w:rPr>
        <w:t>4</w:t>
      </w:r>
      <w:r w:rsidRPr="007A0C6C">
        <w:rPr>
          <w:rFonts w:ascii="Times New Roman" w:hAnsi="Times New Roman"/>
          <w:sz w:val="20"/>
          <w:szCs w:val="20"/>
        </w:rPr>
        <w:t>) were bought from Nacalai Tesque and malachite green (MG) from R&amp;M Chemical. Hydrochloric acid (HCl) and sodium hydroxide (NaOH) were freshly prepared in the laboratory for pH alteration of buffer. Deionized water was used in every experimental process.</w:t>
      </w:r>
    </w:p>
    <w:p w:rsidR="007A0C6C" w:rsidRDefault="007A0C6C" w:rsidP="007A0C6C">
      <w:pPr>
        <w:spacing w:after="0" w:line="240" w:lineRule="auto"/>
        <w:jc w:val="both"/>
        <w:outlineLvl w:val="0"/>
        <w:rPr>
          <w:rFonts w:ascii="Times New Roman" w:hAnsi="Times New Roman"/>
          <w:b/>
          <w:sz w:val="20"/>
          <w:szCs w:val="20"/>
        </w:rPr>
      </w:pPr>
      <w:r w:rsidRPr="007A0C6C">
        <w:rPr>
          <w:rFonts w:ascii="Times New Roman" w:hAnsi="Times New Roman"/>
          <w:b/>
          <w:sz w:val="20"/>
          <w:szCs w:val="20"/>
        </w:rPr>
        <w:t xml:space="preserve"> </w:t>
      </w:r>
    </w:p>
    <w:p w:rsidR="00472425" w:rsidRPr="007A0C6C" w:rsidRDefault="00472425"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iCs/>
          <w:sz w:val="20"/>
          <w:szCs w:val="20"/>
        </w:rPr>
      </w:pPr>
      <w:r w:rsidRPr="007A0C6C">
        <w:rPr>
          <w:rFonts w:ascii="Times New Roman" w:hAnsi="Times New Roman"/>
          <w:b/>
          <w:iCs/>
          <w:sz w:val="20"/>
          <w:szCs w:val="20"/>
        </w:rPr>
        <w:lastRenderedPageBreak/>
        <w:t>Apparatus</w:t>
      </w: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sz w:val="20"/>
          <w:szCs w:val="20"/>
        </w:rPr>
        <w:t>The structural elucidations of samples were analyzed by Perkin Elmer 400 Fourier Transform Infrared Spectroscopy (FTIR) and Bruker 400 MHz Fourier Transform Nuclear Magnetic Resonance (NMR). The micrographs and energy dispersed spectrum were obtained using Zeiss Merlin Compact Field Emission Scanning Electron Microscope (FESEM). The thermal properties of samples were analyzed by Mettler Toledo STGA/SDTA851 Thermogravimetry Analysis (TGA). The cyclic voltammogram was performed by DropSens Portable Potensiostat, µStat400, Spain.</w:t>
      </w:r>
    </w:p>
    <w:p w:rsidR="007A0C6C" w:rsidRPr="007A0C6C" w:rsidRDefault="007A0C6C" w:rsidP="007A0C6C">
      <w:pPr>
        <w:spacing w:after="0" w:line="240" w:lineRule="auto"/>
        <w:jc w:val="both"/>
        <w:outlineLvl w:val="0"/>
        <w:rPr>
          <w:rFonts w:ascii="Times New Roman" w:hAnsi="Times New Roman"/>
          <w:b/>
          <w:iCs/>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r w:rsidRPr="007A0C6C">
        <w:rPr>
          <w:rFonts w:ascii="Times New Roman" w:hAnsi="Times New Roman"/>
          <w:b/>
          <w:sz w:val="20"/>
          <w:szCs w:val="20"/>
        </w:rPr>
        <w:t>Preparation of polyacrylamide (pAAm), poly ethyl methacrylate (pEMA) and poly(acrylamide-co-ethyl methacrylate) (p(AAm-co-EMA))</w:t>
      </w:r>
    </w:p>
    <w:p w:rsidR="007A0C6C" w:rsidRPr="007A0C6C" w:rsidRDefault="007A0C6C" w:rsidP="007A0C6C">
      <w:pPr>
        <w:spacing w:after="0" w:line="240" w:lineRule="auto"/>
        <w:jc w:val="both"/>
        <w:outlineLvl w:val="0"/>
        <w:rPr>
          <w:rFonts w:ascii="Times New Roman" w:hAnsi="Times New Roman"/>
          <w:b/>
          <w:i/>
          <w:sz w:val="20"/>
          <w:szCs w:val="20"/>
        </w:rPr>
      </w:pPr>
      <w:r w:rsidRPr="007A0C6C">
        <w:rPr>
          <w:rFonts w:ascii="Times New Roman" w:hAnsi="Times New Roman"/>
          <w:iCs/>
          <w:sz w:val="20"/>
          <w:szCs w:val="20"/>
        </w:rPr>
        <w:t>Acrylamide solution was prepared by dissolving 1 g acrylamide, AAm and 0.016 g 2,2-dimethoxy-2-phenylacetophenone, (DMPP) in 885 µL of deionized water. Meanwhile, poly(acrylamide-</w:t>
      </w:r>
      <w:r w:rsidRPr="007A0C6C">
        <w:rPr>
          <w:rFonts w:ascii="Times New Roman" w:hAnsi="Times New Roman"/>
          <w:i/>
          <w:iCs/>
          <w:sz w:val="20"/>
          <w:szCs w:val="20"/>
        </w:rPr>
        <w:t>co</w:t>
      </w:r>
      <w:r w:rsidRPr="007A0C6C">
        <w:rPr>
          <w:rFonts w:ascii="Times New Roman" w:hAnsi="Times New Roman"/>
          <w:iCs/>
          <w:sz w:val="20"/>
          <w:szCs w:val="20"/>
        </w:rPr>
        <w:t>-ethyl methacrylate), p(AAm-</w:t>
      </w:r>
      <w:r w:rsidRPr="007A0C6C">
        <w:rPr>
          <w:rFonts w:ascii="Times New Roman" w:hAnsi="Times New Roman"/>
          <w:i/>
          <w:iCs/>
          <w:sz w:val="20"/>
          <w:szCs w:val="20"/>
        </w:rPr>
        <w:t>co</w:t>
      </w:r>
      <w:r w:rsidRPr="007A0C6C">
        <w:rPr>
          <w:rFonts w:ascii="Times New Roman" w:hAnsi="Times New Roman"/>
          <w:iCs/>
          <w:sz w:val="20"/>
          <w:szCs w:val="20"/>
        </w:rPr>
        <w:t>-EMA) was prepared with the ratio 9:1 by dissolving 0.9 g AAm and 0.016 g DMPP into 796 µL deionized water and 109 µL ethyl methacrylate (EMA). Poly ethyl methacrylate p(EMA)</w:t>
      </w:r>
      <w:r w:rsidRPr="007A0C6C">
        <w:rPr>
          <w:rStyle w:val="CommentReference"/>
          <w:rFonts w:ascii="Times New Roman" w:hAnsi="Times New Roman"/>
          <w:sz w:val="20"/>
          <w:szCs w:val="20"/>
        </w:rPr>
        <w:t xml:space="preserve"> was</w:t>
      </w:r>
      <w:r w:rsidRPr="007A0C6C">
        <w:rPr>
          <w:rFonts w:ascii="Times New Roman" w:hAnsi="Times New Roman"/>
          <w:iCs/>
          <w:sz w:val="20"/>
          <w:szCs w:val="20"/>
        </w:rPr>
        <w:t xml:space="preserve"> also prepared by dissolving 0.016 g DMPP into 1091 µL EMA. All three solutions were placed into a sonicator at the temperature range from 30 to 35 °C for about 30 minutes. Membranes were formed after coating 50 µL of each solution on the plastic lids and exposed to ultraviolet in the presence of nitrogen for 10 minutes. These methods referred to</w:t>
      </w:r>
      <w:r w:rsidRPr="007A0C6C">
        <w:rPr>
          <w:rStyle w:val="CommentReference"/>
          <w:rFonts w:ascii="Times New Roman" w:hAnsi="Times New Roman"/>
          <w:sz w:val="20"/>
          <w:szCs w:val="20"/>
        </w:rPr>
        <w:t xml:space="preserve"> Ro</w:t>
      </w:r>
      <w:r w:rsidRPr="007A0C6C">
        <w:rPr>
          <w:rFonts w:ascii="Times New Roman" w:hAnsi="Times New Roman"/>
          <w:iCs/>
          <w:sz w:val="20"/>
          <w:szCs w:val="20"/>
        </w:rPr>
        <w:t>zi et al. [9].</w:t>
      </w:r>
    </w:p>
    <w:p w:rsidR="007A0C6C" w:rsidRPr="007A0C6C" w:rsidRDefault="007A0C6C" w:rsidP="007A0C6C">
      <w:pPr>
        <w:spacing w:after="0" w:line="240" w:lineRule="auto"/>
        <w:jc w:val="both"/>
        <w:outlineLvl w:val="0"/>
        <w:rPr>
          <w:rFonts w:ascii="Times New Roman" w:hAnsi="Times New Roman"/>
          <w:b/>
          <w:i/>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r w:rsidRPr="007A0C6C">
        <w:rPr>
          <w:rFonts w:ascii="Times New Roman" w:hAnsi="Times New Roman"/>
          <w:b/>
          <w:sz w:val="20"/>
          <w:szCs w:val="20"/>
        </w:rPr>
        <w:t>Swelling test</w:t>
      </w:r>
    </w:p>
    <w:p w:rsidR="007A0C6C" w:rsidRPr="007A0C6C" w:rsidRDefault="007A0C6C" w:rsidP="007A0C6C">
      <w:pPr>
        <w:spacing w:after="0" w:line="240" w:lineRule="auto"/>
        <w:jc w:val="both"/>
        <w:outlineLvl w:val="0"/>
        <w:rPr>
          <w:rFonts w:ascii="Times New Roman" w:hAnsi="Times New Roman"/>
          <w:iCs/>
          <w:sz w:val="20"/>
          <w:szCs w:val="20"/>
        </w:rPr>
      </w:pPr>
      <w:r w:rsidRPr="007A0C6C">
        <w:rPr>
          <w:rFonts w:ascii="Times New Roman" w:hAnsi="Times New Roman"/>
          <w:iCs/>
          <w:sz w:val="20"/>
          <w:szCs w:val="20"/>
        </w:rPr>
        <w:t>The p(AAm-</w:t>
      </w:r>
      <w:r w:rsidRPr="007A0C6C">
        <w:rPr>
          <w:rFonts w:ascii="Times New Roman" w:hAnsi="Times New Roman"/>
          <w:i/>
          <w:iCs/>
          <w:sz w:val="20"/>
          <w:szCs w:val="20"/>
        </w:rPr>
        <w:t>co</w:t>
      </w:r>
      <w:r w:rsidRPr="007A0C6C">
        <w:rPr>
          <w:rFonts w:ascii="Times New Roman" w:hAnsi="Times New Roman"/>
          <w:iCs/>
          <w:sz w:val="20"/>
          <w:szCs w:val="20"/>
        </w:rPr>
        <w:t>-EMA) and p(AAm-</w:t>
      </w:r>
      <w:r w:rsidRPr="007A0C6C">
        <w:rPr>
          <w:rFonts w:ascii="Times New Roman" w:hAnsi="Times New Roman"/>
          <w:i/>
          <w:sz w:val="20"/>
          <w:szCs w:val="20"/>
        </w:rPr>
        <w:t>co</w:t>
      </w:r>
      <w:r w:rsidRPr="007A0C6C">
        <w:rPr>
          <w:rFonts w:ascii="Times New Roman" w:hAnsi="Times New Roman"/>
          <w:iCs/>
          <w:sz w:val="20"/>
          <w:szCs w:val="20"/>
        </w:rPr>
        <w:t>-EMA)/AgNWs films were immersed in separated petri dishes that contained 10 mL distilled water at room temperature. For every 2 minutes, the membranes were taken out and dried with a tissue before the weight of the swollen membrane was recorded. The swelling percentages were calculated using Equation</w:t>
      </w:r>
      <w:r w:rsidRPr="007A0C6C">
        <w:rPr>
          <w:rStyle w:val="CommentReference"/>
          <w:rFonts w:ascii="Times New Roman" w:hAnsi="Times New Roman"/>
          <w:sz w:val="20"/>
          <w:szCs w:val="20"/>
        </w:rPr>
        <w:t xml:space="preserve"> 1 be</w:t>
      </w:r>
      <w:r w:rsidRPr="007A0C6C">
        <w:rPr>
          <w:rFonts w:ascii="Times New Roman" w:hAnsi="Times New Roman"/>
          <w:iCs/>
          <w:sz w:val="20"/>
          <w:szCs w:val="20"/>
        </w:rPr>
        <w:t>low.</w:t>
      </w:r>
    </w:p>
    <w:p w:rsidR="007A0C6C" w:rsidRPr="007A0C6C" w:rsidRDefault="007A0C6C" w:rsidP="007A0C6C">
      <w:pPr>
        <w:spacing w:after="0" w:line="240" w:lineRule="auto"/>
        <w:jc w:val="both"/>
        <w:outlineLvl w:val="0"/>
        <w:rPr>
          <w:rFonts w:ascii="Times New Roman" w:hAnsi="Times New Roman"/>
          <w:iCs/>
          <w:sz w:val="20"/>
          <w:szCs w:val="20"/>
        </w:rPr>
      </w:pPr>
    </w:p>
    <w:p w:rsidR="007A0C6C" w:rsidRPr="007A0C6C" w:rsidRDefault="007A0C6C" w:rsidP="007A0C6C">
      <w:pPr>
        <w:spacing w:after="0" w:line="240" w:lineRule="auto"/>
        <w:ind w:left="720" w:firstLine="720"/>
        <w:jc w:val="both"/>
        <w:outlineLvl w:val="0"/>
        <w:rPr>
          <w:rFonts w:ascii="Cambria Math" w:hAnsi="Cambria Math"/>
          <w:sz w:val="20"/>
          <w:szCs w:val="20"/>
          <w:oMath/>
        </w:rPr>
      </w:pPr>
      <m:oMath>
        <m:r>
          <m:rPr>
            <m:nor/>
          </m:rPr>
          <w:rPr>
            <w:rFonts w:ascii="Times New Roman" w:hAnsi="Times New Roman"/>
            <w:sz w:val="20"/>
            <w:szCs w:val="20"/>
          </w:rPr>
          <m:t>Swelling percentage =</m:t>
        </m:r>
        <m:f>
          <m:fPr>
            <m:ctrlPr>
              <w:rPr>
                <w:rFonts w:ascii="Cambria Math" w:hAnsi="Cambria Math"/>
                <w:iCs/>
                <w:sz w:val="20"/>
                <w:szCs w:val="20"/>
              </w:rPr>
            </m:ctrlPr>
          </m:fPr>
          <m:num>
            <m:sSub>
              <m:sSubPr>
                <m:ctrlPr>
                  <w:rPr>
                    <w:rFonts w:ascii="Cambria Math" w:hAnsi="Cambria Math"/>
                    <w:i/>
                    <w:iCs/>
                    <w:sz w:val="20"/>
                    <w:szCs w:val="20"/>
                  </w:rPr>
                </m:ctrlPr>
              </m:sSubPr>
              <m:e>
                <m:r>
                  <m:rPr>
                    <m:nor/>
                  </m:rPr>
                  <w:rPr>
                    <w:rFonts w:ascii="Times New Roman" w:hAnsi="Times New Roman"/>
                    <w:iCs/>
                    <w:sz w:val="20"/>
                    <w:szCs w:val="20"/>
                  </w:rPr>
                  <m:t>W</m:t>
                </m:r>
              </m:e>
              <m:sub>
                <m:r>
                  <m:rPr>
                    <m:nor/>
                  </m:rPr>
                  <w:rPr>
                    <w:rFonts w:ascii="Times New Roman" w:hAnsi="Times New Roman"/>
                    <w:iCs/>
                    <w:sz w:val="20"/>
                    <w:szCs w:val="20"/>
                  </w:rPr>
                  <m:t>f</m:t>
                </m:r>
              </m:sub>
            </m:sSub>
            <m:r>
              <m:rPr>
                <m:nor/>
              </m:rPr>
              <w:rPr>
                <w:rFonts w:ascii="Times New Roman" w:hAnsi="Times New Roman"/>
                <w:iCs/>
                <w:sz w:val="20"/>
                <w:szCs w:val="20"/>
              </w:rPr>
              <m:t>-</m:t>
            </m:r>
            <m:sSub>
              <m:sSubPr>
                <m:ctrlPr>
                  <w:rPr>
                    <w:rFonts w:ascii="Cambria Math" w:hAnsi="Cambria Math"/>
                    <w:i/>
                    <w:iCs/>
                    <w:sz w:val="20"/>
                    <w:szCs w:val="20"/>
                  </w:rPr>
                </m:ctrlPr>
              </m:sSubPr>
              <m:e>
                <m:r>
                  <m:rPr>
                    <m:nor/>
                  </m:rPr>
                  <w:rPr>
                    <w:rFonts w:ascii="Times New Roman" w:hAnsi="Times New Roman"/>
                    <w:iCs/>
                    <w:sz w:val="20"/>
                    <w:szCs w:val="20"/>
                  </w:rPr>
                  <m:t>W</m:t>
                </m:r>
              </m:e>
              <m:sub>
                <m:r>
                  <m:rPr>
                    <m:nor/>
                  </m:rPr>
                  <w:rPr>
                    <w:rFonts w:ascii="Times New Roman" w:hAnsi="Times New Roman"/>
                    <w:iCs/>
                    <w:sz w:val="20"/>
                    <w:szCs w:val="20"/>
                  </w:rPr>
                  <m:t>i</m:t>
                </m:r>
              </m:sub>
            </m:sSub>
          </m:num>
          <m:den>
            <m:sSub>
              <m:sSubPr>
                <m:ctrlPr>
                  <w:rPr>
                    <w:rFonts w:ascii="Cambria Math" w:hAnsi="Cambria Math"/>
                    <w:i/>
                    <w:iCs/>
                    <w:sz w:val="20"/>
                    <w:szCs w:val="20"/>
                  </w:rPr>
                </m:ctrlPr>
              </m:sSubPr>
              <m:e>
                <m:r>
                  <m:rPr>
                    <m:nor/>
                  </m:rPr>
                  <w:rPr>
                    <w:rFonts w:ascii="Times New Roman" w:hAnsi="Times New Roman"/>
                    <w:iCs/>
                    <w:sz w:val="20"/>
                    <w:szCs w:val="20"/>
                  </w:rPr>
                  <m:t>W</m:t>
                </m:r>
              </m:e>
              <m:sub>
                <m:r>
                  <m:rPr>
                    <m:nor/>
                  </m:rPr>
                  <w:rPr>
                    <w:rFonts w:ascii="Times New Roman" w:hAnsi="Times New Roman"/>
                    <w:iCs/>
                    <w:sz w:val="20"/>
                    <w:szCs w:val="20"/>
                  </w:rPr>
                  <m:t>i</m:t>
                </m:r>
              </m:sub>
            </m:sSub>
          </m:den>
        </m:f>
        <m:r>
          <m:rPr>
            <m:nor/>
          </m:rPr>
          <w:rPr>
            <w:rFonts w:ascii="Times New Roman" w:hAnsi="Times New Roman"/>
            <w:sz w:val="20"/>
            <w:szCs w:val="20"/>
          </w:rPr>
          <m:t>×100 %</m:t>
        </m:r>
      </m:oMath>
      <w:r w:rsidRPr="007A0C6C">
        <w:rPr>
          <w:rFonts w:ascii="Times New Roman" w:hAnsi="Times New Roman"/>
          <w:sz w:val="20"/>
          <w:szCs w:val="20"/>
        </w:rPr>
        <w:tab/>
      </w:r>
      <w:r w:rsidRPr="007A0C6C">
        <w:rPr>
          <w:rFonts w:ascii="Times New Roman" w:hAnsi="Times New Roman"/>
          <w:sz w:val="20"/>
          <w:szCs w:val="20"/>
        </w:rPr>
        <w:tab/>
      </w:r>
      <w:r w:rsidRPr="007A0C6C">
        <w:rPr>
          <w:rFonts w:ascii="Times New Roman" w:hAnsi="Times New Roman"/>
          <w:sz w:val="20"/>
          <w:szCs w:val="20"/>
        </w:rPr>
        <w:tab/>
      </w:r>
      <w:r w:rsidRPr="007A0C6C">
        <w:rPr>
          <w:rFonts w:ascii="Times New Roman" w:hAnsi="Times New Roman"/>
          <w:sz w:val="20"/>
          <w:szCs w:val="20"/>
        </w:rPr>
        <w:tab/>
      </w:r>
      <w:r w:rsidRPr="007A0C6C">
        <w:rPr>
          <w:rFonts w:ascii="Times New Roman" w:hAnsi="Times New Roman"/>
          <w:sz w:val="20"/>
          <w:szCs w:val="20"/>
        </w:rPr>
        <w:tab/>
      </w:r>
      <w:r w:rsidRPr="007A0C6C">
        <w:rPr>
          <w:rFonts w:ascii="Times New Roman" w:hAnsi="Times New Roman"/>
          <w:sz w:val="20"/>
          <w:szCs w:val="20"/>
        </w:rPr>
        <w:tab/>
        <w:t xml:space="preserve">    </w:t>
      </w:r>
      <w:r>
        <w:rPr>
          <w:rFonts w:ascii="Times New Roman" w:hAnsi="Times New Roman"/>
          <w:sz w:val="20"/>
          <w:szCs w:val="20"/>
        </w:rPr>
        <w:t xml:space="preserve">     </w:t>
      </w:r>
      <w:r w:rsidRPr="007A0C6C">
        <w:rPr>
          <w:rFonts w:ascii="Times New Roman" w:hAnsi="Times New Roman"/>
          <w:sz w:val="20"/>
          <w:szCs w:val="20"/>
        </w:rPr>
        <w:t>(1)</w:t>
      </w:r>
    </w:p>
    <w:p w:rsidR="007A0C6C" w:rsidRPr="007A0C6C" w:rsidRDefault="007A0C6C" w:rsidP="007A0C6C">
      <w:pPr>
        <w:spacing w:after="0" w:line="240" w:lineRule="auto"/>
        <w:jc w:val="both"/>
        <w:outlineLvl w:val="0"/>
        <w:rPr>
          <w:rFonts w:ascii="Times New Roman" w:hAnsi="Times New Roman"/>
          <w:iCs/>
          <w:sz w:val="20"/>
          <w:szCs w:val="20"/>
        </w:rPr>
      </w:pPr>
    </w:p>
    <w:p w:rsidR="007A0C6C" w:rsidRPr="007A0C6C" w:rsidRDefault="007A0C6C" w:rsidP="007A0C6C">
      <w:pPr>
        <w:spacing w:after="0" w:line="240" w:lineRule="auto"/>
        <w:jc w:val="both"/>
        <w:outlineLvl w:val="0"/>
        <w:rPr>
          <w:rFonts w:ascii="Times New Roman" w:hAnsi="Times New Roman"/>
          <w:iCs/>
          <w:sz w:val="20"/>
          <w:szCs w:val="20"/>
        </w:rPr>
      </w:pPr>
      <w:r>
        <w:rPr>
          <w:rFonts w:ascii="Times New Roman" w:hAnsi="Times New Roman"/>
          <w:iCs/>
          <w:sz w:val="20"/>
          <w:szCs w:val="20"/>
        </w:rPr>
        <w:t>w</w:t>
      </w:r>
      <w:r w:rsidRPr="007A0C6C">
        <w:rPr>
          <w:rFonts w:ascii="Times New Roman" w:hAnsi="Times New Roman"/>
          <w:iCs/>
          <w:sz w:val="20"/>
          <w:szCs w:val="20"/>
        </w:rPr>
        <w:t>here, W</w:t>
      </w:r>
      <w:r w:rsidRPr="007A0C6C">
        <w:rPr>
          <w:rFonts w:ascii="Times New Roman" w:hAnsi="Times New Roman"/>
          <w:iCs/>
          <w:sz w:val="20"/>
          <w:szCs w:val="20"/>
          <w:vertAlign w:val="subscript"/>
        </w:rPr>
        <w:t>i</w:t>
      </w:r>
      <w:r w:rsidRPr="007A0C6C">
        <w:rPr>
          <w:rFonts w:ascii="Times New Roman" w:hAnsi="Times New Roman"/>
          <w:iCs/>
          <w:sz w:val="20"/>
          <w:szCs w:val="20"/>
        </w:rPr>
        <w:t xml:space="preserve"> is defined as initial weight of dry membranes and W</w:t>
      </w:r>
      <w:r w:rsidRPr="007A0C6C">
        <w:rPr>
          <w:rFonts w:ascii="Times New Roman" w:hAnsi="Times New Roman"/>
          <w:iCs/>
          <w:sz w:val="20"/>
          <w:szCs w:val="20"/>
          <w:vertAlign w:val="subscript"/>
        </w:rPr>
        <w:t>f</w:t>
      </w:r>
      <w:r w:rsidRPr="007A0C6C">
        <w:rPr>
          <w:rFonts w:ascii="Times New Roman" w:hAnsi="Times New Roman"/>
          <w:iCs/>
          <w:sz w:val="20"/>
          <w:szCs w:val="20"/>
        </w:rPr>
        <w:t xml:space="preserve"> is final weight of swollen membranes</w:t>
      </w:r>
    </w:p>
    <w:p w:rsidR="007A0C6C" w:rsidRPr="007A0C6C" w:rsidRDefault="007A0C6C" w:rsidP="007A0C6C">
      <w:pPr>
        <w:spacing w:after="0" w:line="240" w:lineRule="auto"/>
        <w:jc w:val="both"/>
        <w:outlineLvl w:val="0"/>
        <w:rPr>
          <w:rFonts w:ascii="Times New Roman" w:hAnsi="Times New Roman"/>
          <w:iCs/>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r w:rsidRPr="007A0C6C">
        <w:rPr>
          <w:rFonts w:ascii="Times New Roman" w:hAnsi="Times New Roman"/>
          <w:b/>
          <w:sz w:val="20"/>
          <w:szCs w:val="20"/>
        </w:rPr>
        <w:t>Preparation of membranes and nanocomposite membranes</w:t>
      </w:r>
    </w:p>
    <w:p w:rsidR="007A0C6C" w:rsidRPr="007A0C6C" w:rsidRDefault="007A0C6C" w:rsidP="007A0C6C">
      <w:pPr>
        <w:spacing w:after="0" w:line="240" w:lineRule="auto"/>
        <w:jc w:val="both"/>
        <w:outlineLvl w:val="0"/>
        <w:rPr>
          <w:rFonts w:ascii="Times New Roman" w:hAnsi="Times New Roman"/>
          <w:iCs/>
          <w:sz w:val="20"/>
          <w:szCs w:val="20"/>
        </w:rPr>
      </w:pPr>
      <w:r w:rsidRPr="007A0C6C">
        <w:rPr>
          <w:rFonts w:ascii="Times New Roman" w:hAnsi="Times New Roman"/>
          <w:iCs/>
          <w:sz w:val="20"/>
          <w:szCs w:val="20"/>
        </w:rPr>
        <w:t>Acrylamide/ethyl methacrylate/silver nanowires, AAm/EMA/AgNWs solution was prepared by mixing it with different volume percentages of AgNWs, which were 0.02, 0.04, 0.06, 0.08, and 0.10 % v/v into AAm/EMA solution. Meanwhile, 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 xml:space="preserve"> solution needed to be prepared first to produce poly(acrylamide-</w:t>
      </w:r>
      <w:r w:rsidRPr="007A0C6C">
        <w:rPr>
          <w:rFonts w:ascii="Times New Roman" w:hAnsi="Times New Roman"/>
          <w:i/>
          <w:iCs/>
          <w:sz w:val="20"/>
          <w:szCs w:val="20"/>
        </w:rPr>
        <w:t>co</w:t>
      </w:r>
      <w:r w:rsidRPr="007A0C6C">
        <w:rPr>
          <w:rFonts w:ascii="Times New Roman" w:hAnsi="Times New Roman"/>
          <w:iCs/>
          <w:sz w:val="20"/>
          <w:szCs w:val="20"/>
        </w:rPr>
        <w:t>-ethyl methacrylate)/ 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 p(AAm-</w:t>
      </w:r>
      <w:r w:rsidRPr="007A0C6C">
        <w:rPr>
          <w:rFonts w:ascii="Times New Roman" w:hAnsi="Times New Roman"/>
          <w:i/>
          <w:iCs/>
          <w:sz w:val="20"/>
          <w:szCs w:val="20"/>
        </w:rPr>
        <w:t>co</w:t>
      </w:r>
      <w:r w:rsidRPr="007A0C6C">
        <w:rPr>
          <w:rFonts w:ascii="Times New Roman" w:hAnsi="Times New Roman"/>
          <w:iCs/>
          <w:sz w:val="20"/>
          <w:szCs w:val="20"/>
        </w:rPr>
        <w:t>-EMA)/Ru(bpy)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 The 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 xml:space="preserve"> solution was prepared by dissolving 0.0374 g </w:t>
      </w:r>
      <w:r w:rsidRPr="007A0C6C">
        <w:rPr>
          <w:rFonts w:ascii="Times New Roman" w:hAnsi="Times New Roman"/>
          <w:sz w:val="20"/>
          <w:szCs w:val="20"/>
        </w:rPr>
        <w:t>tris(2,2′-bipyridyl)dichlororuthenium(II) hexahydrate</w:t>
      </w:r>
      <w:r w:rsidRPr="007A0C6C">
        <w:rPr>
          <w:rFonts w:ascii="Times New Roman" w:hAnsi="Times New Roman"/>
          <w:iCs/>
          <w:sz w:val="20"/>
          <w:szCs w:val="20"/>
        </w:rPr>
        <w:t xml:space="preserve"> into 5 mL of deionized water. Different volume percentages of 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 xml:space="preserve"> solution, which were 0.5, 1.0, 1.5, 2.0, and 2.5 %v/v, were mixed with AAm/EMA solution. Poly(acrylamide-</w:t>
      </w:r>
      <w:r w:rsidRPr="007A0C6C">
        <w:rPr>
          <w:rFonts w:ascii="Times New Roman" w:hAnsi="Times New Roman"/>
          <w:i/>
          <w:iCs/>
          <w:sz w:val="20"/>
          <w:szCs w:val="20"/>
        </w:rPr>
        <w:t>co</w:t>
      </w:r>
      <w:r w:rsidRPr="007A0C6C">
        <w:rPr>
          <w:rFonts w:ascii="Times New Roman" w:hAnsi="Times New Roman"/>
          <w:iCs/>
          <w:sz w:val="20"/>
          <w:szCs w:val="20"/>
        </w:rPr>
        <w:t>-ethyl methacrylate)/Ru(bpy)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/silver nanowires, p(AAm-</w:t>
      </w:r>
      <w:r w:rsidRPr="007A0C6C">
        <w:rPr>
          <w:rFonts w:ascii="Times New Roman" w:hAnsi="Times New Roman"/>
          <w:i/>
          <w:iCs/>
          <w:sz w:val="20"/>
          <w:szCs w:val="20"/>
        </w:rPr>
        <w:t>co</w:t>
      </w:r>
      <w:r w:rsidRPr="007A0C6C">
        <w:rPr>
          <w:rFonts w:ascii="Times New Roman" w:hAnsi="Times New Roman"/>
          <w:iCs/>
          <w:sz w:val="20"/>
          <w:szCs w:val="20"/>
        </w:rPr>
        <w:t>-EMA)/Ru(bpy)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 AgNWs were prepared by mixing AAm/EMA solution with the optimized volume percentage of AgNWs and 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 xml:space="preserve">. All the three solutions were placed on screen-printed electrodes at 5 µL each. Screen-printed carbon electrodes coated with the solutions were polymerized under nitrogen gas flow </w:t>
      </w:r>
      <w:r w:rsidRPr="007A0C6C">
        <w:rPr>
          <w:rStyle w:val="CommentReference"/>
          <w:rFonts w:ascii="Times New Roman" w:hAnsi="Times New Roman"/>
          <w:sz w:val="20"/>
          <w:szCs w:val="20"/>
        </w:rPr>
        <w:t>f</w:t>
      </w:r>
      <w:r w:rsidRPr="007A0C6C">
        <w:rPr>
          <w:rFonts w:ascii="Times New Roman" w:hAnsi="Times New Roman"/>
          <w:iCs/>
          <w:sz w:val="20"/>
          <w:szCs w:val="20"/>
        </w:rPr>
        <w:t>or 10 minutes and later used as working electrodes for the electrochemical analysis.</w:t>
      </w:r>
    </w:p>
    <w:p w:rsidR="007A0C6C" w:rsidRPr="007A0C6C" w:rsidRDefault="007A0C6C" w:rsidP="007A0C6C">
      <w:pPr>
        <w:spacing w:after="0" w:line="240" w:lineRule="auto"/>
        <w:jc w:val="both"/>
        <w:outlineLvl w:val="0"/>
        <w:rPr>
          <w:rFonts w:ascii="Times New Roman" w:hAnsi="Times New Roman"/>
          <w:b/>
          <w:iCs/>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r w:rsidRPr="007A0C6C">
        <w:rPr>
          <w:rFonts w:ascii="Times New Roman" w:hAnsi="Times New Roman"/>
          <w:b/>
          <w:sz w:val="20"/>
          <w:szCs w:val="20"/>
        </w:rPr>
        <w:t>Preparation of electrochemical analysis</w:t>
      </w:r>
    </w:p>
    <w:p w:rsidR="007A0C6C" w:rsidRPr="007A0C6C" w:rsidRDefault="007A0C6C" w:rsidP="007A0C6C">
      <w:pPr>
        <w:spacing w:after="0" w:line="240" w:lineRule="auto"/>
        <w:jc w:val="both"/>
        <w:outlineLvl w:val="0"/>
        <w:rPr>
          <w:rFonts w:ascii="Times New Roman" w:hAnsi="Times New Roman"/>
          <w:iCs/>
          <w:sz w:val="20"/>
          <w:szCs w:val="20"/>
        </w:rPr>
      </w:pPr>
      <w:r w:rsidRPr="007A0C6C">
        <w:rPr>
          <w:rFonts w:ascii="Times New Roman" w:hAnsi="Times New Roman"/>
          <w:iCs/>
          <w:sz w:val="20"/>
          <w:szCs w:val="20"/>
        </w:rPr>
        <w:t>Firstly, 0.1 M pH 7 phosphate buffer solution and 1×10</w:t>
      </w:r>
      <w:r w:rsidRPr="007A0C6C">
        <w:rPr>
          <w:rFonts w:ascii="Times New Roman" w:hAnsi="Times New Roman"/>
          <w:iCs/>
          <w:sz w:val="20"/>
          <w:szCs w:val="20"/>
          <w:vertAlign w:val="superscript"/>
        </w:rPr>
        <w:t xml:space="preserve">-5 </w:t>
      </w:r>
      <w:r w:rsidRPr="007A0C6C">
        <w:rPr>
          <w:rFonts w:ascii="Times New Roman" w:hAnsi="Times New Roman"/>
          <w:iCs/>
          <w:sz w:val="20"/>
          <w:szCs w:val="20"/>
        </w:rPr>
        <w:t>M MG solution were prepared for electrochemical analysis. The buffer solution was prepared by mixing 49.9 mL dipotassium</w:t>
      </w:r>
      <w:r w:rsidRPr="007A0C6C">
        <w:rPr>
          <w:rStyle w:val="CommentReference"/>
          <w:rFonts w:ascii="Times New Roman" w:hAnsi="Times New Roman"/>
          <w:sz w:val="20"/>
          <w:szCs w:val="20"/>
        </w:rPr>
        <w:t xml:space="preserve"> h</w:t>
      </w:r>
      <w:r w:rsidRPr="007A0C6C">
        <w:rPr>
          <w:rFonts w:ascii="Times New Roman" w:hAnsi="Times New Roman"/>
          <w:iCs/>
          <w:sz w:val="20"/>
          <w:szCs w:val="20"/>
        </w:rPr>
        <w:t>ydrogen phosphate solution (K</w:t>
      </w:r>
      <w:r w:rsidRPr="007A0C6C">
        <w:rPr>
          <w:rFonts w:ascii="Times New Roman" w:hAnsi="Times New Roman"/>
          <w:iCs/>
          <w:sz w:val="20"/>
          <w:szCs w:val="20"/>
          <w:vertAlign w:val="subscript"/>
        </w:rPr>
        <w:t>2</w:t>
      </w:r>
      <w:r w:rsidRPr="007A0C6C">
        <w:rPr>
          <w:rFonts w:ascii="Times New Roman" w:hAnsi="Times New Roman"/>
          <w:iCs/>
          <w:sz w:val="20"/>
          <w:szCs w:val="20"/>
        </w:rPr>
        <w:t>HPO</w:t>
      </w:r>
      <w:r w:rsidRPr="007A0C6C">
        <w:rPr>
          <w:rFonts w:ascii="Times New Roman" w:hAnsi="Times New Roman"/>
          <w:iCs/>
          <w:sz w:val="20"/>
          <w:szCs w:val="20"/>
          <w:vertAlign w:val="subscript"/>
        </w:rPr>
        <w:t>4</w:t>
      </w:r>
      <w:r w:rsidRPr="007A0C6C">
        <w:rPr>
          <w:rFonts w:ascii="Times New Roman" w:hAnsi="Times New Roman"/>
          <w:iCs/>
          <w:sz w:val="20"/>
          <w:szCs w:val="20"/>
        </w:rPr>
        <w:t>) and 0.1 mL potassium dihydrogen phosphate (KH</w:t>
      </w:r>
      <w:r w:rsidRPr="007A0C6C">
        <w:rPr>
          <w:rFonts w:ascii="Times New Roman" w:hAnsi="Times New Roman"/>
          <w:iCs/>
          <w:sz w:val="20"/>
          <w:szCs w:val="20"/>
          <w:vertAlign w:val="subscript"/>
        </w:rPr>
        <w:t>2</w:t>
      </w:r>
      <w:r w:rsidRPr="007A0C6C">
        <w:rPr>
          <w:rFonts w:ascii="Times New Roman" w:hAnsi="Times New Roman"/>
          <w:iCs/>
          <w:sz w:val="20"/>
          <w:szCs w:val="20"/>
        </w:rPr>
        <w:t>PO</w:t>
      </w:r>
      <w:r w:rsidRPr="007A0C6C">
        <w:rPr>
          <w:rFonts w:ascii="Times New Roman" w:hAnsi="Times New Roman"/>
          <w:iCs/>
          <w:sz w:val="20"/>
          <w:szCs w:val="20"/>
          <w:vertAlign w:val="subscript"/>
        </w:rPr>
        <w:t>4</w:t>
      </w:r>
      <w:r w:rsidRPr="007A0C6C">
        <w:rPr>
          <w:rFonts w:ascii="Times New Roman" w:hAnsi="Times New Roman"/>
          <w:iCs/>
          <w:sz w:val="20"/>
          <w:szCs w:val="20"/>
        </w:rPr>
        <w:t>) in 500 mL volumetric flask and the remaining volume was filled with deionized water. The pH of phosphate buffer solution was altered by using HCl and NaOH solutions until its pH reached pH 7. Meanwhile, 1×10</w:t>
      </w:r>
      <w:r w:rsidRPr="007A0C6C">
        <w:rPr>
          <w:rFonts w:ascii="Times New Roman" w:hAnsi="Times New Roman"/>
          <w:iCs/>
          <w:sz w:val="20"/>
          <w:szCs w:val="20"/>
          <w:vertAlign w:val="superscript"/>
        </w:rPr>
        <w:t xml:space="preserve">-5 </w:t>
      </w:r>
      <w:r w:rsidRPr="007A0C6C">
        <w:rPr>
          <w:rFonts w:ascii="Times New Roman" w:hAnsi="Times New Roman"/>
          <w:iCs/>
          <w:sz w:val="20"/>
          <w:szCs w:val="20"/>
        </w:rPr>
        <w:t>M MG solution was prepared by diluting 100 µL of 1×10</w:t>
      </w:r>
      <w:r w:rsidRPr="007A0C6C">
        <w:rPr>
          <w:rFonts w:ascii="Times New Roman" w:hAnsi="Times New Roman"/>
          <w:iCs/>
          <w:sz w:val="20"/>
          <w:szCs w:val="20"/>
          <w:vertAlign w:val="superscript"/>
        </w:rPr>
        <w:t xml:space="preserve">-3 </w:t>
      </w:r>
      <w:r w:rsidRPr="007A0C6C">
        <w:rPr>
          <w:rFonts w:ascii="Times New Roman" w:hAnsi="Times New Roman"/>
          <w:iCs/>
          <w:sz w:val="20"/>
          <w:szCs w:val="20"/>
        </w:rPr>
        <w:t>M MG in a 10 mL volumetric flask. Both solutions were fixed to be used as analyte solution. Then, a voltammetric cell was prepared by arranging three electrodes, which were working electrode, reference electrode, and auxiliary electrode, in a triangular form. The working electrode used was screen-printed carbon electrode coated with poly(acrylamide-</w:t>
      </w:r>
      <w:r w:rsidRPr="007A0C6C">
        <w:rPr>
          <w:rFonts w:ascii="Times New Roman" w:hAnsi="Times New Roman"/>
          <w:i/>
          <w:iCs/>
          <w:sz w:val="20"/>
          <w:szCs w:val="20"/>
        </w:rPr>
        <w:t>co</w:t>
      </w:r>
      <w:r w:rsidRPr="007A0C6C">
        <w:rPr>
          <w:rFonts w:ascii="Times New Roman" w:hAnsi="Times New Roman"/>
          <w:iCs/>
          <w:sz w:val="20"/>
          <w:szCs w:val="20"/>
        </w:rPr>
        <w:t>-ethyl methacrylate)/ 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/silver nanowires, p(AAm-</w:t>
      </w:r>
      <w:r w:rsidRPr="007A0C6C">
        <w:rPr>
          <w:rFonts w:ascii="Times New Roman" w:hAnsi="Times New Roman"/>
          <w:i/>
          <w:iCs/>
          <w:sz w:val="20"/>
          <w:szCs w:val="20"/>
        </w:rPr>
        <w:t>co</w:t>
      </w:r>
      <w:r w:rsidRPr="007A0C6C">
        <w:rPr>
          <w:rFonts w:ascii="Times New Roman" w:hAnsi="Times New Roman"/>
          <w:iCs/>
          <w:sz w:val="20"/>
          <w:szCs w:val="20"/>
        </w:rPr>
        <w:t>-EMA)/Ru(bpy)</w:t>
      </w:r>
      <w:r w:rsidRPr="007A0C6C">
        <w:rPr>
          <w:rFonts w:ascii="Times New Roman" w:hAnsi="Times New Roman"/>
          <w:iCs/>
          <w:sz w:val="20"/>
          <w:szCs w:val="20"/>
          <w:vertAlign w:val="subscript"/>
        </w:rPr>
        <w:t>3</w:t>
      </w:r>
      <w:r w:rsidRPr="007A0C6C">
        <w:rPr>
          <w:rFonts w:ascii="Times New Roman" w:hAnsi="Times New Roman"/>
          <w:iCs/>
          <w:sz w:val="20"/>
          <w:szCs w:val="20"/>
          <w:vertAlign w:val="superscript"/>
        </w:rPr>
        <w:t>2+</w:t>
      </w:r>
      <w:r w:rsidRPr="007A0C6C">
        <w:rPr>
          <w:rFonts w:ascii="Times New Roman" w:hAnsi="Times New Roman"/>
          <w:iCs/>
          <w:sz w:val="20"/>
          <w:szCs w:val="20"/>
        </w:rPr>
        <w:t xml:space="preserve">/AgNWs. The reference electrode </w:t>
      </w:r>
      <w:r w:rsidRPr="007A0C6C">
        <w:rPr>
          <w:rFonts w:ascii="Times New Roman" w:hAnsi="Times New Roman"/>
          <w:iCs/>
          <w:sz w:val="20"/>
          <w:szCs w:val="20"/>
        </w:rPr>
        <w:lastRenderedPageBreak/>
        <w:t xml:space="preserve">used was silver/silver chloride (Ag/AgCl) electrode and the auxiliary was glassy carbon electrode. The voltage range used was -1.5 V to 1.5 V with a scan rate of 0.1 V/s.   </w:t>
      </w:r>
    </w:p>
    <w:p w:rsidR="00AC0033" w:rsidRPr="00F447A7" w:rsidRDefault="00AC0033" w:rsidP="007A0C6C">
      <w:pPr>
        <w:spacing w:after="0" w:line="240" w:lineRule="auto"/>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A0C6C" w:rsidRPr="007A0C6C" w:rsidRDefault="007A0C6C" w:rsidP="007A0C6C">
      <w:pPr>
        <w:spacing w:after="0" w:line="240" w:lineRule="auto"/>
        <w:jc w:val="both"/>
        <w:outlineLvl w:val="0"/>
        <w:rPr>
          <w:rFonts w:ascii="Times New Roman" w:hAnsi="Times New Roman"/>
          <w:b/>
          <w:iCs/>
          <w:sz w:val="20"/>
          <w:szCs w:val="20"/>
        </w:rPr>
      </w:pPr>
      <w:r w:rsidRPr="007A0C6C">
        <w:rPr>
          <w:rFonts w:ascii="Times New Roman" w:hAnsi="Times New Roman"/>
          <w:b/>
          <w:iCs/>
          <w:sz w:val="20"/>
          <w:szCs w:val="20"/>
        </w:rPr>
        <w:t xml:space="preserve">Fourier transform infra-red spectroscopy analysis </w:t>
      </w: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sz w:val="20"/>
          <w:szCs w:val="20"/>
        </w:rPr>
        <w:t>Figure 3 shows FTIR spectrum for polyacrylamide, pAAm, poly ethyl methacrylate, pEMA and poly(acrylamide-</w:t>
      </w:r>
      <w:r w:rsidRPr="007A0C6C">
        <w:rPr>
          <w:rFonts w:ascii="Times New Roman" w:hAnsi="Times New Roman"/>
          <w:i/>
          <w:sz w:val="20"/>
          <w:szCs w:val="20"/>
        </w:rPr>
        <w:t>co</w:t>
      </w:r>
      <w:r w:rsidRPr="007A0C6C">
        <w:rPr>
          <w:rFonts w:ascii="Times New Roman" w:hAnsi="Times New Roman"/>
          <w:sz w:val="20"/>
          <w:szCs w:val="20"/>
        </w:rPr>
        <w:t>-ethyl methacrylate), p(AAm-</w:t>
      </w:r>
      <w:r w:rsidRPr="007A0C6C">
        <w:rPr>
          <w:rFonts w:ascii="Times New Roman" w:hAnsi="Times New Roman"/>
          <w:i/>
          <w:sz w:val="20"/>
          <w:szCs w:val="20"/>
        </w:rPr>
        <w:t>co</w:t>
      </w:r>
      <w:r w:rsidRPr="007A0C6C">
        <w:rPr>
          <w:rFonts w:ascii="Times New Roman" w:hAnsi="Times New Roman"/>
          <w:sz w:val="20"/>
          <w:szCs w:val="20"/>
        </w:rPr>
        <w:t>-EMA).</w:t>
      </w:r>
    </w:p>
    <w:p w:rsidR="007A0C6C" w:rsidRPr="007A0C6C" w:rsidRDefault="007A0C6C" w:rsidP="007A0C6C">
      <w:pPr>
        <w:spacing w:after="12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b/>
          <w:i/>
          <w:iCs/>
          <w:noProof/>
          <w:sz w:val="20"/>
          <w:szCs w:val="20"/>
          <w:lang w:bidi="ar-SA"/>
        </w:rPr>
        <w:drawing>
          <wp:anchor distT="0" distB="0" distL="114300" distR="114300" simplePos="0" relativeHeight="251698688" behindDoc="0" locked="0" layoutInCell="1" allowOverlap="1" wp14:anchorId="53037FBA" wp14:editId="4847D870">
            <wp:simplePos x="0" y="0"/>
            <wp:positionH relativeFrom="column">
              <wp:posOffset>1241425</wp:posOffset>
            </wp:positionH>
            <wp:positionV relativeFrom="paragraph">
              <wp:posOffset>10160</wp:posOffset>
            </wp:positionV>
            <wp:extent cx="3388360" cy="2748915"/>
            <wp:effectExtent l="0" t="0" r="2540" b="0"/>
            <wp:wrapSquare wrapText="bothSides"/>
            <wp:docPr id="4" name="Picture 4" descr="C:\Users\User\Pictures\ftir-polymer.pngftir-poly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User\Pictures\ftir-polymer.pngftir-polymer"/>
                    <pic:cNvPicPr>
                      <a:picLocks noChangeAspect="1"/>
                    </pic:cNvPicPr>
                  </pic:nvPicPr>
                  <pic:blipFill>
                    <a:blip r:embed="rId13"/>
                    <a:srcRect/>
                    <a:stretch>
                      <a:fillRect/>
                    </a:stretch>
                  </pic:blipFill>
                  <pic:spPr>
                    <a:xfrm>
                      <a:off x="0" y="0"/>
                      <a:ext cx="3388360" cy="2748915"/>
                    </a:xfrm>
                    <a:prstGeom prst="rect">
                      <a:avLst/>
                    </a:prstGeom>
                  </pic:spPr>
                </pic:pic>
              </a:graphicData>
            </a:graphic>
            <wp14:sizeRelH relativeFrom="margin">
              <wp14:pctWidth>0</wp14:pctWidth>
            </wp14:sizeRelH>
            <wp14:sizeRelV relativeFrom="margin">
              <wp14:pctHeight>0</wp14:pctHeight>
            </wp14:sizeRelV>
          </wp:anchor>
        </w:drawing>
      </w: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b/>
          <w:i/>
          <w:iCs/>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before="120" w:after="0" w:line="240" w:lineRule="auto"/>
        <w:jc w:val="center"/>
        <w:outlineLvl w:val="0"/>
        <w:rPr>
          <w:rFonts w:ascii="Times New Roman" w:hAnsi="Times New Roman"/>
          <w:sz w:val="20"/>
          <w:szCs w:val="20"/>
        </w:rPr>
      </w:pPr>
      <w:r w:rsidRPr="007A0C6C">
        <w:rPr>
          <w:rFonts w:ascii="Times New Roman" w:hAnsi="Times New Roman"/>
          <w:sz w:val="20"/>
          <w:szCs w:val="20"/>
        </w:rPr>
        <w:t xml:space="preserve">Figure 3. </w:t>
      </w:r>
      <w:r>
        <w:rPr>
          <w:rFonts w:ascii="Times New Roman" w:hAnsi="Times New Roman"/>
          <w:sz w:val="20"/>
          <w:szCs w:val="20"/>
        </w:rPr>
        <w:t xml:space="preserve"> </w:t>
      </w:r>
      <w:r w:rsidRPr="007A0C6C">
        <w:rPr>
          <w:rFonts w:ascii="Times New Roman" w:hAnsi="Times New Roman"/>
          <w:sz w:val="20"/>
          <w:szCs w:val="20"/>
        </w:rPr>
        <w:t>FTIR spectrum from (a) pAAm (b) pEMA and (c) p(AAm-</w:t>
      </w:r>
      <w:r w:rsidRPr="007A0C6C">
        <w:rPr>
          <w:rFonts w:ascii="Times New Roman" w:hAnsi="Times New Roman"/>
          <w:i/>
          <w:iCs/>
          <w:sz w:val="20"/>
          <w:szCs w:val="20"/>
        </w:rPr>
        <w:t>co</w:t>
      </w:r>
      <w:r w:rsidRPr="007A0C6C">
        <w:rPr>
          <w:rFonts w:ascii="Times New Roman" w:hAnsi="Times New Roman"/>
          <w:sz w:val="20"/>
          <w:szCs w:val="20"/>
        </w:rPr>
        <w:t>-EMA)</w:t>
      </w:r>
    </w:p>
    <w:p w:rsidR="007A0C6C" w:rsidRPr="007A0C6C" w:rsidRDefault="007A0C6C" w:rsidP="007A0C6C">
      <w:pPr>
        <w:spacing w:after="120" w:line="240" w:lineRule="auto"/>
        <w:jc w:val="both"/>
        <w:outlineLvl w:val="0"/>
        <w:rPr>
          <w:rFonts w:ascii="Times New Roman" w:hAnsi="Times New Roman"/>
          <w:sz w:val="20"/>
          <w:szCs w:val="20"/>
        </w:rPr>
      </w:pPr>
    </w:p>
    <w:p w:rsidR="007A0C6C" w:rsidRPr="007A0C6C" w:rsidRDefault="007A0C6C" w:rsidP="007A0C6C">
      <w:pPr>
        <w:tabs>
          <w:tab w:val="left" w:pos="3261"/>
        </w:tabs>
        <w:spacing w:after="0" w:line="240" w:lineRule="auto"/>
        <w:jc w:val="both"/>
        <w:outlineLvl w:val="0"/>
        <w:rPr>
          <w:rFonts w:ascii="Times New Roman" w:hAnsi="Times New Roman"/>
          <w:sz w:val="20"/>
          <w:szCs w:val="20"/>
        </w:rPr>
      </w:pPr>
      <w:r w:rsidRPr="007A0C6C">
        <w:rPr>
          <w:rFonts w:ascii="Times New Roman" w:hAnsi="Times New Roman"/>
          <w:sz w:val="20"/>
          <w:szCs w:val="20"/>
        </w:rPr>
        <w:t>From Figure 3, pAAm showed strong bands at 3337 cm</w:t>
      </w:r>
      <w:r w:rsidRPr="007A0C6C">
        <w:rPr>
          <w:rFonts w:ascii="Times New Roman" w:hAnsi="Times New Roman"/>
          <w:sz w:val="20"/>
          <w:szCs w:val="20"/>
          <w:vertAlign w:val="superscript"/>
        </w:rPr>
        <w:t>-1</w:t>
      </w:r>
      <w:r w:rsidRPr="007A0C6C">
        <w:rPr>
          <w:rFonts w:ascii="Times New Roman" w:hAnsi="Times New Roman"/>
          <w:sz w:val="20"/>
          <w:szCs w:val="20"/>
        </w:rPr>
        <w:t>, 3194 cm</w:t>
      </w:r>
      <w:r w:rsidRPr="007A0C6C">
        <w:rPr>
          <w:rFonts w:ascii="Times New Roman" w:hAnsi="Times New Roman"/>
          <w:sz w:val="20"/>
          <w:szCs w:val="20"/>
          <w:vertAlign w:val="superscript"/>
        </w:rPr>
        <w:t>-1</w:t>
      </w:r>
      <w:r w:rsidRPr="007A0C6C">
        <w:rPr>
          <w:rFonts w:ascii="Times New Roman" w:hAnsi="Times New Roman"/>
          <w:sz w:val="20"/>
          <w:szCs w:val="20"/>
        </w:rPr>
        <w:t>, 1655 cm</w:t>
      </w:r>
      <w:r w:rsidRPr="007A0C6C">
        <w:rPr>
          <w:rFonts w:ascii="Times New Roman" w:hAnsi="Times New Roman"/>
          <w:sz w:val="20"/>
          <w:szCs w:val="20"/>
          <w:vertAlign w:val="superscript"/>
        </w:rPr>
        <w:t>-1</w:t>
      </w:r>
      <w:r w:rsidRPr="007A0C6C">
        <w:rPr>
          <w:rFonts w:ascii="Times New Roman" w:hAnsi="Times New Roman"/>
          <w:sz w:val="20"/>
          <w:szCs w:val="20"/>
        </w:rPr>
        <w:t>, and 1607 cm</w:t>
      </w:r>
      <w:r w:rsidRPr="007A0C6C">
        <w:rPr>
          <w:rFonts w:ascii="Times New Roman" w:hAnsi="Times New Roman"/>
          <w:sz w:val="20"/>
          <w:szCs w:val="20"/>
          <w:vertAlign w:val="superscript"/>
        </w:rPr>
        <w:t>-1</w:t>
      </w:r>
      <w:r w:rsidRPr="007A0C6C">
        <w:rPr>
          <w:rFonts w:ascii="Times New Roman" w:hAnsi="Times New Roman"/>
          <w:sz w:val="20"/>
          <w:szCs w:val="20"/>
        </w:rPr>
        <w:t>, due to N-H stretching, C=O stretching, and N-H bending, respectively. The N-H stretching showed two peaks because of the primary amide [17]. Meanwhile, pEMA displayed strong bands at wavenumbers 1720 cm</w:t>
      </w:r>
      <w:r w:rsidRPr="007A0C6C">
        <w:rPr>
          <w:rFonts w:ascii="Times New Roman" w:hAnsi="Times New Roman"/>
          <w:sz w:val="20"/>
          <w:szCs w:val="20"/>
          <w:vertAlign w:val="superscript"/>
        </w:rPr>
        <w:t>-1</w:t>
      </w:r>
      <w:r w:rsidRPr="007A0C6C">
        <w:rPr>
          <w:rFonts w:ascii="Times New Roman" w:hAnsi="Times New Roman"/>
          <w:sz w:val="20"/>
          <w:szCs w:val="20"/>
        </w:rPr>
        <w:t xml:space="preserve"> and 1143 cm</w:t>
      </w:r>
      <w:r w:rsidRPr="007A0C6C">
        <w:rPr>
          <w:rFonts w:ascii="Times New Roman" w:hAnsi="Times New Roman"/>
          <w:sz w:val="20"/>
          <w:szCs w:val="20"/>
          <w:vertAlign w:val="superscript"/>
        </w:rPr>
        <w:t>-1</w:t>
      </w:r>
      <w:r w:rsidRPr="007A0C6C">
        <w:rPr>
          <w:rFonts w:ascii="Times New Roman" w:hAnsi="Times New Roman"/>
          <w:sz w:val="20"/>
          <w:szCs w:val="20"/>
        </w:rPr>
        <w:t>, due to C=O stretching and C-O stretching. The p(AAm-</w:t>
      </w:r>
      <w:r w:rsidRPr="007A0C6C">
        <w:rPr>
          <w:rFonts w:ascii="Times New Roman" w:hAnsi="Times New Roman"/>
          <w:i/>
          <w:sz w:val="20"/>
          <w:szCs w:val="20"/>
        </w:rPr>
        <w:t>co</w:t>
      </w:r>
      <w:r w:rsidRPr="007A0C6C">
        <w:rPr>
          <w:rFonts w:ascii="Times New Roman" w:hAnsi="Times New Roman"/>
          <w:sz w:val="20"/>
          <w:szCs w:val="20"/>
        </w:rPr>
        <w:t>-EMA) spectrum also revealed strong bands at wavenumbers 3355 cm</w:t>
      </w:r>
      <w:r w:rsidRPr="007A0C6C">
        <w:rPr>
          <w:rFonts w:ascii="Times New Roman" w:hAnsi="Times New Roman"/>
          <w:sz w:val="20"/>
          <w:szCs w:val="20"/>
          <w:vertAlign w:val="superscript"/>
        </w:rPr>
        <w:t>-1</w:t>
      </w:r>
      <w:r w:rsidRPr="007A0C6C">
        <w:rPr>
          <w:rFonts w:ascii="Times New Roman" w:hAnsi="Times New Roman"/>
          <w:sz w:val="20"/>
          <w:szCs w:val="20"/>
        </w:rPr>
        <w:t>, 3201 cm</w:t>
      </w:r>
      <w:r w:rsidRPr="007A0C6C">
        <w:rPr>
          <w:rFonts w:ascii="Times New Roman" w:hAnsi="Times New Roman"/>
          <w:sz w:val="20"/>
          <w:szCs w:val="20"/>
          <w:vertAlign w:val="superscript"/>
        </w:rPr>
        <w:t>-1</w:t>
      </w:r>
      <w:r w:rsidRPr="007A0C6C">
        <w:rPr>
          <w:rFonts w:ascii="Times New Roman" w:hAnsi="Times New Roman"/>
          <w:sz w:val="20"/>
          <w:szCs w:val="20"/>
        </w:rPr>
        <w:t>, 1655 cm</w:t>
      </w:r>
      <w:r w:rsidRPr="007A0C6C">
        <w:rPr>
          <w:rFonts w:ascii="Times New Roman" w:hAnsi="Times New Roman"/>
          <w:sz w:val="20"/>
          <w:szCs w:val="20"/>
          <w:vertAlign w:val="superscript"/>
        </w:rPr>
        <w:t>-1</w:t>
      </w:r>
      <w:r w:rsidRPr="007A0C6C">
        <w:rPr>
          <w:rFonts w:ascii="Times New Roman" w:hAnsi="Times New Roman"/>
          <w:sz w:val="20"/>
          <w:szCs w:val="20"/>
        </w:rPr>
        <w:t>, and 1611 cm</w:t>
      </w:r>
      <w:r w:rsidRPr="007A0C6C">
        <w:rPr>
          <w:rFonts w:ascii="Times New Roman" w:hAnsi="Times New Roman"/>
          <w:sz w:val="20"/>
          <w:szCs w:val="20"/>
          <w:vertAlign w:val="superscript"/>
        </w:rPr>
        <w:t>-1</w:t>
      </w:r>
      <w:r w:rsidRPr="007A0C6C">
        <w:rPr>
          <w:rFonts w:ascii="Times New Roman" w:hAnsi="Times New Roman"/>
          <w:sz w:val="20"/>
          <w:szCs w:val="20"/>
        </w:rPr>
        <w:t>, due to N-H stretching, C=O stretching, and N-H bending, respectively, which indicated the presence of AAm and EMA. Furthermore, the small peak at wavenumber 1136 cm</w:t>
      </w:r>
      <w:r w:rsidRPr="007A0C6C">
        <w:rPr>
          <w:rFonts w:ascii="Times New Roman" w:hAnsi="Times New Roman"/>
          <w:sz w:val="20"/>
          <w:szCs w:val="20"/>
          <w:vertAlign w:val="superscript"/>
        </w:rPr>
        <w:t>-1</w:t>
      </w:r>
      <w:r w:rsidRPr="007A0C6C">
        <w:rPr>
          <w:rFonts w:ascii="Times New Roman" w:hAnsi="Times New Roman"/>
          <w:sz w:val="20"/>
          <w:szCs w:val="20"/>
        </w:rPr>
        <w:t xml:space="preserve"> due to C-O stretching also indicated the presence of EMA. It was found that these spectra were comparable to the findings reported by Ain et al. [18]. These functional groups can be confirmed by NMR spectra. </w:t>
      </w: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b/>
          <w:iCs/>
          <w:sz w:val="20"/>
          <w:szCs w:val="20"/>
        </w:rPr>
      </w:pPr>
      <w:r w:rsidRPr="007A0C6C">
        <w:rPr>
          <w:rFonts w:ascii="Times New Roman" w:hAnsi="Times New Roman"/>
          <w:b/>
          <w:iCs/>
          <w:sz w:val="20"/>
          <w:szCs w:val="20"/>
          <w:vertAlign w:val="superscript"/>
        </w:rPr>
        <w:t>1</w:t>
      </w:r>
      <w:r w:rsidRPr="007A0C6C">
        <w:rPr>
          <w:rFonts w:ascii="Times New Roman" w:hAnsi="Times New Roman"/>
          <w:b/>
          <w:iCs/>
          <w:sz w:val="20"/>
          <w:szCs w:val="20"/>
        </w:rPr>
        <w:t>H nuclear magnetic resonance spectroscopy</w:t>
      </w: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sz w:val="20"/>
          <w:szCs w:val="20"/>
        </w:rPr>
        <w:t xml:space="preserve">Figure 4 shows the </w:t>
      </w:r>
      <w:r w:rsidRPr="007A0C6C">
        <w:rPr>
          <w:rFonts w:ascii="Times New Roman" w:hAnsi="Times New Roman"/>
          <w:sz w:val="20"/>
          <w:szCs w:val="20"/>
          <w:vertAlign w:val="superscript"/>
        </w:rPr>
        <w:t>1</w:t>
      </w:r>
      <w:r w:rsidRPr="007A0C6C">
        <w:rPr>
          <w:rFonts w:ascii="Times New Roman" w:hAnsi="Times New Roman"/>
          <w:sz w:val="20"/>
          <w:szCs w:val="20"/>
        </w:rPr>
        <w:t>H NMR spectrum for polyacrylamide, pAAm and poly(acrylamide-</w:t>
      </w:r>
      <w:r w:rsidRPr="007A0C6C">
        <w:rPr>
          <w:rFonts w:ascii="Times New Roman" w:hAnsi="Times New Roman"/>
          <w:i/>
          <w:sz w:val="20"/>
          <w:szCs w:val="20"/>
        </w:rPr>
        <w:t>co</w:t>
      </w:r>
      <w:r w:rsidRPr="007A0C6C">
        <w:rPr>
          <w:rFonts w:ascii="Times New Roman" w:hAnsi="Times New Roman"/>
          <w:sz w:val="20"/>
          <w:szCs w:val="20"/>
        </w:rPr>
        <w:t>-ethyl methacrylate), p(AAm-</w:t>
      </w:r>
      <w:r w:rsidRPr="007A0C6C">
        <w:rPr>
          <w:rFonts w:ascii="Times New Roman" w:hAnsi="Times New Roman"/>
          <w:i/>
          <w:sz w:val="20"/>
          <w:szCs w:val="20"/>
        </w:rPr>
        <w:t>co</w:t>
      </w:r>
      <w:r w:rsidRPr="007A0C6C">
        <w:rPr>
          <w:rFonts w:ascii="Times New Roman" w:hAnsi="Times New Roman"/>
          <w:sz w:val="20"/>
          <w:szCs w:val="20"/>
        </w:rPr>
        <w:t>-EMA). NMR spectroscopy was used to analyze the content in the sample and its molecular struc</w:t>
      </w:r>
      <w:r>
        <w:rPr>
          <w:rFonts w:ascii="Times New Roman" w:hAnsi="Times New Roman"/>
          <w:sz w:val="20"/>
          <w:szCs w:val="20"/>
        </w:rPr>
        <w:t>ture by nuclear spin transition.</w:t>
      </w:r>
    </w:p>
    <w:p w:rsidR="007A0C6C" w:rsidRP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472425" w:rsidRPr="007A0C6C" w:rsidRDefault="00472425"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noProof/>
          <w:sz w:val="20"/>
          <w:szCs w:val="20"/>
          <w:lang w:bidi="ar-SA"/>
        </w:rPr>
        <w:lastRenderedPageBreak/>
        <w:drawing>
          <wp:anchor distT="0" distB="0" distL="114300" distR="114300" simplePos="0" relativeHeight="251687424" behindDoc="0" locked="0" layoutInCell="1" allowOverlap="1" wp14:anchorId="2309088A" wp14:editId="2C995F44">
            <wp:simplePos x="0" y="0"/>
            <wp:positionH relativeFrom="column">
              <wp:posOffset>994410</wp:posOffset>
            </wp:positionH>
            <wp:positionV relativeFrom="paragraph">
              <wp:posOffset>88900</wp:posOffset>
            </wp:positionV>
            <wp:extent cx="3895090" cy="2378710"/>
            <wp:effectExtent l="19050" t="19050" r="10160" b="21590"/>
            <wp:wrapSquare wrapText="bothSides"/>
            <wp:docPr id="8" name="Picture 8" descr="1h nmr-paam-edi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1h nmr-paam-edit-1"/>
                    <pic:cNvPicPr>
                      <a:picLocks noChangeAspect="1"/>
                    </pic:cNvPicPr>
                  </pic:nvPicPr>
                  <pic:blipFill>
                    <a:blip r:embed="rId14"/>
                    <a:stretch>
                      <a:fillRect/>
                    </a:stretch>
                  </pic:blipFill>
                  <pic:spPr>
                    <a:xfrm>
                      <a:off x="0" y="0"/>
                      <a:ext cx="3895090" cy="237871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r w:rsidRPr="007A0C6C">
        <w:rPr>
          <w:rFonts w:ascii="Times New Roman" w:hAnsi="Times New Roman"/>
          <w:noProof/>
          <w:sz w:val="20"/>
          <w:szCs w:val="20"/>
          <w:lang w:bidi="ar-SA"/>
        </w:rPr>
        <mc:AlternateContent>
          <mc:Choice Requires="wps">
            <w:drawing>
              <wp:anchor distT="0" distB="0" distL="114300" distR="114300" simplePos="0" relativeHeight="251688448" behindDoc="0" locked="0" layoutInCell="1" allowOverlap="1" wp14:anchorId="1AA197F2" wp14:editId="444EEDE3">
                <wp:simplePos x="0" y="0"/>
                <wp:positionH relativeFrom="column">
                  <wp:posOffset>4426796</wp:posOffset>
                </wp:positionH>
                <wp:positionV relativeFrom="paragraph">
                  <wp:posOffset>83820</wp:posOffset>
                </wp:positionV>
                <wp:extent cx="457200" cy="313690"/>
                <wp:effectExtent l="0" t="0" r="0" b="0"/>
                <wp:wrapNone/>
                <wp:docPr id="9" name="Text Box 9"/>
                <wp:cNvGraphicFramePr/>
                <a:graphic xmlns:a="http://schemas.openxmlformats.org/drawingml/2006/main">
                  <a:graphicData uri="http://schemas.microsoft.com/office/word/2010/wordprocessingShape">
                    <wps:wsp>
                      <wps:cNvSpPr txBox="1"/>
                      <wps:spPr>
                        <a:xfrm>
                          <a:off x="0" y="0"/>
                          <a:ext cx="457200" cy="3136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A0C6C" w:rsidRDefault="007A0C6C" w:rsidP="007A0C6C">
                            <w:pPr>
                              <w:jc w:val="right"/>
                              <w:rPr>
                                <w:rFonts w:ascii="Times New Roman" w:hAnsi="Times New Roman"/>
                              </w:rPr>
                            </w:pPr>
                            <w:r>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 Box 9" o:spid="_x0000_s1027" type="#_x0000_t202" style="position:absolute;left:0;text-align:left;margin-left:348.55pt;margin-top:6.6pt;width:36pt;height:24.7pt;z-index:25168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" filled="f" stroked="f" strokeweight=".5pt">
                <v:textbox>
                  <w:txbxContent>
                    <w:p w:rsidR="007A0C6C" w:rsidRDefault="007A0C6C" w:rsidP="007A0C6C">
                      <w:pPr>
                        <w:jc w:val="right"/>
                        <w:rPr>
                          <w:rFonts w:ascii="Times New Roman" w:hAnsi="Times New Roman"/>
                        </w:rPr>
                      </w:pPr>
                      <w:r>
                        <w:rPr>
                          <w:rFonts w:ascii="Times New Roman" w:hAnsi="Times New Roman"/>
                        </w:rPr>
                        <w:t>(a)</w:t>
                      </w:r>
                    </w:p>
                  </w:txbxContent>
                </v:textbox>
              </v:shape>
            </w:pict>
          </mc:Fallback>
        </mc:AlternateContent>
      </w: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noProof/>
          <w:sz w:val="20"/>
          <w:szCs w:val="20"/>
          <w:lang w:bidi="ar-SA"/>
        </w:rPr>
        <mc:AlternateContent>
          <mc:Choice Requires="wps">
            <w:drawing>
              <wp:anchor distT="0" distB="0" distL="114300" distR="114300" simplePos="0" relativeHeight="251690496" behindDoc="0" locked="0" layoutInCell="1" allowOverlap="1" wp14:anchorId="08F2442D" wp14:editId="512E1650">
                <wp:simplePos x="0" y="0"/>
                <wp:positionH relativeFrom="column">
                  <wp:posOffset>4521200</wp:posOffset>
                </wp:positionH>
                <wp:positionV relativeFrom="paragraph">
                  <wp:posOffset>119591</wp:posOffset>
                </wp:positionV>
                <wp:extent cx="361950" cy="238125"/>
                <wp:effectExtent l="0" t="0" r="0" b="9525"/>
                <wp:wrapNone/>
                <wp:docPr id="16" name="Text Box 16"/>
                <wp:cNvGraphicFramePr/>
                <a:graphic xmlns:a="http://schemas.openxmlformats.org/drawingml/2006/main">
                  <a:graphicData uri="http://schemas.microsoft.com/office/word/2010/wordprocessingShape">
                    <wps:wsp>
                      <wps:cNvSpPr txBox="1"/>
                      <wps:spPr>
                        <a:xfrm>
                          <a:off x="0" y="0"/>
                          <a:ext cx="361950"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A0C6C" w:rsidRDefault="007A0C6C" w:rsidP="007A0C6C">
                            <w:pPr>
                              <w:jc w:val="right"/>
                              <w:rPr>
                                <w:rFonts w:ascii="Times New Roman" w:hAnsi="Times New Roman"/>
                              </w:rPr>
                            </w:pPr>
                            <w:r>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6" o:spid="_x0000_s1028" type="#_x0000_t202" style="position:absolute;left:0;text-align:left;margin-left:356pt;margin-top:9.4pt;width:28.5pt;height:18.75pt;z-index:25169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" filled="f" stroked="f" strokeweight=".5pt">
                <v:textbox>
                  <w:txbxContent>
                    <w:p w:rsidR="007A0C6C" w:rsidRDefault="007A0C6C" w:rsidP="007A0C6C">
                      <w:pPr>
                        <w:jc w:val="right"/>
                        <w:rPr>
                          <w:rFonts w:ascii="Times New Roman" w:hAnsi="Times New Roman"/>
                        </w:rPr>
                      </w:pPr>
                      <w:r>
                        <w:rPr>
                          <w:rFonts w:ascii="Times New Roman" w:hAnsi="Times New Roman"/>
                        </w:rPr>
                        <w:t>(b)</w:t>
                      </w:r>
                    </w:p>
                  </w:txbxContent>
                </v:textbox>
              </v:shape>
            </w:pict>
          </mc:Fallback>
        </mc:AlternateContent>
      </w:r>
      <w:r w:rsidRPr="007A0C6C">
        <w:rPr>
          <w:rFonts w:ascii="Times New Roman" w:hAnsi="Times New Roman"/>
          <w:noProof/>
          <w:sz w:val="20"/>
          <w:szCs w:val="20"/>
          <w:lang w:bidi="ar-SA"/>
        </w:rPr>
        <w:drawing>
          <wp:anchor distT="0" distB="0" distL="114300" distR="114300" simplePos="0" relativeHeight="251689472" behindDoc="0" locked="0" layoutInCell="1" allowOverlap="1" wp14:anchorId="701ADC18" wp14:editId="517A672C">
            <wp:simplePos x="0" y="0"/>
            <wp:positionH relativeFrom="column">
              <wp:posOffset>1025737</wp:posOffset>
            </wp:positionH>
            <wp:positionV relativeFrom="paragraph">
              <wp:posOffset>78952</wp:posOffset>
            </wp:positionV>
            <wp:extent cx="3895725" cy="2560955"/>
            <wp:effectExtent l="19050" t="19050" r="28575" b="10795"/>
            <wp:wrapSquare wrapText="bothSides"/>
            <wp:docPr id="13" name="Picture 13" descr="1h nmr-paam-co-pema-edi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1h nmr-paam-co-pema-edit-1"/>
                    <pic:cNvPicPr>
                      <a:picLocks noChangeAspect="1"/>
                    </pic:cNvPicPr>
                  </pic:nvPicPr>
                  <pic:blipFill>
                    <a:blip r:embed="rId15"/>
                    <a:stretch>
                      <a:fillRect/>
                    </a:stretch>
                  </pic:blipFill>
                  <pic:spPr>
                    <a:xfrm>
                      <a:off x="0" y="0"/>
                      <a:ext cx="3895725" cy="2560955"/>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center"/>
        <w:outlineLvl w:val="0"/>
        <w:rPr>
          <w:rFonts w:ascii="Times New Roman" w:hAnsi="Times New Roman"/>
          <w:sz w:val="20"/>
          <w:szCs w:val="20"/>
        </w:rPr>
      </w:pPr>
      <w:r w:rsidRPr="007A0C6C">
        <w:rPr>
          <w:rFonts w:ascii="Times New Roman" w:hAnsi="Times New Roman"/>
          <w:sz w:val="20"/>
          <w:szCs w:val="20"/>
        </w:rPr>
        <w:t>Figure 4.</w:t>
      </w:r>
      <w:r>
        <w:rPr>
          <w:rFonts w:ascii="Times New Roman" w:hAnsi="Times New Roman"/>
          <w:sz w:val="20"/>
          <w:szCs w:val="20"/>
        </w:rPr>
        <w:t xml:space="preserve"> </w:t>
      </w:r>
      <w:r w:rsidRPr="007A0C6C">
        <w:rPr>
          <w:rFonts w:ascii="Times New Roman" w:hAnsi="Times New Roman"/>
          <w:sz w:val="20"/>
          <w:szCs w:val="20"/>
        </w:rPr>
        <w:t xml:space="preserve"> </w:t>
      </w:r>
      <w:r w:rsidRPr="007A0C6C">
        <w:rPr>
          <w:rFonts w:ascii="Times New Roman" w:hAnsi="Times New Roman"/>
          <w:sz w:val="20"/>
          <w:szCs w:val="20"/>
          <w:vertAlign w:val="superscript"/>
        </w:rPr>
        <w:t>1</w:t>
      </w:r>
      <w:r w:rsidRPr="007A0C6C">
        <w:rPr>
          <w:rFonts w:ascii="Times New Roman" w:hAnsi="Times New Roman"/>
          <w:sz w:val="20"/>
          <w:szCs w:val="20"/>
        </w:rPr>
        <w:t>H NMR spectrum of (a) pAAm and (b) p(AAm-</w:t>
      </w:r>
      <w:r w:rsidRPr="007A0C6C">
        <w:rPr>
          <w:rFonts w:ascii="Times New Roman" w:hAnsi="Times New Roman"/>
          <w:i/>
          <w:iCs/>
          <w:sz w:val="20"/>
          <w:szCs w:val="20"/>
        </w:rPr>
        <w:t>co</w:t>
      </w:r>
      <w:r w:rsidRPr="007A0C6C">
        <w:rPr>
          <w:rFonts w:ascii="Times New Roman" w:hAnsi="Times New Roman"/>
          <w:sz w:val="20"/>
          <w:szCs w:val="20"/>
        </w:rPr>
        <w:t>-EMA)</w:t>
      </w:r>
    </w:p>
    <w:p w:rsidR="007A0C6C" w:rsidRPr="007A0C6C" w:rsidRDefault="007A0C6C" w:rsidP="007A0C6C">
      <w:pPr>
        <w:spacing w:after="12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sz w:val="20"/>
          <w:szCs w:val="20"/>
        </w:rPr>
        <w:t>The presence of peaks at chemical shifts 6.9 ppm and 7.9 ppm in pAAm spectrum indicated that the primary amide group can also be seen in p(AAm-</w:t>
      </w:r>
      <w:r w:rsidRPr="007A0C6C">
        <w:rPr>
          <w:rFonts w:ascii="Times New Roman" w:hAnsi="Times New Roman"/>
          <w:i/>
          <w:sz w:val="20"/>
          <w:szCs w:val="20"/>
        </w:rPr>
        <w:t>co</w:t>
      </w:r>
      <w:r w:rsidRPr="007A0C6C">
        <w:rPr>
          <w:rFonts w:ascii="Times New Roman" w:hAnsi="Times New Roman"/>
          <w:sz w:val="20"/>
          <w:szCs w:val="20"/>
        </w:rPr>
        <w:t>-EMA) at chemical shifts 6.9 ppm and 7.7 ppm. The two peaks appeared in the spectrum because of the quadrupole broadening of amide group resonance. Furthermore, the nonequivalence of hydrogen on nitrogen happened due to restricted rotation [17]. Besides, the peaks at 2.2 ppm until 2.3 ppm and 1.6 ppm until 1.9 ppm indicated tertiary alkyl group and secondary alkyl group respectively, which represented AAm in p(AAm-</w:t>
      </w:r>
      <w:r w:rsidRPr="007A0C6C">
        <w:rPr>
          <w:rFonts w:ascii="Times New Roman" w:hAnsi="Times New Roman"/>
          <w:i/>
          <w:sz w:val="20"/>
          <w:szCs w:val="20"/>
        </w:rPr>
        <w:t>co</w:t>
      </w:r>
      <w:r w:rsidRPr="007A0C6C">
        <w:rPr>
          <w:rFonts w:ascii="Times New Roman" w:hAnsi="Times New Roman"/>
          <w:sz w:val="20"/>
          <w:szCs w:val="20"/>
        </w:rPr>
        <w:t>-EMA). Meanwhile, the peak at 4.2 ppm that indicated the ester group showed the presence of EMA in p(AAm-</w:t>
      </w:r>
      <w:r w:rsidRPr="007A0C6C">
        <w:rPr>
          <w:rFonts w:ascii="Times New Roman" w:hAnsi="Times New Roman"/>
          <w:i/>
          <w:sz w:val="20"/>
          <w:szCs w:val="20"/>
        </w:rPr>
        <w:t>co</w:t>
      </w:r>
      <w:r w:rsidRPr="007A0C6C">
        <w:rPr>
          <w:rFonts w:ascii="Times New Roman" w:hAnsi="Times New Roman"/>
          <w:sz w:val="20"/>
          <w:szCs w:val="20"/>
        </w:rPr>
        <w:t>-EMA). According to Pavia et al. [17], the desheilding effect occurred due to the electronegativity of oxygen atom attached to the carbon, while the peak split into a quartet because the ester group was part of a long polymer chain. The peaks for the primary alkyl group can be seen at chemical shift 1.1 ppm until 1.3 ppm because its hydrogens were a highly shielded type of proton and also showed the presence of EMA in p(AAm-</w:t>
      </w:r>
      <w:r w:rsidRPr="007A0C6C">
        <w:rPr>
          <w:rFonts w:ascii="Times New Roman" w:hAnsi="Times New Roman"/>
          <w:i/>
          <w:sz w:val="20"/>
          <w:szCs w:val="20"/>
        </w:rPr>
        <w:t>co</w:t>
      </w:r>
      <w:r w:rsidRPr="007A0C6C">
        <w:rPr>
          <w:rFonts w:ascii="Times New Roman" w:hAnsi="Times New Roman"/>
          <w:sz w:val="20"/>
          <w:szCs w:val="20"/>
        </w:rPr>
        <w:t>-EMA). These peaks corroborated the FTIR spectra and proved the photopolymerization of p(AAm-</w:t>
      </w:r>
      <w:r w:rsidRPr="007A0C6C">
        <w:rPr>
          <w:rFonts w:ascii="Times New Roman" w:hAnsi="Times New Roman"/>
          <w:i/>
          <w:sz w:val="20"/>
          <w:szCs w:val="20"/>
        </w:rPr>
        <w:t>co</w:t>
      </w:r>
      <w:r w:rsidRPr="007A0C6C">
        <w:rPr>
          <w:rFonts w:ascii="Times New Roman" w:hAnsi="Times New Roman"/>
          <w:sz w:val="20"/>
          <w:szCs w:val="20"/>
        </w:rPr>
        <w:t>-EMA).</w:t>
      </w:r>
    </w:p>
    <w:p w:rsidR="002B78F0" w:rsidRDefault="002B78F0" w:rsidP="007A0C6C">
      <w:pPr>
        <w:spacing w:after="0" w:line="240" w:lineRule="auto"/>
        <w:jc w:val="both"/>
        <w:outlineLvl w:val="0"/>
        <w:rPr>
          <w:rFonts w:ascii="Times New Roman" w:hAnsi="Times New Roman"/>
          <w:sz w:val="20"/>
          <w:szCs w:val="20"/>
        </w:rPr>
      </w:pPr>
    </w:p>
    <w:p w:rsidR="00472425" w:rsidRDefault="00472425" w:rsidP="007A0C6C">
      <w:pPr>
        <w:spacing w:after="0" w:line="240" w:lineRule="auto"/>
        <w:jc w:val="both"/>
        <w:outlineLvl w:val="0"/>
        <w:rPr>
          <w:rFonts w:ascii="Times New Roman" w:hAnsi="Times New Roman"/>
          <w:sz w:val="20"/>
          <w:szCs w:val="20"/>
        </w:rPr>
      </w:pPr>
    </w:p>
    <w:p w:rsidR="00472425" w:rsidRPr="007A0C6C" w:rsidRDefault="00472425"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b/>
          <w:iCs/>
          <w:sz w:val="20"/>
          <w:szCs w:val="20"/>
        </w:rPr>
      </w:pPr>
      <w:r w:rsidRPr="007A0C6C">
        <w:rPr>
          <w:rFonts w:ascii="Times New Roman" w:hAnsi="Times New Roman"/>
          <w:b/>
          <w:iCs/>
          <w:sz w:val="20"/>
          <w:szCs w:val="20"/>
        </w:rPr>
        <w:lastRenderedPageBreak/>
        <w:t>Swelling test</w:t>
      </w: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sz w:val="20"/>
          <w:szCs w:val="20"/>
        </w:rPr>
        <w:t>Figure 5 shows the graph of swelling percentages of poly(acrylamide-</w:t>
      </w:r>
      <w:r w:rsidRPr="007A0C6C">
        <w:rPr>
          <w:rFonts w:ascii="Times New Roman" w:hAnsi="Times New Roman"/>
          <w:i/>
          <w:sz w:val="20"/>
          <w:szCs w:val="20"/>
        </w:rPr>
        <w:t>co</w:t>
      </w:r>
      <w:r w:rsidRPr="007A0C6C">
        <w:rPr>
          <w:rFonts w:ascii="Times New Roman" w:hAnsi="Times New Roman"/>
          <w:sz w:val="20"/>
          <w:szCs w:val="20"/>
        </w:rPr>
        <w:t>-ethyl methacrylate),p(AAm-</w:t>
      </w:r>
      <w:r w:rsidRPr="007A0C6C">
        <w:rPr>
          <w:rFonts w:ascii="Times New Roman" w:hAnsi="Times New Roman"/>
          <w:i/>
          <w:sz w:val="20"/>
          <w:szCs w:val="20"/>
        </w:rPr>
        <w:t>co</w:t>
      </w:r>
      <w:r w:rsidRPr="007A0C6C">
        <w:rPr>
          <w:rFonts w:ascii="Times New Roman" w:hAnsi="Times New Roman"/>
          <w:sz w:val="20"/>
          <w:szCs w:val="20"/>
        </w:rPr>
        <w:t>-EMA) and poly(acrylamide-</w:t>
      </w:r>
      <w:r w:rsidRPr="007A0C6C">
        <w:rPr>
          <w:rFonts w:ascii="Times New Roman" w:hAnsi="Times New Roman"/>
          <w:i/>
          <w:sz w:val="20"/>
          <w:szCs w:val="20"/>
        </w:rPr>
        <w:t>co</w:t>
      </w:r>
      <w:r w:rsidRPr="007A0C6C">
        <w:rPr>
          <w:rFonts w:ascii="Times New Roman" w:hAnsi="Times New Roman"/>
          <w:sz w:val="20"/>
          <w:szCs w:val="20"/>
        </w:rPr>
        <w:t>-ethyl methacrylate)/ silver nanowires, p(AAm-</w:t>
      </w:r>
      <w:r w:rsidRPr="007A0C6C">
        <w:rPr>
          <w:rFonts w:ascii="Times New Roman" w:hAnsi="Times New Roman"/>
          <w:i/>
          <w:sz w:val="20"/>
          <w:szCs w:val="20"/>
        </w:rPr>
        <w:t>co</w:t>
      </w:r>
      <w:r w:rsidRPr="007A0C6C">
        <w:rPr>
          <w:rFonts w:ascii="Times New Roman" w:hAnsi="Times New Roman"/>
          <w:sz w:val="20"/>
          <w:szCs w:val="20"/>
        </w:rPr>
        <w:t>-EMA)/AgNWs. From the figure below, it can be seen that the swelling ability for p(AAm-</w:t>
      </w:r>
      <w:r w:rsidRPr="007A0C6C">
        <w:rPr>
          <w:rFonts w:ascii="Times New Roman" w:hAnsi="Times New Roman"/>
          <w:i/>
          <w:sz w:val="20"/>
          <w:szCs w:val="20"/>
        </w:rPr>
        <w:t>co</w:t>
      </w:r>
      <w:r w:rsidRPr="007A0C6C">
        <w:rPr>
          <w:rFonts w:ascii="Times New Roman" w:hAnsi="Times New Roman"/>
          <w:sz w:val="20"/>
          <w:szCs w:val="20"/>
        </w:rPr>
        <w:t>-EMA) and p(AAm-</w:t>
      </w:r>
      <w:r w:rsidRPr="007A0C6C">
        <w:rPr>
          <w:rFonts w:ascii="Times New Roman" w:hAnsi="Times New Roman"/>
          <w:i/>
          <w:sz w:val="20"/>
          <w:szCs w:val="20"/>
        </w:rPr>
        <w:t>co</w:t>
      </w:r>
      <w:r w:rsidRPr="007A0C6C">
        <w:rPr>
          <w:rFonts w:ascii="Times New Roman" w:hAnsi="Times New Roman"/>
          <w:sz w:val="20"/>
          <w:szCs w:val="20"/>
        </w:rPr>
        <w:t>-EMA)/AgNWs had almost the same</w:t>
      </w:r>
      <w:r w:rsidRPr="007A0C6C">
        <w:rPr>
          <w:rStyle w:val="CommentReference"/>
          <w:rFonts w:ascii="Times New Roman" w:hAnsi="Times New Roman"/>
          <w:sz w:val="20"/>
          <w:szCs w:val="20"/>
        </w:rPr>
        <w:t xml:space="preserve"> pattern for</w:t>
      </w:r>
      <w:r w:rsidRPr="007A0C6C">
        <w:rPr>
          <w:rFonts w:ascii="Times New Roman" w:hAnsi="Times New Roman"/>
          <w:sz w:val="20"/>
          <w:szCs w:val="20"/>
        </w:rPr>
        <w:t xml:space="preserve"> the first 6 minutes. However, after 8 minutes, p(AAm-</w:t>
      </w:r>
      <w:r w:rsidRPr="007A0C6C">
        <w:rPr>
          <w:rFonts w:ascii="Times New Roman" w:hAnsi="Times New Roman"/>
          <w:i/>
          <w:sz w:val="20"/>
          <w:szCs w:val="20"/>
        </w:rPr>
        <w:t>co</w:t>
      </w:r>
      <w:r w:rsidRPr="007A0C6C">
        <w:rPr>
          <w:rFonts w:ascii="Times New Roman" w:hAnsi="Times New Roman"/>
          <w:sz w:val="20"/>
          <w:szCs w:val="20"/>
        </w:rPr>
        <w:t>-EMA)/AgNWs showed a lower swelling percentage compared to p(AAm-</w:t>
      </w:r>
      <w:r w:rsidRPr="007A0C6C">
        <w:rPr>
          <w:rFonts w:ascii="Times New Roman" w:hAnsi="Times New Roman"/>
          <w:i/>
          <w:sz w:val="20"/>
          <w:szCs w:val="20"/>
        </w:rPr>
        <w:t>co</w:t>
      </w:r>
      <w:r w:rsidRPr="007A0C6C">
        <w:rPr>
          <w:rFonts w:ascii="Times New Roman" w:hAnsi="Times New Roman"/>
          <w:sz w:val="20"/>
          <w:szCs w:val="20"/>
        </w:rPr>
        <w:t xml:space="preserve">-EMA). The strong interaction between polymer matrix and AgNWs blocking the formation of pores caused the low diffusion [19]. The micrograph of cross section proved that the addition of AgNWs caused the low swelling percentage. </w:t>
      </w:r>
    </w:p>
    <w:p w:rsidR="007A0C6C" w:rsidRPr="007A0C6C" w:rsidRDefault="007A0C6C" w:rsidP="002B78F0">
      <w:pPr>
        <w:spacing w:after="12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noProof/>
          <w:sz w:val="20"/>
          <w:szCs w:val="20"/>
          <w:lang w:bidi="ar-SA"/>
        </w:rPr>
        <w:drawing>
          <wp:anchor distT="0" distB="0" distL="114300" distR="114300" simplePos="0" relativeHeight="251683328" behindDoc="0" locked="0" layoutInCell="1" allowOverlap="1" wp14:anchorId="5FD4F6BF" wp14:editId="080AEF95">
            <wp:simplePos x="0" y="0"/>
            <wp:positionH relativeFrom="column">
              <wp:posOffset>803064</wp:posOffset>
            </wp:positionH>
            <wp:positionV relativeFrom="paragraph">
              <wp:posOffset>83185</wp:posOffset>
            </wp:positionV>
            <wp:extent cx="4005580" cy="24079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005580" cy="2407920"/>
                    </a:xfrm>
                    <a:prstGeom prst="rect">
                      <a:avLst/>
                    </a:prstGeom>
                    <a:noFill/>
                  </pic:spPr>
                </pic:pic>
              </a:graphicData>
            </a:graphic>
            <wp14:sizeRelH relativeFrom="margin">
              <wp14:pctWidth>0</wp14:pctWidth>
            </wp14:sizeRelH>
            <wp14:sizeRelV relativeFrom="margin">
              <wp14:pctHeight>0</wp14:pctHeight>
            </wp14:sizeRelV>
          </wp:anchor>
        </w:drawing>
      </w: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2B78F0">
      <w:pPr>
        <w:spacing w:after="120" w:line="240" w:lineRule="auto"/>
        <w:jc w:val="both"/>
        <w:outlineLvl w:val="0"/>
        <w:rPr>
          <w:rFonts w:ascii="Times New Roman" w:hAnsi="Times New Roman"/>
          <w:sz w:val="20"/>
          <w:szCs w:val="20"/>
        </w:rPr>
      </w:pPr>
    </w:p>
    <w:p w:rsidR="007A0C6C" w:rsidRPr="007A0C6C" w:rsidRDefault="007A0C6C" w:rsidP="002B78F0">
      <w:pPr>
        <w:spacing w:after="0" w:line="240" w:lineRule="auto"/>
        <w:jc w:val="center"/>
        <w:outlineLvl w:val="0"/>
        <w:rPr>
          <w:rFonts w:ascii="Times New Roman" w:hAnsi="Times New Roman"/>
          <w:sz w:val="20"/>
          <w:szCs w:val="20"/>
        </w:rPr>
      </w:pPr>
      <w:r w:rsidRPr="007A0C6C">
        <w:rPr>
          <w:rFonts w:ascii="Times New Roman" w:hAnsi="Times New Roman"/>
          <w:sz w:val="20"/>
          <w:szCs w:val="20"/>
        </w:rPr>
        <w:t xml:space="preserve">Figure 5. </w:t>
      </w:r>
      <w:r w:rsidR="002B78F0">
        <w:rPr>
          <w:rFonts w:ascii="Times New Roman" w:hAnsi="Times New Roman"/>
          <w:sz w:val="20"/>
          <w:szCs w:val="20"/>
        </w:rPr>
        <w:t xml:space="preserve"> </w:t>
      </w:r>
      <w:r w:rsidRPr="007A0C6C">
        <w:rPr>
          <w:rFonts w:ascii="Times New Roman" w:hAnsi="Times New Roman"/>
          <w:sz w:val="20"/>
          <w:szCs w:val="20"/>
        </w:rPr>
        <w:t>The swelling percentage as a function of time for p(AAm-</w:t>
      </w:r>
      <w:r w:rsidRPr="007A0C6C">
        <w:rPr>
          <w:rFonts w:ascii="Times New Roman" w:hAnsi="Times New Roman"/>
          <w:i/>
          <w:sz w:val="20"/>
          <w:szCs w:val="20"/>
        </w:rPr>
        <w:t>co</w:t>
      </w:r>
      <w:r w:rsidRPr="007A0C6C">
        <w:rPr>
          <w:rFonts w:ascii="Times New Roman" w:hAnsi="Times New Roman"/>
          <w:sz w:val="20"/>
          <w:szCs w:val="20"/>
        </w:rPr>
        <w:t>-EMA) and p(AAm-</w:t>
      </w:r>
      <w:r w:rsidRPr="007A0C6C">
        <w:rPr>
          <w:rFonts w:ascii="Times New Roman" w:hAnsi="Times New Roman"/>
          <w:i/>
          <w:sz w:val="20"/>
          <w:szCs w:val="20"/>
        </w:rPr>
        <w:t>co</w:t>
      </w:r>
      <w:r w:rsidRPr="007A0C6C">
        <w:rPr>
          <w:rFonts w:ascii="Times New Roman" w:hAnsi="Times New Roman"/>
          <w:sz w:val="20"/>
          <w:szCs w:val="20"/>
        </w:rPr>
        <w:t>-EMA)/AgNWs</w:t>
      </w:r>
    </w:p>
    <w:p w:rsidR="007A0C6C" w:rsidRPr="007A0C6C" w:rsidRDefault="007A0C6C" w:rsidP="002B78F0">
      <w:pPr>
        <w:spacing w:after="12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b/>
          <w:iCs/>
          <w:sz w:val="20"/>
          <w:szCs w:val="20"/>
        </w:rPr>
      </w:pPr>
      <w:r w:rsidRPr="007A0C6C">
        <w:rPr>
          <w:rFonts w:ascii="Times New Roman" w:hAnsi="Times New Roman"/>
          <w:b/>
          <w:iCs/>
          <w:sz w:val="20"/>
          <w:szCs w:val="20"/>
        </w:rPr>
        <w:t>Field emission scanning electron microscopy/electron dispersive X-ray</w:t>
      </w:r>
    </w:p>
    <w:p w:rsidR="007A0C6C" w:rsidRPr="007A0C6C" w:rsidRDefault="007A0C6C" w:rsidP="002B78F0">
      <w:pPr>
        <w:spacing w:after="120" w:line="240" w:lineRule="auto"/>
        <w:jc w:val="both"/>
        <w:outlineLvl w:val="0"/>
        <w:rPr>
          <w:rFonts w:ascii="Times New Roman" w:hAnsi="Times New Roman"/>
          <w:sz w:val="20"/>
          <w:szCs w:val="20"/>
        </w:rPr>
      </w:pPr>
      <w:r w:rsidRPr="007A0C6C">
        <w:rPr>
          <w:rFonts w:ascii="Times New Roman" w:hAnsi="Times New Roman"/>
          <w:sz w:val="20"/>
          <w:szCs w:val="20"/>
        </w:rPr>
        <w:t>Figure 6 shows the micrograph of the cross section for poly(acrylamide-</w:t>
      </w:r>
      <w:r w:rsidRPr="007A0C6C">
        <w:rPr>
          <w:rFonts w:ascii="Times New Roman" w:hAnsi="Times New Roman"/>
          <w:i/>
          <w:sz w:val="20"/>
          <w:szCs w:val="20"/>
        </w:rPr>
        <w:t>co</w:t>
      </w:r>
      <w:r w:rsidRPr="007A0C6C">
        <w:rPr>
          <w:rFonts w:ascii="Times New Roman" w:hAnsi="Times New Roman"/>
          <w:sz w:val="20"/>
          <w:szCs w:val="20"/>
        </w:rPr>
        <w:t>-ethyl methacrylate), p(AAm-</w:t>
      </w:r>
      <w:r w:rsidRPr="007A0C6C">
        <w:rPr>
          <w:rFonts w:ascii="Times New Roman" w:hAnsi="Times New Roman"/>
          <w:i/>
          <w:sz w:val="20"/>
          <w:szCs w:val="20"/>
        </w:rPr>
        <w:t>co</w:t>
      </w:r>
      <w:r w:rsidRPr="007A0C6C">
        <w:rPr>
          <w:rFonts w:ascii="Times New Roman" w:hAnsi="Times New Roman"/>
          <w:sz w:val="20"/>
          <w:szCs w:val="20"/>
        </w:rPr>
        <w:t>-EMA) and poly(acrylamide-</w:t>
      </w:r>
      <w:r w:rsidRPr="007A0C6C">
        <w:rPr>
          <w:rFonts w:ascii="Times New Roman" w:hAnsi="Times New Roman"/>
          <w:i/>
          <w:sz w:val="20"/>
          <w:szCs w:val="20"/>
        </w:rPr>
        <w:t>co</w:t>
      </w:r>
      <w:r w:rsidRPr="007A0C6C">
        <w:rPr>
          <w:rFonts w:ascii="Times New Roman" w:hAnsi="Times New Roman"/>
          <w:sz w:val="20"/>
          <w:szCs w:val="20"/>
        </w:rPr>
        <w:t>-ethyl methacrylate)/silver nanowires, p(AAm-</w:t>
      </w:r>
      <w:r w:rsidRPr="007A0C6C">
        <w:rPr>
          <w:rFonts w:ascii="Times New Roman" w:hAnsi="Times New Roman"/>
          <w:i/>
          <w:sz w:val="20"/>
          <w:szCs w:val="20"/>
        </w:rPr>
        <w:t>co</w:t>
      </w:r>
      <w:r w:rsidRPr="007A0C6C">
        <w:rPr>
          <w:rFonts w:ascii="Times New Roman" w:hAnsi="Times New Roman"/>
          <w:sz w:val="20"/>
          <w:szCs w:val="20"/>
        </w:rPr>
        <w:t>-EMA)/AgNWs. From Figure 6(a), it shows the porous surface of p(AAm-</w:t>
      </w:r>
      <w:r w:rsidRPr="007A0C6C">
        <w:rPr>
          <w:rFonts w:ascii="Times New Roman" w:hAnsi="Times New Roman"/>
          <w:i/>
          <w:sz w:val="20"/>
          <w:szCs w:val="20"/>
        </w:rPr>
        <w:t>co</w:t>
      </w:r>
      <w:r w:rsidRPr="007A0C6C">
        <w:rPr>
          <w:rFonts w:ascii="Times New Roman" w:hAnsi="Times New Roman"/>
          <w:sz w:val="20"/>
          <w:szCs w:val="20"/>
        </w:rPr>
        <w:t>-EMA), while Figure 6(b) reveals the smooth surface of p(AAm-</w:t>
      </w:r>
      <w:r w:rsidRPr="007A0C6C">
        <w:rPr>
          <w:rFonts w:ascii="Times New Roman" w:hAnsi="Times New Roman"/>
          <w:i/>
          <w:sz w:val="20"/>
          <w:szCs w:val="20"/>
        </w:rPr>
        <w:t>co</w:t>
      </w:r>
      <w:r w:rsidRPr="007A0C6C">
        <w:rPr>
          <w:rFonts w:ascii="Times New Roman" w:hAnsi="Times New Roman"/>
          <w:sz w:val="20"/>
          <w:szCs w:val="20"/>
        </w:rPr>
        <w:t>-EMA)/AgNWs. This may be due to AgNWs acting as a filler, thus filling the pores on p(AAM-</w:t>
      </w:r>
      <w:r w:rsidRPr="007A0C6C">
        <w:rPr>
          <w:rFonts w:ascii="Times New Roman" w:hAnsi="Times New Roman"/>
          <w:i/>
          <w:sz w:val="20"/>
          <w:szCs w:val="20"/>
        </w:rPr>
        <w:t>co</w:t>
      </w:r>
      <w:r w:rsidRPr="007A0C6C">
        <w:rPr>
          <w:rFonts w:ascii="Times New Roman" w:hAnsi="Times New Roman"/>
          <w:sz w:val="20"/>
          <w:szCs w:val="20"/>
        </w:rPr>
        <w:t>-EMA). As a result, the swelling percentage of p(AAm-</w:t>
      </w:r>
      <w:r w:rsidRPr="007A0C6C">
        <w:rPr>
          <w:rFonts w:ascii="Times New Roman" w:hAnsi="Times New Roman"/>
          <w:i/>
          <w:sz w:val="20"/>
          <w:szCs w:val="20"/>
        </w:rPr>
        <w:t>co</w:t>
      </w:r>
      <w:r w:rsidRPr="007A0C6C">
        <w:rPr>
          <w:rFonts w:ascii="Times New Roman" w:hAnsi="Times New Roman"/>
          <w:sz w:val="20"/>
          <w:szCs w:val="20"/>
        </w:rPr>
        <w:t>-EMA)/AgNWs was lower than p(AAm-</w:t>
      </w:r>
      <w:r w:rsidRPr="007A0C6C">
        <w:rPr>
          <w:rFonts w:ascii="Times New Roman" w:hAnsi="Times New Roman"/>
          <w:i/>
          <w:sz w:val="20"/>
          <w:szCs w:val="20"/>
        </w:rPr>
        <w:t>co</w:t>
      </w:r>
      <w:r w:rsidRPr="007A0C6C">
        <w:rPr>
          <w:rFonts w:ascii="Times New Roman" w:hAnsi="Times New Roman"/>
          <w:sz w:val="20"/>
          <w:szCs w:val="20"/>
        </w:rPr>
        <w:t>-EMA).</w:t>
      </w: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noProof/>
          <w:sz w:val="20"/>
          <w:szCs w:val="20"/>
          <w:lang w:bidi="ar-SA"/>
        </w:rPr>
        <mc:AlternateContent>
          <mc:Choice Requires="wps">
            <w:drawing>
              <wp:anchor distT="0" distB="0" distL="114300" distR="114300" simplePos="0" relativeHeight="251692544" behindDoc="0" locked="0" layoutInCell="1" allowOverlap="1" wp14:anchorId="2695D3B7" wp14:editId="5CE7C9E1">
                <wp:simplePos x="0" y="0"/>
                <wp:positionH relativeFrom="column">
                  <wp:posOffset>2912221</wp:posOffset>
                </wp:positionH>
                <wp:positionV relativeFrom="paragraph">
                  <wp:posOffset>182245</wp:posOffset>
                </wp:positionV>
                <wp:extent cx="513715" cy="33274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13715" cy="3327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A0C6C" w:rsidRPr="003D2A38" w:rsidRDefault="007A0C6C" w:rsidP="007A0C6C">
                            <w:pPr>
                              <w:rPr>
                                <w:rFonts w:ascii="Times New Roman" w:hAnsi="Times New Roman"/>
                                <w:b/>
                                <w:color w:val="FFFFFF" w:themeColor="background1"/>
                              </w:rPr>
                            </w:pPr>
                            <w:r w:rsidRPr="003D2A38">
                              <w:rPr>
                                <w:rFonts w:ascii="Times New Roman" w:hAnsi="Times New Roman"/>
                                <w:b/>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8" o:spid="_x0000_s1029" type="#_x0000_t202" style="position:absolute;left:0;text-align:left;margin-left:229.3pt;margin-top:14.35pt;width:40.45pt;height:26.2pt;z-index:25169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" filled="f" stroked="f" strokeweight=".5pt">
                <v:textbox>
                  <w:txbxContent>
                    <w:p w:rsidR="007A0C6C" w:rsidRPr="003D2A38" w:rsidRDefault="007A0C6C" w:rsidP="007A0C6C">
                      <w:pPr>
                        <w:rPr>
                          <w:rFonts w:ascii="Times New Roman" w:hAnsi="Times New Roman"/>
                          <w:b/>
                          <w:color w:val="FFFFFF" w:themeColor="background1"/>
                        </w:rPr>
                      </w:pPr>
                      <w:r w:rsidRPr="003D2A38">
                        <w:rPr>
                          <w:rFonts w:ascii="Times New Roman" w:hAnsi="Times New Roman"/>
                          <w:b/>
                          <w:color w:val="FFFFFF" w:themeColor="background1"/>
                        </w:rPr>
                        <w:t>(b)</w:t>
                      </w:r>
                    </w:p>
                  </w:txbxContent>
                </v:textbox>
              </v:shape>
            </w:pict>
          </mc:Fallback>
        </mc:AlternateContent>
      </w:r>
      <w:r w:rsidRPr="007A0C6C">
        <w:rPr>
          <w:rFonts w:ascii="Times New Roman" w:hAnsi="Times New Roman"/>
          <w:noProof/>
          <w:sz w:val="20"/>
          <w:szCs w:val="20"/>
          <w:lang w:bidi="ar-SA"/>
        </w:rPr>
        <w:drawing>
          <wp:anchor distT="0" distB="0" distL="114300" distR="114300" simplePos="0" relativeHeight="251685376" behindDoc="0" locked="0" layoutInCell="1" allowOverlap="1" wp14:anchorId="433891A2" wp14:editId="6C37C5F8">
            <wp:simplePos x="0" y="0"/>
            <wp:positionH relativeFrom="margin">
              <wp:posOffset>2911898</wp:posOffset>
            </wp:positionH>
            <wp:positionV relativeFrom="paragraph">
              <wp:posOffset>185420</wp:posOffset>
            </wp:positionV>
            <wp:extent cx="2619375" cy="1964055"/>
            <wp:effectExtent l="0" t="0" r="9525" b="17145"/>
            <wp:wrapSquare wrapText="bothSides"/>
            <wp:docPr id="11" name="Content Placeholder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8"/>
                    <pic:cNvPicPr>
                      <a:picLocks noGrp="1"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19375" cy="1964055"/>
                    </a:xfrm>
                    <a:prstGeom prst="rect">
                      <a:avLst/>
                    </a:prstGeom>
                  </pic:spPr>
                </pic:pic>
              </a:graphicData>
            </a:graphic>
          </wp:anchor>
        </w:drawing>
      </w:r>
      <w:r w:rsidRPr="007A0C6C">
        <w:rPr>
          <w:rFonts w:ascii="Times New Roman" w:hAnsi="Times New Roman"/>
          <w:noProof/>
          <w:sz w:val="20"/>
          <w:szCs w:val="20"/>
          <w:lang w:bidi="ar-SA"/>
        </w:rPr>
        <mc:AlternateContent>
          <mc:Choice Requires="wps">
            <w:drawing>
              <wp:anchor distT="0" distB="0" distL="114300" distR="114300" simplePos="0" relativeHeight="251691520" behindDoc="0" locked="0" layoutInCell="1" allowOverlap="1" wp14:anchorId="32B2BE4B" wp14:editId="0E3B1F30">
                <wp:simplePos x="0" y="0"/>
                <wp:positionH relativeFrom="column">
                  <wp:posOffset>245730</wp:posOffset>
                </wp:positionH>
                <wp:positionV relativeFrom="paragraph">
                  <wp:posOffset>182880</wp:posOffset>
                </wp:positionV>
                <wp:extent cx="513715" cy="33274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513715" cy="3327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A0C6C" w:rsidRPr="003D2A38" w:rsidRDefault="007A0C6C" w:rsidP="007A0C6C">
                            <w:pPr>
                              <w:rPr>
                                <w:rFonts w:ascii="Times New Roman" w:hAnsi="Times New Roman"/>
                                <w:b/>
                                <w:color w:val="FFFFFF" w:themeColor="background1"/>
                              </w:rPr>
                            </w:pPr>
                            <w:r w:rsidRPr="003D2A38">
                              <w:rPr>
                                <w:rFonts w:ascii="Times New Roman" w:hAnsi="Times New Roman"/>
                                <w:b/>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7" o:spid="_x0000_s1030" type="#_x0000_t202" style="position:absolute;left:0;text-align:left;margin-left:19.35pt;margin-top:14.4pt;width:40.45pt;height:26.2pt;z-index:25169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" filled="f" stroked="f" strokeweight=".5pt">
                <v:textbox>
                  <w:txbxContent>
                    <w:p w:rsidR="007A0C6C" w:rsidRPr="003D2A38" w:rsidRDefault="007A0C6C" w:rsidP="007A0C6C">
                      <w:pPr>
                        <w:rPr>
                          <w:rFonts w:ascii="Times New Roman" w:hAnsi="Times New Roman"/>
                          <w:b/>
                          <w:color w:val="FFFFFF" w:themeColor="background1"/>
                        </w:rPr>
                      </w:pPr>
                      <w:r w:rsidRPr="003D2A38">
                        <w:rPr>
                          <w:rFonts w:ascii="Times New Roman" w:hAnsi="Times New Roman"/>
                          <w:b/>
                          <w:color w:val="FFFFFF" w:themeColor="background1"/>
                        </w:rPr>
                        <w:t>(a)</w:t>
                      </w:r>
                    </w:p>
                  </w:txbxContent>
                </v:textbox>
              </v:shape>
            </w:pict>
          </mc:Fallback>
        </mc:AlternateContent>
      </w:r>
      <w:r w:rsidRPr="007A0C6C">
        <w:rPr>
          <w:rFonts w:ascii="Times New Roman" w:hAnsi="Times New Roman"/>
          <w:noProof/>
          <w:sz w:val="20"/>
          <w:szCs w:val="20"/>
          <w:lang w:bidi="ar-SA"/>
        </w:rPr>
        <w:drawing>
          <wp:anchor distT="0" distB="0" distL="114300" distR="114300" simplePos="0" relativeHeight="251684352" behindDoc="0" locked="0" layoutInCell="1" allowOverlap="1" wp14:anchorId="0D28230C" wp14:editId="57D53616">
            <wp:simplePos x="0" y="0"/>
            <wp:positionH relativeFrom="margin">
              <wp:posOffset>245110</wp:posOffset>
            </wp:positionH>
            <wp:positionV relativeFrom="paragraph">
              <wp:posOffset>185420</wp:posOffset>
            </wp:positionV>
            <wp:extent cx="2615565" cy="1962150"/>
            <wp:effectExtent l="0" t="0" r="13335" b="0"/>
            <wp:wrapSquare wrapText="bothSides"/>
            <wp:docPr id="10" name="Content Placeholder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7"/>
                    <pic:cNvPicPr>
                      <a:picLocks noGrp="1"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15565" cy="1962150"/>
                    </a:xfrm>
                    <a:prstGeom prst="rect">
                      <a:avLst/>
                    </a:prstGeom>
                  </pic:spPr>
                </pic:pic>
              </a:graphicData>
            </a:graphic>
          </wp:anchor>
        </w:drawing>
      </w:r>
    </w:p>
    <w:p w:rsidR="007A0C6C" w:rsidRPr="007A0C6C" w:rsidRDefault="007A0C6C"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7A0C6C">
      <w:pPr>
        <w:spacing w:after="0" w:line="240" w:lineRule="auto"/>
        <w:jc w:val="both"/>
        <w:outlineLvl w:val="0"/>
        <w:rPr>
          <w:rFonts w:ascii="Times New Roman" w:hAnsi="Times New Roman"/>
          <w:sz w:val="20"/>
          <w:szCs w:val="20"/>
        </w:rPr>
      </w:pPr>
    </w:p>
    <w:p w:rsidR="002B78F0" w:rsidRDefault="002B78F0" w:rsidP="002B78F0">
      <w:pPr>
        <w:spacing w:after="12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sz w:val="20"/>
          <w:szCs w:val="20"/>
        </w:rPr>
        <w:t>Figure 6. Cross-section micrograph at magnification 1000x (a) p(AAm-</w:t>
      </w:r>
      <w:r w:rsidRPr="007A0C6C">
        <w:rPr>
          <w:rFonts w:ascii="Times New Roman" w:hAnsi="Times New Roman"/>
          <w:i/>
          <w:sz w:val="20"/>
          <w:szCs w:val="20"/>
        </w:rPr>
        <w:t>co</w:t>
      </w:r>
      <w:r w:rsidRPr="007A0C6C">
        <w:rPr>
          <w:rFonts w:ascii="Times New Roman" w:hAnsi="Times New Roman"/>
          <w:sz w:val="20"/>
          <w:szCs w:val="20"/>
        </w:rPr>
        <w:t>-EMA) (b) p(AAm-</w:t>
      </w:r>
      <w:r w:rsidRPr="007A0C6C">
        <w:rPr>
          <w:rFonts w:ascii="Times New Roman" w:hAnsi="Times New Roman"/>
          <w:i/>
          <w:sz w:val="20"/>
          <w:szCs w:val="20"/>
        </w:rPr>
        <w:t>co</w:t>
      </w:r>
      <w:r w:rsidRPr="007A0C6C">
        <w:rPr>
          <w:rFonts w:ascii="Times New Roman" w:hAnsi="Times New Roman"/>
          <w:sz w:val="20"/>
          <w:szCs w:val="20"/>
        </w:rPr>
        <w:t>-EMA)/AgNW</w:t>
      </w:r>
    </w:p>
    <w:p w:rsidR="002B78F0" w:rsidRDefault="002B78F0" w:rsidP="002B78F0">
      <w:pPr>
        <w:spacing w:after="12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sz w:val="20"/>
          <w:szCs w:val="20"/>
        </w:rPr>
        <w:lastRenderedPageBreak/>
        <w:t>Figure 7(a) shows the EDX spectrum for poly(acrylamide-</w:t>
      </w:r>
      <w:r w:rsidRPr="007A0C6C">
        <w:rPr>
          <w:rFonts w:ascii="Times New Roman" w:hAnsi="Times New Roman"/>
          <w:i/>
          <w:sz w:val="20"/>
          <w:szCs w:val="20"/>
        </w:rPr>
        <w:t>co</w:t>
      </w:r>
      <w:r w:rsidRPr="007A0C6C">
        <w:rPr>
          <w:rFonts w:ascii="Times New Roman" w:hAnsi="Times New Roman"/>
          <w:sz w:val="20"/>
          <w:szCs w:val="20"/>
        </w:rPr>
        <w:t>-ethyl methacrylate)/silver nanowires, p(AAm-</w:t>
      </w:r>
      <w:r w:rsidRPr="007A0C6C">
        <w:rPr>
          <w:rFonts w:ascii="Times New Roman" w:hAnsi="Times New Roman"/>
          <w:i/>
          <w:sz w:val="20"/>
          <w:szCs w:val="20"/>
        </w:rPr>
        <w:t>co</w:t>
      </w:r>
      <w:r w:rsidRPr="007A0C6C">
        <w:rPr>
          <w:rFonts w:ascii="Times New Roman" w:hAnsi="Times New Roman"/>
          <w:sz w:val="20"/>
          <w:szCs w:val="20"/>
        </w:rPr>
        <w:t>-EMA)/AgNWs. Meanwhile, Figure 7(b) shows the micrograph of dispersion of AgNW for p(AAm-</w:t>
      </w:r>
      <w:r w:rsidRPr="007A0C6C">
        <w:rPr>
          <w:rFonts w:ascii="Times New Roman" w:hAnsi="Times New Roman"/>
          <w:i/>
          <w:sz w:val="20"/>
          <w:szCs w:val="20"/>
        </w:rPr>
        <w:t>co</w:t>
      </w:r>
      <w:r w:rsidRPr="007A0C6C">
        <w:rPr>
          <w:rFonts w:ascii="Times New Roman" w:hAnsi="Times New Roman"/>
          <w:sz w:val="20"/>
          <w:szCs w:val="20"/>
        </w:rPr>
        <w:t>-EMA)/AgNWs. From the EDX spectrum, the presence of AgNWs can be seen with weight percentage 0.1%. The result was acceptable due to the presence of 0.06% v/v of AgNWs in p(AAm-</w:t>
      </w:r>
      <w:r w:rsidRPr="007A0C6C">
        <w:rPr>
          <w:rFonts w:ascii="Times New Roman" w:hAnsi="Times New Roman"/>
          <w:i/>
          <w:sz w:val="20"/>
          <w:szCs w:val="20"/>
        </w:rPr>
        <w:t>co</w:t>
      </w:r>
      <w:r w:rsidRPr="007A0C6C">
        <w:rPr>
          <w:rFonts w:ascii="Times New Roman" w:hAnsi="Times New Roman"/>
          <w:sz w:val="20"/>
          <w:szCs w:val="20"/>
        </w:rPr>
        <w:t>-EMA). The presence of other elements like carbon, C, oxygen, O, and nitrogen, N indicated the presence of p(AAm-</w:t>
      </w:r>
      <w:r w:rsidRPr="007A0C6C">
        <w:rPr>
          <w:rFonts w:ascii="Times New Roman" w:hAnsi="Times New Roman"/>
          <w:i/>
          <w:sz w:val="20"/>
          <w:szCs w:val="20"/>
        </w:rPr>
        <w:t>co</w:t>
      </w:r>
      <w:r w:rsidRPr="007A0C6C">
        <w:rPr>
          <w:rFonts w:ascii="Times New Roman" w:hAnsi="Times New Roman"/>
          <w:sz w:val="20"/>
          <w:szCs w:val="20"/>
        </w:rPr>
        <w:t>-EMA). From the mapping micrograph, AgNWs were not well distributed because of agglomeration. Therefore, Figure 7(b)</w:t>
      </w:r>
      <w:r w:rsidRPr="007A0C6C">
        <w:rPr>
          <w:rStyle w:val="CommentReference"/>
          <w:rFonts w:ascii="Times New Roman" w:hAnsi="Times New Roman"/>
          <w:sz w:val="20"/>
          <w:szCs w:val="20"/>
        </w:rPr>
        <w:t xml:space="preserve"> sh</w:t>
      </w:r>
      <w:r w:rsidRPr="007A0C6C">
        <w:rPr>
          <w:rFonts w:ascii="Times New Roman" w:hAnsi="Times New Roman"/>
          <w:sz w:val="20"/>
          <w:szCs w:val="20"/>
        </w:rPr>
        <w:t>ows an empty spot due to the inhomogeneity of AgNWs in p(AAm-</w:t>
      </w:r>
      <w:r w:rsidRPr="007A0C6C">
        <w:rPr>
          <w:rFonts w:ascii="Times New Roman" w:hAnsi="Times New Roman"/>
          <w:i/>
          <w:sz w:val="20"/>
          <w:szCs w:val="20"/>
        </w:rPr>
        <w:t>co</w:t>
      </w:r>
      <w:r w:rsidRPr="007A0C6C">
        <w:rPr>
          <w:rFonts w:ascii="Times New Roman" w:hAnsi="Times New Roman"/>
          <w:sz w:val="20"/>
          <w:szCs w:val="20"/>
        </w:rPr>
        <w:t xml:space="preserve">-EMA). </w:t>
      </w:r>
    </w:p>
    <w:p w:rsidR="007A0C6C" w:rsidRPr="007A0C6C" w:rsidRDefault="002B78F0" w:rsidP="007A0C6C">
      <w:pPr>
        <w:spacing w:after="0" w:line="240" w:lineRule="auto"/>
        <w:jc w:val="both"/>
        <w:outlineLvl w:val="0"/>
        <w:rPr>
          <w:rFonts w:ascii="Times New Roman" w:hAnsi="Times New Roman"/>
          <w:sz w:val="20"/>
          <w:szCs w:val="20"/>
        </w:rPr>
      </w:pPr>
      <w:r w:rsidRPr="007A0C6C">
        <w:rPr>
          <w:rFonts w:ascii="Times New Roman" w:hAnsi="Times New Roman"/>
          <w:noProof/>
          <w:sz w:val="20"/>
          <w:szCs w:val="20"/>
          <w:lang w:bidi="ar-SA"/>
        </w:rPr>
        <mc:AlternateContent>
          <mc:Choice Requires="wps">
            <w:drawing>
              <wp:anchor distT="0" distB="0" distL="114300" distR="114300" simplePos="0" relativeHeight="251694592" behindDoc="0" locked="0" layoutInCell="1" allowOverlap="1" wp14:anchorId="4982BE57" wp14:editId="37CCEF97">
                <wp:simplePos x="0" y="0"/>
                <wp:positionH relativeFrom="column">
                  <wp:posOffset>3393440</wp:posOffset>
                </wp:positionH>
                <wp:positionV relativeFrom="paragraph">
                  <wp:posOffset>254635</wp:posOffset>
                </wp:positionV>
                <wp:extent cx="733425" cy="418465"/>
                <wp:effectExtent l="0" t="0" r="0" b="635"/>
                <wp:wrapNone/>
                <wp:docPr id="20" name="Text Box 20"/>
                <wp:cNvGraphicFramePr/>
                <a:graphic xmlns:a="http://schemas.openxmlformats.org/drawingml/2006/main">
                  <a:graphicData uri="http://schemas.microsoft.com/office/word/2010/wordprocessingShape">
                    <wps:wsp>
                      <wps:cNvSpPr txBox="1"/>
                      <wps:spPr>
                        <a:xfrm>
                          <a:off x="0" y="0"/>
                          <a:ext cx="733425" cy="418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A0C6C" w:rsidRPr="003D2A38" w:rsidRDefault="007A0C6C" w:rsidP="007A0C6C">
                            <w:pPr>
                              <w:jc w:val="center"/>
                              <w:rPr>
                                <w:rFonts w:ascii="Times New Roman" w:hAnsi="Times New Roman"/>
                                <w:b/>
                                <w:color w:val="FFFFFF" w:themeColor="background1"/>
                              </w:rPr>
                            </w:pPr>
                            <w:r w:rsidRPr="003D2A38">
                              <w:rPr>
                                <w:rFonts w:ascii="Times New Roman" w:hAnsi="Times New Roman"/>
                                <w:b/>
                                <w:color w:val="FFFFFF" w:themeColor="background1"/>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Text Box 20" o:spid="_x0000_s1031" type="#_x0000_t202" style="position:absolute;left:0;text-align:left;margin-left:267.2pt;margin-top:20.05pt;width:57.75pt;height:32.95pt;z-index:251694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" filled="f" stroked="f" strokeweight=".5pt">
                <v:textbox>
                  <w:txbxContent>
                    <w:p w:rsidR="007A0C6C" w:rsidRPr="003D2A38" w:rsidRDefault="007A0C6C" w:rsidP="007A0C6C">
                      <w:pPr>
                        <w:jc w:val="center"/>
                        <w:rPr>
                          <w:rFonts w:ascii="Times New Roman" w:hAnsi="Times New Roman"/>
                          <w:b/>
                          <w:color w:val="FFFFFF" w:themeColor="background1"/>
                        </w:rPr>
                      </w:pPr>
                      <w:r w:rsidRPr="003D2A38">
                        <w:rPr>
                          <w:rFonts w:ascii="Times New Roman" w:hAnsi="Times New Roman"/>
                          <w:b/>
                          <w:color w:val="FFFFFF" w:themeColor="background1"/>
                        </w:rPr>
                        <w:t>(b)</w:t>
                      </w:r>
                    </w:p>
                  </w:txbxContent>
                </v:textbox>
              </v:shape>
            </w:pict>
          </mc:Fallback>
        </mc:AlternateContent>
      </w:r>
      <w:r w:rsidRPr="007A0C6C">
        <w:rPr>
          <w:rFonts w:ascii="Times New Roman" w:hAnsi="Times New Roman"/>
          <w:noProof/>
          <w:sz w:val="20"/>
          <w:szCs w:val="20"/>
          <w:lang w:bidi="ar-SA"/>
        </w:rPr>
        <mc:AlternateContent>
          <mc:Choice Requires="wps">
            <w:drawing>
              <wp:anchor distT="0" distB="0" distL="114300" distR="114300" simplePos="0" relativeHeight="251693568" behindDoc="0" locked="0" layoutInCell="1" allowOverlap="1" wp14:anchorId="2CA9DDB1" wp14:editId="0BAA9EBA">
                <wp:simplePos x="0" y="0"/>
                <wp:positionH relativeFrom="column">
                  <wp:posOffset>425450</wp:posOffset>
                </wp:positionH>
                <wp:positionV relativeFrom="paragraph">
                  <wp:posOffset>259080</wp:posOffset>
                </wp:positionV>
                <wp:extent cx="733425" cy="418465"/>
                <wp:effectExtent l="0" t="0" r="0" b="635"/>
                <wp:wrapNone/>
                <wp:docPr id="19" name="Text Box 19"/>
                <wp:cNvGraphicFramePr/>
                <a:graphic xmlns:a="http://schemas.openxmlformats.org/drawingml/2006/main">
                  <a:graphicData uri="http://schemas.microsoft.com/office/word/2010/wordprocessingShape">
                    <wps:wsp>
                      <wps:cNvSpPr txBox="1"/>
                      <wps:spPr>
                        <a:xfrm>
                          <a:off x="0" y="0"/>
                          <a:ext cx="733425" cy="4184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A0C6C" w:rsidRPr="003D2A38" w:rsidRDefault="007A0C6C" w:rsidP="007A0C6C">
                            <w:pPr>
                              <w:jc w:val="center"/>
                              <w:rPr>
                                <w:rFonts w:ascii="Times New Roman" w:hAnsi="Times New Roman"/>
                                <w:b/>
                              </w:rPr>
                            </w:pPr>
                            <w:r w:rsidRPr="003D2A38">
                              <w:rPr>
                                <w:rFonts w:ascii="Times New Roman" w:hAnsi="Times New Roman"/>
                                <w:b/>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9" o:spid="_x0000_s1032" type="#_x0000_t202" style="position:absolute;left:0;text-align:left;margin-left:33.5pt;margin-top:20.4pt;width:57.75pt;height:32.95pt;z-index:251693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" filled="f" stroked="f" strokeweight=".5pt">
                <v:textbox>
                  <w:txbxContent>
                    <w:p w:rsidR="007A0C6C" w:rsidRPr="003D2A38" w:rsidRDefault="007A0C6C" w:rsidP="007A0C6C">
                      <w:pPr>
                        <w:jc w:val="center"/>
                        <w:rPr>
                          <w:rFonts w:ascii="Times New Roman" w:hAnsi="Times New Roman"/>
                          <w:b/>
                        </w:rPr>
                      </w:pPr>
                      <w:r w:rsidRPr="003D2A38">
                        <w:rPr>
                          <w:rFonts w:ascii="Times New Roman" w:hAnsi="Times New Roman"/>
                          <w:b/>
                        </w:rPr>
                        <w:t>(a)</w:t>
                      </w:r>
                    </w:p>
                  </w:txbxContent>
                </v:textbox>
              </v:shape>
            </w:pict>
          </mc:Fallback>
        </mc:AlternateContent>
      </w:r>
      <w:r w:rsidRPr="007A0C6C">
        <w:rPr>
          <w:rFonts w:ascii="Times New Roman" w:hAnsi="Times New Roman"/>
          <w:noProof/>
          <w:sz w:val="20"/>
          <w:szCs w:val="20"/>
          <w:lang w:bidi="ar-SA"/>
        </w:rPr>
        <w:drawing>
          <wp:anchor distT="0" distB="0" distL="114300" distR="114300" simplePos="0" relativeHeight="251686400" behindDoc="0" locked="0" layoutInCell="1" allowOverlap="1" wp14:anchorId="2B980DBA" wp14:editId="03536F57">
            <wp:simplePos x="0" y="0"/>
            <wp:positionH relativeFrom="column">
              <wp:posOffset>3482975</wp:posOffset>
            </wp:positionH>
            <wp:positionV relativeFrom="paragraph">
              <wp:posOffset>248285</wp:posOffset>
            </wp:positionV>
            <wp:extent cx="2352675" cy="1848485"/>
            <wp:effectExtent l="0" t="0" r="952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52675" cy="1848485"/>
                    </a:xfrm>
                    <a:prstGeom prst="rect">
                      <a:avLst/>
                    </a:prstGeom>
                  </pic:spPr>
                </pic:pic>
              </a:graphicData>
            </a:graphic>
          </wp:anchor>
        </w:drawing>
      </w:r>
      <w:r w:rsidRPr="007A0C6C">
        <w:rPr>
          <w:rFonts w:ascii="Times New Roman" w:hAnsi="Times New Roman"/>
          <w:noProof/>
          <w:sz w:val="20"/>
          <w:szCs w:val="20"/>
          <w:lang w:bidi="ar-SA"/>
        </w:rPr>
        <w:drawing>
          <wp:anchor distT="0" distB="0" distL="114300" distR="114300" simplePos="0" relativeHeight="251697664" behindDoc="1" locked="0" layoutInCell="1" allowOverlap="1" wp14:anchorId="32E31D1F" wp14:editId="4DE0F0CD">
            <wp:simplePos x="0" y="0"/>
            <wp:positionH relativeFrom="column">
              <wp:posOffset>109855</wp:posOffset>
            </wp:positionH>
            <wp:positionV relativeFrom="paragraph">
              <wp:posOffset>251460</wp:posOffset>
            </wp:positionV>
            <wp:extent cx="3276600" cy="18370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76600" cy="1837055"/>
                    </a:xfrm>
                    <a:prstGeom prst="rect">
                      <a:avLst/>
                    </a:prstGeom>
                  </pic:spPr>
                </pic:pic>
              </a:graphicData>
            </a:graphic>
          </wp:anchor>
        </w:drawing>
      </w:r>
    </w:p>
    <w:p w:rsidR="007A0C6C" w:rsidRPr="007A0C6C" w:rsidRDefault="007A0C6C" w:rsidP="007A0C6C">
      <w:pPr>
        <w:spacing w:after="0" w:line="240" w:lineRule="auto"/>
        <w:jc w:val="both"/>
        <w:outlineLvl w:val="0"/>
        <w:rPr>
          <w:rFonts w:ascii="Times New Roman" w:hAnsi="Times New Roman"/>
          <w:sz w:val="20"/>
          <w:szCs w:val="20"/>
        </w:rPr>
      </w:pP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sz w:val="20"/>
          <w:szCs w:val="20"/>
        </w:rPr>
        <w:t>Figure 7. (a) EDX spectrum for p(AAm-</w:t>
      </w:r>
      <w:r w:rsidRPr="007A0C6C">
        <w:rPr>
          <w:rFonts w:ascii="Times New Roman" w:hAnsi="Times New Roman"/>
          <w:i/>
          <w:sz w:val="20"/>
          <w:szCs w:val="20"/>
        </w:rPr>
        <w:t>co</w:t>
      </w:r>
      <w:r w:rsidRPr="007A0C6C">
        <w:rPr>
          <w:rFonts w:ascii="Times New Roman" w:hAnsi="Times New Roman"/>
          <w:sz w:val="20"/>
          <w:szCs w:val="20"/>
        </w:rPr>
        <w:t>-EMA)/AgNWs (b) Mapping of AgNWs of p(AAm-</w:t>
      </w:r>
      <w:r w:rsidRPr="007A0C6C">
        <w:rPr>
          <w:rFonts w:ascii="Times New Roman" w:hAnsi="Times New Roman"/>
          <w:i/>
          <w:sz w:val="20"/>
          <w:szCs w:val="20"/>
        </w:rPr>
        <w:t>co</w:t>
      </w:r>
      <w:r w:rsidRPr="007A0C6C">
        <w:rPr>
          <w:rFonts w:ascii="Times New Roman" w:hAnsi="Times New Roman"/>
          <w:sz w:val="20"/>
          <w:szCs w:val="20"/>
        </w:rPr>
        <w:t>-EMA)/AgNWs</w:t>
      </w:r>
    </w:p>
    <w:p w:rsidR="007A0C6C" w:rsidRPr="002B78F0" w:rsidRDefault="007A0C6C" w:rsidP="002B78F0">
      <w:pPr>
        <w:spacing w:after="120" w:line="240" w:lineRule="auto"/>
        <w:jc w:val="both"/>
        <w:outlineLvl w:val="0"/>
        <w:rPr>
          <w:rFonts w:ascii="Times New Roman" w:hAnsi="Times New Roman"/>
          <w:b/>
          <w:iCs/>
          <w:sz w:val="20"/>
          <w:szCs w:val="20"/>
        </w:rPr>
      </w:pPr>
    </w:p>
    <w:p w:rsidR="007A0C6C" w:rsidRPr="007A0C6C" w:rsidRDefault="007A0C6C" w:rsidP="007A0C6C">
      <w:pPr>
        <w:spacing w:after="0" w:line="240" w:lineRule="auto"/>
        <w:jc w:val="both"/>
        <w:outlineLvl w:val="0"/>
        <w:rPr>
          <w:rFonts w:ascii="Times New Roman" w:hAnsi="Times New Roman"/>
          <w:b/>
          <w:iCs/>
          <w:sz w:val="20"/>
          <w:szCs w:val="20"/>
        </w:rPr>
      </w:pPr>
      <w:r w:rsidRPr="007A0C6C">
        <w:rPr>
          <w:rFonts w:ascii="Times New Roman" w:hAnsi="Times New Roman"/>
          <w:b/>
          <w:iCs/>
          <w:sz w:val="20"/>
          <w:szCs w:val="20"/>
        </w:rPr>
        <w:t>Thermogravimetry analysis</w:t>
      </w:r>
    </w:p>
    <w:p w:rsidR="007A0C6C" w:rsidRPr="007A0C6C" w:rsidRDefault="007A0C6C" w:rsidP="00472425">
      <w:pPr>
        <w:spacing w:after="120" w:line="240" w:lineRule="auto"/>
        <w:jc w:val="both"/>
        <w:outlineLvl w:val="0"/>
        <w:rPr>
          <w:rFonts w:ascii="Times New Roman" w:hAnsi="Times New Roman"/>
          <w:sz w:val="20"/>
          <w:szCs w:val="20"/>
        </w:rPr>
      </w:pPr>
      <w:r w:rsidRPr="007A0C6C">
        <w:rPr>
          <w:rFonts w:ascii="Times New Roman" w:hAnsi="Times New Roman"/>
          <w:sz w:val="20"/>
          <w:szCs w:val="20"/>
        </w:rPr>
        <w:t>Figure 8 shows the thermogram of poly(acrylamide-</w:t>
      </w:r>
      <w:r w:rsidRPr="007A0C6C">
        <w:rPr>
          <w:rFonts w:ascii="Times New Roman" w:hAnsi="Times New Roman"/>
          <w:i/>
          <w:sz w:val="20"/>
          <w:szCs w:val="20"/>
        </w:rPr>
        <w:t>co</w:t>
      </w:r>
      <w:r w:rsidRPr="007A0C6C">
        <w:rPr>
          <w:rFonts w:ascii="Times New Roman" w:hAnsi="Times New Roman"/>
          <w:sz w:val="20"/>
          <w:szCs w:val="20"/>
        </w:rPr>
        <w:t>-ethyl methacrylate), p(AAm-</w:t>
      </w:r>
      <w:r w:rsidRPr="007A0C6C">
        <w:rPr>
          <w:rFonts w:ascii="Times New Roman" w:hAnsi="Times New Roman"/>
          <w:i/>
          <w:sz w:val="20"/>
          <w:szCs w:val="20"/>
        </w:rPr>
        <w:t>co</w:t>
      </w:r>
      <w:r w:rsidRPr="007A0C6C">
        <w:rPr>
          <w:rFonts w:ascii="Times New Roman" w:hAnsi="Times New Roman"/>
          <w:sz w:val="20"/>
          <w:szCs w:val="20"/>
        </w:rPr>
        <w:t>-EMA) and poly(acrylamide-</w:t>
      </w:r>
      <w:r w:rsidRPr="007A0C6C">
        <w:rPr>
          <w:rFonts w:ascii="Times New Roman" w:hAnsi="Times New Roman"/>
          <w:i/>
          <w:sz w:val="20"/>
          <w:szCs w:val="20"/>
        </w:rPr>
        <w:t>co</w:t>
      </w:r>
      <w:r w:rsidRPr="007A0C6C">
        <w:rPr>
          <w:rFonts w:ascii="Times New Roman" w:hAnsi="Times New Roman"/>
          <w:sz w:val="20"/>
          <w:szCs w:val="20"/>
        </w:rPr>
        <w:t>-ethyl methacrylate)/silver, p(AAm-</w:t>
      </w:r>
      <w:r w:rsidRPr="007A0C6C">
        <w:rPr>
          <w:rFonts w:ascii="Times New Roman" w:hAnsi="Times New Roman"/>
          <w:i/>
          <w:sz w:val="20"/>
          <w:szCs w:val="20"/>
        </w:rPr>
        <w:t>co</w:t>
      </w:r>
      <w:r w:rsidRPr="007A0C6C">
        <w:rPr>
          <w:rFonts w:ascii="Times New Roman" w:hAnsi="Times New Roman"/>
          <w:sz w:val="20"/>
          <w:szCs w:val="20"/>
        </w:rPr>
        <w:t>-EMA)/AgNWs. Both thermograms showed one step in the thermal degradation pattern. The degradation started at 322.84 °C and 499.82 °C. The presence of conductive materials like AgNWs was able to increase the heat resistance. Thus, it causes the maximum temperature of thermal degradation reading to increase. The increasing amount of silver nanoparticle showed the increase of maximum temperature of thermal degradation at range 2 °C to 11 °C [20]. However, the maximum thermal degradation temperature in both samples was about 400 °C. This was due to the very small amount of AgNWs present in p(AAm-</w:t>
      </w:r>
      <w:r w:rsidRPr="007A0C6C">
        <w:rPr>
          <w:rFonts w:ascii="Times New Roman" w:hAnsi="Times New Roman"/>
          <w:i/>
          <w:sz w:val="20"/>
          <w:szCs w:val="20"/>
        </w:rPr>
        <w:t>co</w:t>
      </w:r>
      <w:r w:rsidRPr="007A0C6C">
        <w:rPr>
          <w:rFonts w:ascii="Times New Roman" w:hAnsi="Times New Roman"/>
          <w:sz w:val="20"/>
          <w:szCs w:val="20"/>
        </w:rPr>
        <w:t>-EMA). The p(AAm-</w:t>
      </w:r>
      <w:r w:rsidRPr="007A0C6C">
        <w:rPr>
          <w:rFonts w:ascii="Times New Roman" w:hAnsi="Times New Roman"/>
          <w:i/>
          <w:sz w:val="20"/>
          <w:szCs w:val="20"/>
        </w:rPr>
        <w:t>co</w:t>
      </w:r>
      <w:r w:rsidRPr="007A0C6C">
        <w:rPr>
          <w:rFonts w:ascii="Times New Roman" w:hAnsi="Times New Roman"/>
          <w:sz w:val="20"/>
          <w:szCs w:val="20"/>
        </w:rPr>
        <w:t>-EMA) lost 69.53% of its weight and p(AAm-</w:t>
      </w:r>
      <w:r w:rsidRPr="007A0C6C">
        <w:rPr>
          <w:rFonts w:ascii="Times New Roman" w:hAnsi="Times New Roman"/>
          <w:i/>
          <w:sz w:val="20"/>
          <w:szCs w:val="20"/>
        </w:rPr>
        <w:t>co</w:t>
      </w:r>
      <w:r w:rsidRPr="007A0C6C">
        <w:rPr>
          <w:rFonts w:ascii="Times New Roman" w:hAnsi="Times New Roman"/>
          <w:sz w:val="20"/>
          <w:szCs w:val="20"/>
        </w:rPr>
        <w:t>-EMA)/AgNW lost 56.03% of its weight. According to Bihter et al. [20], the increasing amount of conductive material added should increase the loss of weight percentage. However, due to the different weights of samples used in this experiment, the loss of weight percentages differed.</w:t>
      </w: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noProof/>
          <w:sz w:val="20"/>
          <w:szCs w:val="20"/>
          <w:lang w:bidi="ar-SA"/>
        </w:rPr>
        <w:drawing>
          <wp:anchor distT="0" distB="0" distL="114300" distR="114300" simplePos="0" relativeHeight="251695616" behindDoc="0" locked="0" layoutInCell="1" allowOverlap="1" wp14:anchorId="64E52E69" wp14:editId="4732708C">
            <wp:simplePos x="0" y="0"/>
            <wp:positionH relativeFrom="column">
              <wp:posOffset>1271270</wp:posOffset>
            </wp:positionH>
            <wp:positionV relativeFrom="paragraph">
              <wp:posOffset>16510</wp:posOffset>
            </wp:positionV>
            <wp:extent cx="3381375" cy="2286000"/>
            <wp:effectExtent l="0" t="0" r="9525" b="0"/>
            <wp:wrapSquare wrapText="bothSides"/>
            <wp:docPr id="21" name="Picture 21" descr="tga-dtg curv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ga-dtg curve-1"/>
                    <pic:cNvPicPr>
                      <a:picLocks noChangeAspect="1"/>
                    </pic:cNvPicPr>
                  </pic:nvPicPr>
                  <pic:blipFill>
                    <a:blip r:embed="rId21"/>
                    <a:stretch>
                      <a:fillRect/>
                    </a:stretch>
                  </pic:blipFill>
                  <pic:spPr>
                    <a:xfrm>
                      <a:off x="0" y="0"/>
                      <a:ext cx="3381375" cy="2286000"/>
                    </a:xfrm>
                    <a:prstGeom prst="rect">
                      <a:avLst/>
                    </a:prstGeom>
                  </pic:spPr>
                </pic:pic>
              </a:graphicData>
            </a:graphic>
            <wp14:sizeRelH relativeFrom="margin">
              <wp14:pctWidth>0</wp14:pctWidth>
            </wp14:sizeRelH>
            <wp14:sizeRelV relativeFrom="margin">
              <wp14:pctHeight>0</wp14:pctHeight>
            </wp14:sizeRelV>
          </wp:anchor>
        </w:drawing>
      </w:r>
    </w:p>
    <w:p w:rsidR="007A0C6C" w:rsidRPr="007A0C6C" w:rsidRDefault="007A0C6C" w:rsidP="007A0C6C">
      <w:pPr>
        <w:tabs>
          <w:tab w:val="left" w:pos="9270"/>
        </w:tabs>
        <w:spacing w:after="0" w:line="240" w:lineRule="auto"/>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7A0C6C">
      <w:pPr>
        <w:pStyle w:val="ListParagraph"/>
        <w:spacing w:after="0" w:line="240" w:lineRule="auto"/>
        <w:ind w:left="0"/>
        <w:contextualSpacing w:val="0"/>
        <w:jc w:val="both"/>
        <w:outlineLvl w:val="0"/>
        <w:rPr>
          <w:rFonts w:ascii="Times New Roman" w:hAnsi="Times New Roman"/>
          <w:sz w:val="20"/>
          <w:szCs w:val="20"/>
        </w:rPr>
      </w:pPr>
    </w:p>
    <w:p w:rsidR="007A0C6C" w:rsidRPr="007A0C6C" w:rsidRDefault="007A0C6C" w:rsidP="002B78F0">
      <w:pPr>
        <w:pStyle w:val="ListParagraph"/>
        <w:spacing w:after="0" w:line="240" w:lineRule="auto"/>
        <w:ind w:left="0"/>
        <w:contextualSpacing w:val="0"/>
        <w:jc w:val="center"/>
        <w:outlineLvl w:val="0"/>
        <w:rPr>
          <w:rFonts w:ascii="Times New Roman" w:hAnsi="Times New Roman"/>
          <w:sz w:val="20"/>
          <w:szCs w:val="20"/>
        </w:rPr>
      </w:pPr>
      <w:r w:rsidRPr="007A0C6C">
        <w:rPr>
          <w:rFonts w:ascii="Times New Roman" w:hAnsi="Times New Roman"/>
          <w:sz w:val="20"/>
          <w:szCs w:val="20"/>
        </w:rPr>
        <w:t xml:space="preserve">Figure 8. </w:t>
      </w:r>
      <w:r w:rsidR="002B78F0">
        <w:rPr>
          <w:rFonts w:ascii="Times New Roman" w:hAnsi="Times New Roman"/>
          <w:sz w:val="20"/>
          <w:szCs w:val="20"/>
        </w:rPr>
        <w:t xml:space="preserve"> </w:t>
      </w:r>
      <w:r w:rsidRPr="007A0C6C">
        <w:rPr>
          <w:rFonts w:ascii="Times New Roman" w:hAnsi="Times New Roman"/>
          <w:sz w:val="20"/>
          <w:szCs w:val="20"/>
        </w:rPr>
        <w:t>Thermogram for p(AAm-</w:t>
      </w:r>
      <w:r w:rsidRPr="007A0C6C">
        <w:rPr>
          <w:rFonts w:ascii="Times New Roman" w:hAnsi="Times New Roman"/>
          <w:i/>
          <w:sz w:val="20"/>
          <w:szCs w:val="20"/>
        </w:rPr>
        <w:t>co</w:t>
      </w:r>
      <w:r w:rsidRPr="007A0C6C">
        <w:rPr>
          <w:rFonts w:ascii="Times New Roman" w:hAnsi="Times New Roman"/>
          <w:sz w:val="20"/>
          <w:szCs w:val="20"/>
        </w:rPr>
        <w:t>-EMA) and p(AAm-</w:t>
      </w:r>
      <w:r w:rsidRPr="007A0C6C">
        <w:rPr>
          <w:rFonts w:ascii="Times New Roman" w:hAnsi="Times New Roman"/>
          <w:i/>
          <w:sz w:val="20"/>
          <w:szCs w:val="20"/>
        </w:rPr>
        <w:t>co</w:t>
      </w:r>
      <w:r w:rsidRPr="007A0C6C">
        <w:rPr>
          <w:rFonts w:ascii="Times New Roman" w:hAnsi="Times New Roman"/>
          <w:sz w:val="20"/>
          <w:szCs w:val="20"/>
        </w:rPr>
        <w:t>-EMA)/AgNWs</w:t>
      </w: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iCs/>
          <w:sz w:val="20"/>
          <w:szCs w:val="20"/>
        </w:rPr>
      </w:pPr>
      <w:r w:rsidRPr="007A0C6C">
        <w:rPr>
          <w:rFonts w:ascii="Times New Roman" w:hAnsi="Times New Roman"/>
          <w:b/>
          <w:iCs/>
          <w:sz w:val="20"/>
          <w:szCs w:val="20"/>
        </w:rPr>
        <w:t>Electrochemical behaviors of malachite green</w:t>
      </w:r>
    </w:p>
    <w:p w:rsidR="007A0C6C" w:rsidRPr="007A0C6C" w:rsidRDefault="007A0C6C" w:rsidP="002B78F0">
      <w:pPr>
        <w:spacing w:after="120" w:line="240" w:lineRule="auto"/>
        <w:jc w:val="both"/>
        <w:outlineLvl w:val="0"/>
        <w:rPr>
          <w:rFonts w:ascii="Times New Roman" w:hAnsi="Times New Roman"/>
          <w:sz w:val="20"/>
          <w:szCs w:val="20"/>
        </w:rPr>
      </w:pPr>
      <w:r w:rsidRPr="007A0C6C">
        <w:rPr>
          <w:rFonts w:ascii="Times New Roman" w:hAnsi="Times New Roman"/>
          <w:sz w:val="20"/>
          <w:szCs w:val="20"/>
        </w:rPr>
        <w:t>Figure 9 shows different electrochemical behaviors of 1 × 10</w:t>
      </w:r>
      <w:r w:rsidRPr="007A0C6C">
        <w:rPr>
          <w:rFonts w:ascii="Times New Roman" w:hAnsi="Times New Roman"/>
          <w:sz w:val="20"/>
          <w:szCs w:val="20"/>
          <w:vertAlign w:val="superscript"/>
        </w:rPr>
        <w:t xml:space="preserve">-5 </w:t>
      </w:r>
      <w:r w:rsidRPr="007A0C6C">
        <w:rPr>
          <w:rFonts w:ascii="Times New Roman" w:hAnsi="Times New Roman"/>
          <w:sz w:val="20"/>
          <w:szCs w:val="20"/>
        </w:rPr>
        <w:t>M MG solution by using different types of films coated on the screen-printed carbon electrode (SPE) that acted as the working electrode. The p(AAm-</w:t>
      </w:r>
      <w:r w:rsidRPr="007A0C6C">
        <w:rPr>
          <w:rFonts w:ascii="Times New Roman" w:hAnsi="Times New Roman"/>
          <w:i/>
          <w:iCs/>
          <w:sz w:val="20"/>
          <w:szCs w:val="20"/>
        </w:rPr>
        <w:t>co</w:t>
      </w:r>
      <w:r w:rsidRPr="007A0C6C">
        <w:rPr>
          <w:rFonts w:ascii="Times New Roman" w:hAnsi="Times New Roman"/>
          <w:sz w:val="20"/>
          <w:szCs w:val="20"/>
        </w:rPr>
        <w:t>-EMA)/SPE showed neither anodic nor cathodic peak in the cyclic voltammogram. Meanwhile, the p(AAm-</w:t>
      </w:r>
      <w:r w:rsidRPr="007A0C6C">
        <w:rPr>
          <w:rFonts w:ascii="Times New Roman" w:hAnsi="Times New Roman"/>
          <w:i/>
          <w:iCs/>
          <w:sz w:val="20"/>
          <w:szCs w:val="20"/>
        </w:rPr>
        <w:t>co</w:t>
      </w:r>
      <w:r w:rsidRPr="007A0C6C">
        <w:rPr>
          <w:rFonts w:ascii="Times New Roman" w:hAnsi="Times New Roman"/>
          <w:sz w:val="20"/>
          <w:szCs w:val="20"/>
        </w:rPr>
        <w:t>-EMA)/AgNWs/Ru(bpy)</w:t>
      </w:r>
      <w:r w:rsidRPr="007A0C6C">
        <w:rPr>
          <w:rFonts w:ascii="Times New Roman" w:hAnsi="Times New Roman"/>
          <w:sz w:val="20"/>
          <w:szCs w:val="20"/>
          <w:vertAlign w:val="subscript"/>
        </w:rPr>
        <w:t>3</w:t>
      </w:r>
      <w:r w:rsidRPr="007A0C6C">
        <w:rPr>
          <w:rFonts w:ascii="Times New Roman" w:hAnsi="Times New Roman"/>
          <w:sz w:val="20"/>
          <w:szCs w:val="20"/>
          <w:vertAlign w:val="superscript"/>
        </w:rPr>
        <w:t>2+/</w:t>
      </w:r>
      <w:r w:rsidRPr="007A0C6C">
        <w:rPr>
          <w:rFonts w:ascii="Times New Roman" w:hAnsi="Times New Roman"/>
          <w:sz w:val="20"/>
          <w:szCs w:val="20"/>
        </w:rPr>
        <w:t>SPE showed that a small cathodic peak of malachite green can be seen at around -1.0 V and a small anodic peak</w:t>
      </w:r>
      <w:r w:rsidRPr="007A0C6C">
        <w:rPr>
          <w:rStyle w:val="CommentReference"/>
          <w:rFonts w:ascii="Times New Roman" w:hAnsi="Times New Roman"/>
          <w:sz w:val="20"/>
          <w:szCs w:val="20"/>
        </w:rPr>
        <w:t xml:space="preserve"> ca</w:t>
      </w:r>
      <w:r w:rsidRPr="007A0C6C">
        <w:rPr>
          <w:rFonts w:ascii="Times New Roman" w:hAnsi="Times New Roman"/>
          <w:sz w:val="20"/>
          <w:szCs w:val="20"/>
        </w:rPr>
        <w:t xml:space="preserve">n be seen at around 0.25 V [21]. The cathodic peak showed that one electron was oxidized to form malachite green cation radical, while the anodic indicated the deprotonated of malachite green cation radical to form malachite green free radical [15]. The schematic reaction for the detection of </w:t>
      </w:r>
      <w:r w:rsidR="002B78F0">
        <w:rPr>
          <w:rFonts w:ascii="Times New Roman" w:hAnsi="Times New Roman"/>
          <w:sz w:val="20"/>
          <w:szCs w:val="20"/>
        </w:rPr>
        <w:t>malachite green can be seen in S</w:t>
      </w:r>
      <w:r w:rsidRPr="007A0C6C">
        <w:rPr>
          <w:rFonts w:ascii="Times New Roman" w:hAnsi="Times New Roman"/>
          <w:sz w:val="20"/>
          <w:szCs w:val="20"/>
        </w:rPr>
        <w:t>cheme 1. Malachite green radical formed with the help of redox reaction of Ru(bpy)</w:t>
      </w:r>
      <w:r w:rsidRPr="007A0C6C">
        <w:rPr>
          <w:rFonts w:ascii="Times New Roman" w:hAnsi="Times New Roman"/>
          <w:sz w:val="20"/>
          <w:szCs w:val="20"/>
          <w:vertAlign w:val="subscript"/>
        </w:rPr>
        <w:t>3</w:t>
      </w:r>
      <w:r w:rsidRPr="007A0C6C">
        <w:rPr>
          <w:rFonts w:ascii="Times New Roman" w:hAnsi="Times New Roman"/>
          <w:sz w:val="20"/>
          <w:szCs w:val="20"/>
          <w:vertAlign w:val="superscript"/>
        </w:rPr>
        <w:t>2+</w:t>
      </w:r>
      <w:r w:rsidRPr="007A0C6C">
        <w:rPr>
          <w:rFonts w:ascii="Times New Roman" w:hAnsi="Times New Roman"/>
          <w:sz w:val="20"/>
          <w:szCs w:val="20"/>
        </w:rPr>
        <w:t xml:space="preserve">. Thus, the cyclic voltammogram showed the reversible reaction of malachite green. </w:t>
      </w:r>
      <w:r w:rsidRPr="007A0C6C">
        <w:rPr>
          <w:rStyle w:val="CommentReference"/>
          <w:rFonts w:ascii="Times New Roman" w:hAnsi="Times New Roman"/>
          <w:sz w:val="20"/>
          <w:szCs w:val="20"/>
        </w:rPr>
        <w:t>The</w:t>
      </w:r>
      <w:r w:rsidRPr="007A0C6C">
        <w:rPr>
          <w:rFonts w:ascii="Times New Roman" w:hAnsi="Times New Roman"/>
          <w:sz w:val="20"/>
          <w:szCs w:val="20"/>
        </w:rPr>
        <w:t xml:space="preserve"> p(AAm-</w:t>
      </w:r>
      <w:r w:rsidRPr="007A0C6C">
        <w:rPr>
          <w:rFonts w:ascii="Times New Roman" w:hAnsi="Times New Roman"/>
          <w:i/>
          <w:iCs/>
          <w:sz w:val="20"/>
          <w:szCs w:val="20"/>
        </w:rPr>
        <w:t>co</w:t>
      </w:r>
      <w:r w:rsidRPr="007A0C6C">
        <w:rPr>
          <w:rFonts w:ascii="Times New Roman" w:hAnsi="Times New Roman"/>
          <w:sz w:val="20"/>
          <w:szCs w:val="20"/>
        </w:rPr>
        <w:t>-EMA)/AgNWs/Ru(bpy)</w:t>
      </w:r>
      <w:r w:rsidRPr="007A0C6C">
        <w:rPr>
          <w:rFonts w:ascii="Times New Roman" w:hAnsi="Times New Roman"/>
          <w:sz w:val="20"/>
          <w:szCs w:val="20"/>
          <w:vertAlign w:val="subscript"/>
        </w:rPr>
        <w:t>3</w:t>
      </w:r>
      <w:r w:rsidRPr="007A0C6C">
        <w:rPr>
          <w:rFonts w:ascii="Times New Roman" w:hAnsi="Times New Roman"/>
          <w:sz w:val="20"/>
          <w:szCs w:val="20"/>
          <w:vertAlign w:val="superscript"/>
        </w:rPr>
        <w:t>2+/</w:t>
      </w:r>
      <w:r w:rsidRPr="007A0C6C">
        <w:rPr>
          <w:rFonts w:ascii="Times New Roman" w:hAnsi="Times New Roman"/>
          <w:sz w:val="20"/>
          <w:szCs w:val="20"/>
        </w:rPr>
        <w:t>SPE showed the highest current values for both cathodic and anodic peaks. Thus, the presence of Ru(bpy)</w:t>
      </w:r>
      <w:r w:rsidRPr="007A0C6C">
        <w:rPr>
          <w:rFonts w:ascii="Times New Roman" w:hAnsi="Times New Roman"/>
          <w:sz w:val="20"/>
          <w:szCs w:val="20"/>
          <w:vertAlign w:val="subscript"/>
        </w:rPr>
        <w:t>3</w:t>
      </w:r>
      <w:r w:rsidRPr="007A0C6C">
        <w:rPr>
          <w:rFonts w:ascii="Times New Roman" w:hAnsi="Times New Roman"/>
          <w:sz w:val="20"/>
          <w:szCs w:val="20"/>
          <w:vertAlign w:val="superscript"/>
        </w:rPr>
        <w:t xml:space="preserve">2+ </w:t>
      </w:r>
      <w:r w:rsidRPr="007A0C6C">
        <w:rPr>
          <w:rFonts w:ascii="Times New Roman" w:hAnsi="Times New Roman"/>
          <w:sz w:val="20"/>
          <w:szCs w:val="20"/>
        </w:rPr>
        <w:t>was able to help the detection of malachite green and AgNWs was able to increase the sensitivity of working electrodes. However, the lack of porosity of p(AAm-</w:t>
      </w:r>
      <w:r w:rsidRPr="007A0C6C">
        <w:rPr>
          <w:rFonts w:ascii="Times New Roman" w:hAnsi="Times New Roman"/>
          <w:i/>
          <w:sz w:val="20"/>
          <w:szCs w:val="20"/>
        </w:rPr>
        <w:t>co</w:t>
      </w:r>
      <w:r w:rsidRPr="007A0C6C">
        <w:rPr>
          <w:rFonts w:ascii="Times New Roman" w:hAnsi="Times New Roman"/>
          <w:sz w:val="20"/>
          <w:szCs w:val="20"/>
        </w:rPr>
        <w:t xml:space="preserve">-EMA) as shown in the cross section of SEM micrograph led to low current value. </w:t>
      </w:r>
    </w:p>
    <w:p w:rsidR="007A0C6C" w:rsidRPr="007A0C6C" w:rsidRDefault="007A0C6C" w:rsidP="007A0C6C">
      <w:pPr>
        <w:spacing w:after="0" w:line="240" w:lineRule="auto"/>
        <w:jc w:val="both"/>
        <w:outlineLvl w:val="0"/>
        <w:rPr>
          <w:rFonts w:ascii="Times New Roman" w:hAnsi="Times New Roman"/>
          <w:sz w:val="20"/>
          <w:szCs w:val="20"/>
        </w:rPr>
      </w:pPr>
      <w:r w:rsidRPr="007A0C6C">
        <w:rPr>
          <w:rFonts w:ascii="Times New Roman" w:hAnsi="Times New Roman"/>
          <w:b/>
          <w:noProof/>
          <w:sz w:val="20"/>
          <w:szCs w:val="20"/>
          <w:lang w:bidi="ar-SA"/>
        </w:rPr>
        <w:drawing>
          <wp:anchor distT="0" distB="0" distL="114300" distR="114300" simplePos="0" relativeHeight="251696640" behindDoc="0" locked="0" layoutInCell="1" allowOverlap="1" wp14:anchorId="7514951B" wp14:editId="31A91C61">
            <wp:simplePos x="0" y="0"/>
            <wp:positionH relativeFrom="column">
              <wp:posOffset>1247140</wp:posOffset>
            </wp:positionH>
            <wp:positionV relativeFrom="paragraph">
              <wp:posOffset>118110</wp:posOffset>
            </wp:positionV>
            <wp:extent cx="3300095" cy="2719070"/>
            <wp:effectExtent l="19050" t="19050" r="14605" b="24130"/>
            <wp:wrapSquare wrapText="bothSides"/>
            <wp:docPr id="12" name="Picture 12" descr="C:\Users\User\Pictures\cv-mjas jurnal.pngcv-mjas j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User\Pictures\cv-mjas jurnal.pngcv-mjas jurnal"/>
                    <pic:cNvPicPr>
                      <a:picLocks noChangeAspect="1"/>
                    </pic:cNvPicPr>
                  </pic:nvPicPr>
                  <pic:blipFill>
                    <a:blip r:embed="rId22"/>
                    <a:srcRect/>
                    <a:stretch>
                      <a:fillRect/>
                    </a:stretch>
                  </pic:blipFill>
                  <pic:spPr>
                    <a:xfrm>
                      <a:off x="0" y="0"/>
                      <a:ext cx="3300095" cy="271907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Cs/>
          <w:sz w:val="20"/>
          <w:szCs w:val="20"/>
        </w:rPr>
      </w:pPr>
    </w:p>
    <w:p w:rsidR="007A0C6C" w:rsidRPr="007A0C6C" w:rsidRDefault="007A0C6C" w:rsidP="002B78F0">
      <w:pPr>
        <w:spacing w:after="0" w:line="240" w:lineRule="auto"/>
        <w:jc w:val="center"/>
        <w:outlineLvl w:val="0"/>
        <w:rPr>
          <w:rFonts w:ascii="Times New Roman" w:hAnsi="Times New Roman"/>
          <w:sz w:val="20"/>
          <w:szCs w:val="20"/>
        </w:rPr>
      </w:pPr>
      <w:r w:rsidRPr="007A0C6C">
        <w:rPr>
          <w:rFonts w:ascii="Times New Roman" w:hAnsi="Times New Roman"/>
          <w:bCs/>
          <w:sz w:val="20"/>
          <w:szCs w:val="20"/>
        </w:rPr>
        <w:t xml:space="preserve">Figure 9. </w:t>
      </w:r>
      <w:r w:rsidR="002B78F0">
        <w:rPr>
          <w:rFonts w:ascii="Times New Roman" w:hAnsi="Times New Roman"/>
          <w:bCs/>
          <w:sz w:val="20"/>
          <w:szCs w:val="20"/>
        </w:rPr>
        <w:t xml:space="preserve"> </w:t>
      </w:r>
      <w:r w:rsidRPr="007A0C6C">
        <w:rPr>
          <w:rFonts w:ascii="Times New Roman" w:hAnsi="Times New Roman"/>
          <w:sz w:val="20"/>
          <w:szCs w:val="20"/>
        </w:rPr>
        <w:t>The cyclic voltammogram for different type of film coated on screen printed carbon electrode</w:t>
      </w:r>
    </w:p>
    <w:p w:rsidR="007A0C6C" w:rsidRDefault="007A0C6C" w:rsidP="007A0C6C">
      <w:pPr>
        <w:spacing w:after="0" w:line="240" w:lineRule="auto"/>
        <w:jc w:val="both"/>
        <w:outlineLvl w:val="0"/>
        <w:rPr>
          <w:rFonts w:ascii="Times New Roman" w:hAnsi="Times New Roman"/>
          <w:b/>
          <w:sz w:val="20"/>
          <w:szCs w:val="20"/>
        </w:rPr>
      </w:pPr>
    </w:p>
    <w:p w:rsidR="002B78F0" w:rsidRPr="007A0C6C" w:rsidRDefault="002B78F0" w:rsidP="007A0C6C">
      <w:pPr>
        <w:spacing w:after="0" w:line="240" w:lineRule="auto"/>
        <w:jc w:val="both"/>
        <w:outlineLvl w:val="0"/>
        <w:rPr>
          <w:rFonts w:ascii="Times New Roman" w:hAnsi="Times New Roman"/>
          <w:b/>
          <w:sz w:val="20"/>
          <w:szCs w:val="20"/>
        </w:rPr>
      </w:pPr>
    </w:p>
    <w:p w:rsidR="007A0C6C" w:rsidRPr="007A0C6C" w:rsidRDefault="007A0C6C" w:rsidP="007A0C6C">
      <w:pPr>
        <w:spacing w:after="0" w:line="240" w:lineRule="auto"/>
        <w:jc w:val="both"/>
        <w:outlineLvl w:val="0"/>
        <w:rPr>
          <w:rFonts w:ascii="Times New Roman" w:hAnsi="Times New Roman"/>
          <w:b/>
          <w:sz w:val="20"/>
          <w:szCs w:val="20"/>
        </w:rPr>
      </w:pPr>
    </w:p>
    <w:p w:rsidR="007A0C6C" w:rsidRPr="007A0C6C" w:rsidRDefault="007A0C6C" w:rsidP="002B78F0">
      <w:pPr>
        <w:spacing w:after="0" w:line="240" w:lineRule="auto"/>
        <w:ind w:firstLine="2790"/>
        <w:jc w:val="both"/>
        <w:rPr>
          <w:rFonts w:ascii="Times New Roman" w:hAnsi="Times New Roman"/>
          <w:noProof/>
          <w:sz w:val="20"/>
          <w:szCs w:val="20"/>
          <w:vertAlign w:val="superscript"/>
        </w:rPr>
      </w:pPr>
      <w:r w:rsidRPr="007A0C6C">
        <w:rPr>
          <w:rFonts w:ascii="Times New Roman" w:hAnsi="Times New Roman"/>
          <w:noProof/>
          <w:sz w:val="20"/>
          <w:szCs w:val="20"/>
        </w:rPr>
        <w:t>Ru(bpy)</w:t>
      </w:r>
      <w:r w:rsidRPr="007A0C6C">
        <w:rPr>
          <w:rFonts w:ascii="Times New Roman" w:hAnsi="Times New Roman"/>
          <w:noProof/>
          <w:sz w:val="20"/>
          <w:szCs w:val="20"/>
          <w:vertAlign w:val="subscript"/>
        </w:rPr>
        <w:t>3</w:t>
      </w:r>
      <w:r w:rsidRPr="007A0C6C">
        <w:rPr>
          <w:rFonts w:ascii="Times New Roman" w:hAnsi="Times New Roman"/>
          <w:noProof/>
          <w:sz w:val="20"/>
          <w:szCs w:val="20"/>
          <w:vertAlign w:val="superscript"/>
        </w:rPr>
        <w:t>2+</w:t>
      </w:r>
      <w:r w:rsidRPr="007A0C6C">
        <w:rPr>
          <w:rFonts w:ascii="Times New Roman" w:hAnsi="Times New Roman"/>
          <w:noProof/>
          <w:sz w:val="20"/>
          <w:szCs w:val="20"/>
        </w:rPr>
        <w:t xml:space="preserve"> - e</w:t>
      </w:r>
      <w:r w:rsidRPr="007A0C6C">
        <w:rPr>
          <w:rFonts w:ascii="Times New Roman" w:hAnsi="Times New Roman"/>
          <w:noProof/>
          <w:sz w:val="20"/>
          <w:szCs w:val="20"/>
          <w:vertAlign w:val="superscript"/>
        </w:rPr>
        <w:t>-</w:t>
      </w:r>
      <w:r w:rsidRPr="007A0C6C">
        <w:rPr>
          <w:rFonts w:ascii="Times New Roman" w:hAnsi="Times New Roman"/>
          <w:noProof/>
          <w:sz w:val="20"/>
          <w:szCs w:val="20"/>
        </w:rPr>
        <w:t xml:space="preserve"> → Ru(bpy)</w:t>
      </w:r>
      <w:r w:rsidRPr="007A0C6C">
        <w:rPr>
          <w:rFonts w:ascii="Times New Roman" w:hAnsi="Times New Roman"/>
          <w:noProof/>
          <w:sz w:val="20"/>
          <w:szCs w:val="20"/>
          <w:vertAlign w:val="subscript"/>
        </w:rPr>
        <w:t>3</w:t>
      </w:r>
      <w:r w:rsidRPr="007A0C6C">
        <w:rPr>
          <w:rFonts w:ascii="Times New Roman" w:hAnsi="Times New Roman"/>
          <w:noProof/>
          <w:sz w:val="20"/>
          <w:szCs w:val="20"/>
          <w:vertAlign w:val="superscript"/>
        </w:rPr>
        <w:t>3+</w:t>
      </w:r>
    </w:p>
    <w:p w:rsidR="007A0C6C" w:rsidRPr="007A0C6C" w:rsidRDefault="007A0C6C" w:rsidP="002B78F0">
      <w:pPr>
        <w:spacing w:before="120" w:after="0" w:line="240" w:lineRule="auto"/>
        <w:ind w:firstLine="2790"/>
        <w:jc w:val="both"/>
        <w:rPr>
          <w:rFonts w:ascii="Times New Roman" w:hAnsi="Times New Roman"/>
          <w:noProof/>
          <w:sz w:val="20"/>
          <w:szCs w:val="20"/>
        </w:rPr>
      </w:pPr>
      <w:r w:rsidRPr="007A0C6C">
        <w:rPr>
          <w:rFonts w:ascii="Times New Roman" w:hAnsi="Times New Roman"/>
          <w:noProof/>
          <w:sz w:val="20"/>
          <w:szCs w:val="20"/>
        </w:rPr>
        <w:t>Ru(bpy)</w:t>
      </w:r>
      <w:r w:rsidRPr="007A0C6C">
        <w:rPr>
          <w:rFonts w:ascii="Times New Roman" w:hAnsi="Times New Roman"/>
          <w:noProof/>
          <w:sz w:val="20"/>
          <w:szCs w:val="20"/>
          <w:vertAlign w:val="subscript"/>
        </w:rPr>
        <w:t>3</w:t>
      </w:r>
      <w:r w:rsidRPr="007A0C6C">
        <w:rPr>
          <w:rFonts w:ascii="Times New Roman" w:hAnsi="Times New Roman"/>
          <w:noProof/>
          <w:sz w:val="20"/>
          <w:szCs w:val="20"/>
          <w:vertAlign w:val="superscript"/>
        </w:rPr>
        <w:t xml:space="preserve">3+ </w:t>
      </w:r>
      <w:r w:rsidRPr="007A0C6C">
        <w:rPr>
          <w:rFonts w:ascii="Times New Roman" w:hAnsi="Times New Roman"/>
          <w:noProof/>
          <w:sz w:val="20"/>
          <w:szCs w:val="20"/>
        </w:rPr>
        <w:t>+ MG → Ru(bpy)</w:t>
      </w:r>
      <w:r w:rsidRPr="007A0C6C">
        <w:rPr>
          <w:rFonts w:ascii="Times New Roman" w:hAnsi="Times New Roman"/>
          <w:noProof/>
          <w:sz w:val="20"/>
          <w:szCs w:val="20"/>
          <w:vertAlign w:val="subscript"/>
        </w:rPr>
        <w:t>3</w:t>
      </w:r>
      <w:r w:rsidRPr="007A0C6C">
        <w:rPr>
          <w:rFonts w:ascii="Times New Roman" w:hAnsi="Times New Roman"/>
          <w:noProof/>
          <w:sz w:val="20"/>
          <w:szCs w:val="20"/>
          <w:vertAlign w:val="superscript"/>
        </w:rPr>
        <w:t>2+</w:t>
      </w:r>
      <w:r w:rsidRPr="007A0C6C">
        <w:rPr>
          <w:rFonts w:ascii="Times New Roman" w:hAnsi="Times New Roman"/>
          <w:noProof/>
          <w:sz w:val="20"/>
          <w:szCs w:val="20"/>
        </w:rPr>
        <w:t xml:space="preserve"> + </w:t>
      </w:r>
      <w:r w:rsidRPr="007A0C6C">
        <w:rPr>
          <w:rFonts w:ascii="Times New Roman" w:hAnsi="Times New Roman"/>
          <w:noProof/>
          <w:sz w:val="20"/>
          <w:szCs w:val="20"/>
          <w:vertAlign w:val="superscript"/>
        </w:rPr>
        <w:t>●+</w:t>
      </w:r>
      <w:r w:rsidRPr="007A0C6C">
        <w:rPr>
          <w:rFonts w:ascii="Times New Roman" w:hAnsi="Times New Roman"/>
          <w:noProof/>
          <w:sz w:val="20"/>
          <w:szCs w:val="20"/>
        </w:rPr>
        <w:t>MG</w:t>
      </w:r>
    </w:p>
    <w:p w:rsidR="007A0C6C" w:rsidRPr="007A0C6C" w:rsidRDefault="007A0C6C" w:rsidP="002B78F0">
      <w:pPr>
        <w:spacing w:before="120" w:after="120" w:line="240" w:lineRule="auto"/>
        <w:ind w:firstLine="2790"/>
        <w:jc w:val="both"/>
        <w:rPr>
          <w:rFonts w:ascii="Times New Roman" w:hAnsi="Times New Roman"/>
          <w:noProof/>
          <w:sz w:val="20"/>
          <w:szCs w:val="20"/>
        </w:rPr>
      </w:pPr>
      <w:r w:rsidRPr="007A0C6C">
        <w:rPr>
          <w:rFonts w:ascii="Times New Roman" w:hAnsi="Times New Roman"/>
          <w:noProof/>
          <w:sz w:val="20"/>
          <w:szCs w:val="20"/>
        </w:rPr>
        <w:t>MG - e</w:t>
      </w:r>
      <w:r w:rsidRPr="007A0C6C">
        <w:rPr>
          <w:rFonts w:ascii="Times New Roman" w:hAnsi="Times New Roman"/>
          <w:noProof/>
          <w:sz w:val="20"/>
          <w:szCs w:val="20"/>
          <w:vertAlign w:val="superscript"/>
        </w:rPr>
        <w:t>-</w:t>
      </w:r>
      <w:r w:rsidRPr="007A0C6C">
        <w:rPr>
          <w:rFonts w:ascii="Times New Roman" w:hAnsi="Times New Roman"/>
          <w:noProof/>
          <w:sz w:val="20"/>
          <w:szCs w:val="20"/>
        </w:rPr>
        <w:t xml:space="preserve"> → </w:t>
      </w:r>
      <w:r w:rsidRPr="007A0C6C">
        <w:rPr>
          <w:rFonts w:ascii="Times New Roman" w:hAnsi="Times New Roman"/>
          <w:noProof/>
          <w:sz w:val="20"/>
          <w:szCs w:val="20"/>
          <w:vertAlign w:val="superscript"/>
        </w:rPr>
        <w:t>●+</w:t>
      </w:r>
      <w:r w:rsidRPr="007A0C6C">
        <w:rPr>
          <w:rFonts w:ascii="Times New Roman" w:hAnsi="Times New Roman"/>
          <w:noProof/>
          <w:sz w:val="20"/>
          <w:szCs w:val="20"/>
        </w:rPr>
        <w:t>MG</w:t>
      </w:r>
    </w:p>
    <w:p w:rsidR="007A0C6C" w:rsidRPr="007A0C6C" w:rsidRDefault="007A0C6C" w:rsidP="002B78F0">
      <w:pPr>
        <w:spacing w:after="0" w:line="240" w:lineRule="auto"/>
        <w:ind w:firstLine="2790"/>
        <w:jc w:val="both"/>
        <w:rPr>
          <w:rFonts w:ascii="Times New Roman" w:hAnsi="Times New Roman"/>
          <w:noProof/>
          <w:sz w:val="20"/>
          <w:szCs w:val="20"/>
          <w:vertAlign w:val="superscript"/>
        </w:rPr>
      </w:pPr>
      <w:r w:rsidRPr="007A0C6C">
        <w:rPr>
          <w:rFonts w:ascii="Times New Roman" w:hAnsi="Times New Roman"/>
          <w:noProof/>
          <w:sz w:val="20"/>
          <w:szCs w:val="20"/>
          <w:vertAlign w:val="superscript"/>
        </w:rPr>
        <w:t>●+</w:t>
      </w:r>
      <w:r w:rsidRPr="007A0C6C">
        <w:rPr>
          <w:rFonts w:ascii="Times New Roman" w:hAnsi="Times New Roman"/>
          <w:noProof/>
          <w:sz w:val="20"/>
          <w:szCs w:val="20"/>
        </w:rPr>
        <w:t xml:space="preserve">MG → </w:t>
      </w:r>
      <w:r w:rsidRPr="007A0C6C">
        <w:rPr>
          <w:rFonts w:ascii="Times New Roman" w:hAnsi="Times New Roman"/>
          <w:noProof/>
          <w:sz w:val="20"/>
          <w:szCs w:val="20"/>
          <w:vertAlign w:val="superscript"/>
        </w:rPr>
        <w:t>●</w:t>
      </w:r>
      <w:r w:rsidRPr="007A0C6C">
        <w:rPr>
          <w:rFonts w:ascii="Times New Roman" w:hAnsi="Times New Roman"/>
          <w:noProof/>
          <w:sz w:val="20"/>
          <w:szCs w:val="20"/>
        </w:rPr>
        <w:t>MG + H</w:t>
      </w:r>
      <w:r w:rsidRPr="007A0C6C">
        <w:rPr>
          <w:rFonts w:ascii="Times New Roman" w:hAnsi="Times New Roman"/>
          <w:noProof/>
          <w:sz w:val="20"/>
          <w:szCs w:val="20"/>
          <w:vertAlign w:val="superscript"/>
        </w:rPr>
        <w:t>+</w:t>
      </w:r>
    </w:p>
    <w:p w:rsidR="007A0C6C" w:rsidRPr="007A0C6C" w:rsidRDefault="007A0C6C" w:rsidP="002B78F0">
      <w:pPr>
        <w:spacing w:before="120" w:after="0" w:line="240" w:lineRule="auto"/>
        <w:ind w:firstLine="2790"/>
        <w:jc w:val="both"/>
        <w:rPr>
          <w:rFonts w:ascii="Times New Roman" w:hAnsi="Times New Roman"/>
          <w:noProof/>
          <w:sz w:val="20"/>
          <w:szCs w:val="20"/>
        </w:rPr>
      </w:pPr>
      <w:r w:rsidRPr="007A0C6C">
        <w:rPr>
          <w:rFonts w:ascii="Times New Roman" w:hAnsi="Times New Roman"/>
          <w:noProof/>
          <w:sz w:val="20"/>
          <w:szCs w:val="20"/>
        </w:rPr>
        <w:t>Ru(bpy)</w:t>
      </w:r>
      <w:r w:rsidRPr="007A0C6C">
        <w:rPr>
          <w:rFonts w:ascii="Times New Roman" w:hAnsi="Times New Roman"/>
          <w:noProof/>
          <w:sz w:val="20"/>
          <w:szCs w:val="20"/>
          <w:vertAlign w:val="subscript"/>
        </w:rPr>
        <w:t>3</w:t>
      </w:r>
      <w:r w:rsidRPr="007A0C6C">
        <w:rPr>
          <w:rFonts w:ascii="Times New Roman" w:hAnsi="Times New Roman"/>
          <w:noProof/>
          <w:sz w:val="20"/>
          <w:szCs w:val="20"/>
          <w:vertAlign w:val="superscript"/>
        </w:rPr>
        <w:t>3+</w:t>
      </w:r>
      <w:r w:rsidRPr="007A0C6C">
        <w:rPr>
          <w:rFonts w:ascii="Times New Roman" w:hAnsi="Times New Roman"/>
          <w:noProof/>
          <w:sz w:val="20"/>
          <w:szCs w:val="20"/>
        </w:rPr>
        <w:t xml:space="preserve"> + </w:t>
      </w:r>
      <w:r w:rsidRPr="007A0C6C">
        <w:rPr>
          <w:rFonts w:ascii="Times New Roman" w:hAnsi="Times New Roman"/>
          <w:noProof/>
          <w:sz w:val="20"/>
          <w:szCs w:val="20"/>
          <w:vertAlign w:val="superscript"/>
        </w:rPr>
        <w:t>●</w:t>
      </w:r>
      <w:r w:rsidRPr="007A0C6C">
        <w:rPr>
          <w:rFonts w:ascii="Times New Roman" w:hAnsi="Times New Roman"/>
          <w:noProof/>
          <w:sz w:val="20"/>
          <w:szCs w:val="20"/>
        </w:rPr>
        <w:t>MG → Ru(bpy)</w:t>
      </w:r>
      <w:r w:rsidRPr="007A0C6C">
        <w:rPr>
          <w:rFonts w:ascii="Times New Roman" w:hAnsi="Times New Roman"/>
          <w:noProof/>
          <w:sz w:val="20"/>
          <w:szCs w:val="20"/>
          <w:vertAlign w:val="subscript"/>
        </w:rPr>
        <w:t>3</w:t>
      </w:r>
      <w:r w:rsidRPr="007A0C6C">
        <w:rPr>
          <w:rFonts w:ascii="Times New Roman" w:hAnsi="Times New Roman"/>
          <w:noProof/>
          <w:sz w:val="20"/>
          <w:szCs w:val="20"/>
          <w:vertAlign w:val="superscript"/>
        </w:rPr>
        <w:t>2+*</w:t>
      </w:r>
      <w:r w:rsidRPr="007A0C6C">
        <w:rPr>
          <w:rFonts w:ascii="Times New Roman" w:hAnsi="Times New Roman"/>
          <w:noProof/>
          <w:sz w:val="20"/>
          <w:szCs w:val="20"/>
        </w:rPr>
        <w:t xml:space="preserve"> + </w:t>
      </w:r>
      <w:r w:rsidRPr="007A0C6C">
        <w:rPr>
          <w:rFonts w:ascii="Times New Roman" w:hAnsi="Times New Roman"/>
          <w:noProof/>
          <w:sz w:val="20"/>
          <w:szCs w:val="20"/>
          <w:vertAlign w:val="superscript"/>
        </w:rPr>
        <w:t>+</w:t>
      </w:r>
      <w:r w:rsidRPr="007A0C6C">
        <w:rPr>
          <w:rFonts w:ascii="Times New Roman" w:hAnsi="Times New Roman"/>
          <w:noProof/>
          <w:sz w:val="20"/>
          <w:szCs w:val="20"/>
        </w:rPr>
        <w:t>MG</w:t>
      </w:r>
    </w:p>
    <w:p w:rsidR="007A0C6C" w:rsidRPr="007A0C6C" w:rsidRDefault="007A0C6C" w:rsidP="002B78F0">
      <w:pPr>
        <w:spacing w:before="120" w:after="0" w:line="240" w:lineRule="auto"/>
        <w:ind w:firstLine="2790"/>
        <w:jc w:val="both"/>
        <w:rPr>
          <w:rFonts w:ascii="Times New Roman" w:hAnsi="Times New Roman"/>
          <w:noProof/>
          <w:sz w:val="20"/>
          <w:szCs w:val="20"/>
        </w:rPr>
      </w:pPr>
      <w:r w:rsidRPr="007A0C6C">
        <w:rPr>
          <w:rFonts w:ascii="Times New Roman" w:hAnsi="Times New Roman"/>
          <w:noProof/>
          <w:sz w:val="20"/>
          <w:szCs w:val="20"/>
        </w:rPr>
        <w:t>Ru(bpy)</w:t>
      </w:r>
      <w:r w:rsidRPr="007A0C6C">
        <w:rPr>
          <w:rFonts w:ascii="Times New Roman" w:hAnsi="Times New Roman"/>
          <w:noProof/>
          <w:sz w:val="20"/>
          <w:szCs w:val="20"/>
          <w:vertAlign w:val="subscript"/>
        </w:rPr>
        <w:t>3</w:t>
      </w:r>
      <w:r w:rsidRPr="007A0C6C">
        <w:rPr>
          <w:rFonts w:ascii="Times New Roman" w:hAnsi="Times New Roman"/>
          <w:noProof/>
          <w:sz w:val="20"/>
          <w:szCs w:val="20"/>
          <w:vertAlign w:val="superscript"/>
        </w:rPr>
        <w:t xml:space="preserve">2+* </w:t>
      </w:r>
      <w:r w:rsidRPr="007A0C6C">
        <w:rPr>
          <w:rFonts w:ascii="Times New Roman" w:hAnsi="Times New Roman"/>
          <w:noProof/>
          <w:sz w:val="20"/>
          <w:szCs w:val="20"/>
        </w:rPr>
        <w:t>→ Ru(bpy)</w:t>
      </w:r>
      <w:r w:rsidRPr="007A0C6C">
        <w:rPr>
          <w:rFonts w:ascii="Times New Roman" w:hAnsi="Times New Roman"/>
          <w:noProof/>
          <w:sz w:val="20"/>
          <w:szCs w:val="20"/>
          <w:vertAlign w:val="subscript"/>
        </w:rPr>
        <w:t>3</w:t>
      </w:r>
      <w:r w:rsidRPr="007A0C6C">
        <w:rPr>
          <w:rFonts w:ascii="Times New Roman" w:hAnsi="Times New Roman"/>
          <w:noProof/>
          <w:sz w:val="20"/>
          <w:szCs w:val="20"/>
          <w:vertAlign w:val="superscript"/>
        </w:rPr>
        <w:t xml:space="preserve">2+ </w:t>
      </w:r>
      <w:r w:rsidRPr="007A0C6C">
        <w:rPr>
          <w:rFonts w:ascii="Times New Roman" w:hAnsi="Times New Roman"/>
          <w:noProof/>
          <w:sz w:val="20"/>
          <w:szCs w:val="20"/>
        </w:rPr>
        <w:t xml:space="preserve">+ </w:t>
      </w:r>
      <w:r w:rsidRPr="007A0C6C">
        <w:rPr>
          <w:rFonts w:ascii="Times New Roman" w:hAnsi="Times New Roman"/>
          <w:i/>
          <w:iCs/>
          <w:noProof/>
          <w:sz w:val="20"/>
          <w:szCs w:val="20"/>
        </w:rPr>
        <w:t>hv</w:t>
      </w:r>
      <w:r w:rsidRPr="007A0C6C">
        <w:rPr>
          <w:rFonts w:ascii="Times New Roman" w:hAnsi="Times New Roman"/>
          <w:noProof/>
          <w:sz w:val="20"/>
          <w:szCs w:val="20"/>
        </w:rPr>
        <w:t xml:space="preserve"> </w:t>
      </w:r>
    </w:p>
    <w:p w:rsidR="002B78F0" w:rsidRDefault="002B78F0" w:rsidP="007A0C6C">
      <w:pPr>
        <w:spacing w:after="0" w:line="240" w:lineRule="auto"/>
        <w:jc w:val="both"/>
        <w:outlineLvl w:val="0"/>
        <w:rPr>
          <w:rFonts w:ascii="Times New Roman" w:hAnsi="Times New Roman"/>
          <w:sz w:val="20"/>
          <w:szCs w:val="20"/>
        </w:rPr>
      </w:pPr>
    </w:p>
    <w:p w:rsidR="007A0C6C" w:rsidRPr="007A0C6C" w:rsidRDefault="007A0C6C" w:rsidP="002B78F0">
      <w:pPr>
        <w:spacing w:after="0" w:line="240" w:lineRule="auto"/>
        <w:jc w:val="center"/>
        <w:outlineLvl w:val="0"/>
        <w:rPr>
          <w:rFonts w:ascii="Times New Roman" w:hAnsi="Times New Roman"/>
          <w:sz w:val="20"/>
          <w:szCs w:val="20"/>
        </w:rPr>
      </w:pPr>
      <w:r w:rsidRPr="007A0C6C">
        <w:rPr>
          <w:rFonts w:ascii="Times New Roman" w:hAnsi="Times New Roman"/>
          <w:sz w:val="20"/>
          <w:szCs w:val="20"/>
        </w:rPr>
        <w:t xml:space="preserve">Scheme 1. </w:t>
      </w:r>
      <w:r w:rsidR="002B78F0">
        <w:rPr>
          <w:rFonts w:ascii="Times New Roman" w:hAnsi="Times New Roman"/>
          <w:sz w:val="20"/>
          <w:szCs w:val="20"/>
        </w:rPr>
        <w:t xml:space="preserve"> </w:t>
      </w:r>
      <w:r w:rsidRPr="007A0C6C">
        <w:rPr>
          <w:rFonts w:ascii="Times New Roman" w:hAnsi="Times New Roman"/>
          <w:sz w:val="20"/>
          <w:szCs w:val="20"/>
        </w:rPr>
        <w:t>The proposed reaction for detection of malachite green [16]</w:t>
      </w:r>
    </w:p>
    <w:p w:rsidR="00AC0033" w:rsidRDefault="00AC0033" w:rsidP="00AC0033">
      <w:pPr>
        <w:spacing w:after="0" w:line="240" w:lineRule="auto"/>
        <w:jc w:val="center"/>
        <w:rPr>
          <w:rFonts w:ascii="Times New Roman" w:hAnsi="Times New Roman"/>
          <w:noProof/>
          <w:sz w:val="20"/>
          <w:szCs w:val="20"/>
          <w:lang w:bidi="ar-SA"/>
        </w:rPr>
      </w:pPr>
    </w:p>
    <w:p w:rsidR="002B78F0" w:rsidRPr="00F447A7" w:rsidRDefault="002B78F0"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9D0F1B" w:rsidRPr="002B78F0" w:rsidRDefault="009D0F1B" w:rsidP="009D0F1B">
      <w:pPr>
        <w:spacing w:after="0" w:line="240" w:lineRule="auto"/>
        <w:jc w:val="both"/>
        <w:outlineLvl w:val="0"/>
        <w:rPr>
          <w:rFonts w:ascii="Times New Roman" w:hAnsi="Times New Roman"/>
          <w:sz w:val="20"/>
          <w:szCs w:val="20"/>
        </w:rPr>
      </w:pPr>
      <w:r w:rsidRPr="002B78F0">
        <w:rPr>
          <w:rFonts w:ascii="Times New Roman" w:hAnsi="Times New Roman"/>
          <w:sz w:val="20"/>
          <w:szCs w:val="20"/>
        </w:rPr>
        <w:t>The p(AAm-</w:t>
      </w:r>
      <w:r w:rsidRPr="002B78F0">
        <w:rPr>
          <w:rFonts w:ascii="Times New Roman" w:hAnsi="Times New Roman"/>
          <w:i/>
          <w:sz w:val="20"/>
          <w:szCs w:val="20"/>
        </w:rPr>
        <w:t>co</w:t>
      </w:r>
      <w:r w:rsidRPr="002B78F0">
        <w:rPr>
          <w:rFonts w:ascii="Times New Roman" w:hAnsi="Times New Roman"/>
          <w:sz w:val="20"/>
          <w:szCs w:val="20"/>
        </w:rPr>
        <w:t xml:space="preserve">-EMA)/AgNWs film that was characterized by ATR-FTIR showed peaks of –CN and –CO in the spectra, which confirmed that the copolymerization was successful. Besides, </w:t>
      </w:r>
      <w:r w:rsidRPr="002B78F0">
        <w:rPr>
          <w:rFonts w:ascii="Times New Roman" w:hAnsi="Times New Roman"/>
          <w:sz w:val="20"/>
          <w:szCs w:val="20"/>
          <w:vertAlign w:val="superscript"/>
        </w:rPr>
        <w:t>1</w:t>
      </w:r>
      <w:r w:rsidRPr="002B78F0">
        <w:rPr>
          <w:rFonts w:ascii="Times New Roman" w:hAnsi="Times New Roman"/>
          <w:sz w:val="20"/>
          <w:szCs w:val="20"/>
        </w:rPr>
        <w:t>H NMR spectrum proved the ATR-FTIR spectrum by showing the peak of carbonyl and amide groups. Meanwhile, the presence of silver nanowire (AgNWs) in poly(acrylamide-</w:t>
      </w:r>
      <w:r w:rsidRPr="002B78F0">
        <w:rPr>
          <w:rFonts w:ascii="Times New Roman" w:hAnsi="Times New Roman"/>
          <w:i/>
          <w:iCs/>
          <w:sz w:val="20"/>
          <w:szCs w:val="20"/>
        </w:rPr>
        <w:t>co</w:t>
      </w:r>
      <w:r w:rsidRPr="002B78F0">
        <w:rPr>
          <w:rFonts w:ascii="Times New Roman" w:hAnsi="Times New Roman"/>
          <w:sz w:val="20"/>
          <w:szCs w:val="20"/>
        </w:rPr>
        <w:t>-ethyl methacrylate) (p(AAm-</w:t>
      </w:r>
      <w:r w:rsidRPr="002B78F0">
        <w:rPr>
          <w:rFonts w:ascii="Times New Roman" w:hAnsi="Times New Roman"/>
          <w:i/>
          <w:iCs/>
          <w:sz w:val="20"/>
          <w:szCs w:val="20"/>
        </w:rPr>
        <w:t>co</w:t>
      </w:r>
      <w:r w:rsidRPr="002B78F0">
        <w:rPr>
          <w:rFonts w:ascii="Times New Roman" w:hAnsi="Times New Roman"/>
          <w:sz w:val="20"/>
          <w:szCs w:val="20"/>
        </w:rPr>
        <w:t xml:space="preserve">-EMA)) can be seen in the EDX spectrum and mapping micrograph. Based on the cyclic voltammogram, additions of AgNWs and </w:t>
      </w:r>
      <w:r w:rsidRPr="002B78F0">
        <w:rPr>
          <w:rFonts w:ascii="Times New Roman" w:hAnsi="Times New Roman"/>
          <w:iCs/>
          <w:sz w:val="20"/>
          <w:szCs w:val="20"/>
        </w:rPr>
        <w:t>Ru(bpy)</w:t>
      </w:r>
      <w:r w:rsidRPr="002B78F0">
        <w:rPr>
          <w:rFonts w:ascii="Times New Roman" w:hAnsi="Times New Roman"/>
          <w:iCs/>
          <w:sz w:val="20"/>
          <w:szCs w:val="20"/>
          <w:vertAlign w:val="subscript"/>
        </w:rPr>
        <w:t>3</w:t>
      </w:r>
      <w:r w:rsidRPr="002B78F0">
        <w:rPr>
          <w:rFonts w:ascii="Times New Roman" w:hAnsi="Times New Roman"/>
          <w:iCs/>
          <w:sz w:val="20"/>
          <w:szCs w:val="20"/>
          <w:vertAlign w:val="superscript"/>
        </w:rPr>
        <w:t>2+</w:t>
      </w:r>
      <w:r w:rsidRPr="002B78F0">
        <w:rPr>
          <w:rFonts w:ascii="Times New Roman" w:hAnsi="Times New Roman"/>
          <w:sz w:val="20"/>
          <w:szCs w:val="20"/>
        </w:rPr>
        <w:t xml:space="preserve"> in p(AAm-</w:t>
      </w:r>
      <w:r w:rsidRPr="002B78F0">
        <w:rPr>
          <w:rFonts w:ascii="Times New Roman" w:hAnsi="Times New Roman"/>
          <w:i/>
          <w:iCs/>
          <w:sz w:val="20"/>
          <w:szCs w:val="20"/>
        </w:rPr>
        <w:t>co</w:t>
      </w:r>
      <w:r w:rsidRPr="002B78F0">
        <w:rPr>
          <w:rFonts w:ascii="Times New Roman" w:hAnsi="Times New Roman"/>
          <w:sz w:val="20"/>
          <w:szCs w:val="20"/>
        </w:rPr>
        <w:t>-EMA) had improved the performance of malachite green detection. In conclusion, the p(AAm-</w:t>
      </w:r>
      <w:r w:rsidRPr="002B78F0">
        <w:rPr>
          <w:rFonts w:ascii="Times New Roman" w:hAnsi="Times New Roman"/>
          <w:i/>
          <w:iCs/>
          <w:sz w:val="20"/>
          <w:szCs w:val="20"/>
        </w:rPr>
        <w:t>co</w:t>
      </w:r>
      <w:r w:rsidRPr="002B78F0">
        <w:rPr>
          <w:rFonts w:ascii="Times New Roman" w:hAnsi="Times New Roman"/>
          <w:sz w:val="20"/>
          <w:szCs w:val="20"/>
        </w:rPr>
        <w:t>-EMA)/Ru(bpy)</w:t>
      </w:r>
      <w:r w:rsidRPr="002B78F0">
        <w:rPr>
          <w:rFonts w:ascii="Times New Roman" w:hAnsi="Times New Roman"/>
          <w:sz w:val="20"/>
          <w:szCs w:val="20"/>
          <w:vertAlign w:val="subscript"/>
        </w:rPr>
        <w:t>3</w:t>
      </w:r>
      <w:r w:rsidRPr="002B78F0">
        <w:rPr>
          <w:rFonts w:ascii="Times New Roman" w:hAnsi="Times New Roman"/>
          <w:sz w:val="20"/>
          <w:szCs w:val="20"/>
          <w:vertAlign w:val="superscript"/>
        </w:rPr>
        <w:t>2+/</w:t>
      </w:r>
      <w:r w:rsidRPr="002B78F0">
        <w:rPr>
          <w:rFonts w:ascii="Times New Roman" w:hAnsi="Times New Roman"/>
          <w:sz w:val="20"/>
          <w:szCs w:val="20"/>
        </w:rPr>
        <w:t>AgNWs film was suitable to use for developing a malachite green sensor with a need of porosity film modification.</w:t>
      </w:r>
    </w:p>
    <w:p w:rsidR="009D0F1B" w:rsidRPr="002B78F0" w:rsidRDefault="009D0F1B" w:rsidP="009D0F1B">
      <w:pPr>
        <w:spacing w:after="0" w:line="240" w:lineRule="auto"/>
        <w:jc w:val="center"/>
        <w:outlineLvl w:val="0"/>
        <w:rPr>
          <w:rFonts w:ascii="Times New Roman" w:hAnsi="Times New Roman"/>
          <w:sz w:val="20"/>
          <w:szCs w:val="20"/>
        </w:rPr>
      </w:pPr>
    </w:p>
    <w:p w:rsidR="009D0F1B" w:rsidRPr="002B78F0" w:rsidRDefault="009D0F1B" w:rsidP="009D0F1B">
      <w:pPr>
        <w:spacing w:after="0" w:line="240" w:lineRule="auto"/>
        <w:jc w:val="center"/>
        <w:outlineLvl w:val="0"/>
        <w:rPr>
          <w:rFonts w:ascii="Times New Roman" w:hAnsi="Times New Roman"/>
          <w:b/>
          <w:sz w:val="20"/>
          <w:szCs w:val="20"/>
        </w:rPr>
      </w:pPr>
      <w:r w:rsidRPr="002B78F0">
        <w:rPr>
          <w:rFonts w:ascii="Times New Roman" w:hAnsi="Times New Roman"/>
          <w:b/>
          <w:sz w:val="20"/>
          <w:szCs w:val="20"/>
        </w:rPr>
        <w:t>Acknowledgement</w:t>
      </w:r>
    </w:p>
    <w:p w:rsidR="00AC0033" w:rsidRPr="00F447A7" w:rsidRDefault="009D0F1B" w:rsidP="009D0F1B">
      <w:pPr>
        <w:spacing w:after="0" w:line="240" w:lineRule="auto"/>
        <w:jc w:val="both"/>
        <w:outlineLvl w:val="0"/>
        <w:rPr>
          <w:rFonts w:ascii="Times New Roman" w:hAnsi="Times New Roman"/>
          <w:sz w:val="20"/>
          <w:szCs w:val="20"/>
        </w:rPr>
      </w:pPr>
      <w:r w:rsidRPr="002B78F0">
        <w:rPr>
          <w:rFonts w:ascii="Times New Roman" w:hAnsi="Times New Roman"/>
          <w:sz w:val="20"/>
          <w:szCs w:val="20"/>
        </w:rPr>
        <w:t>The authors would like to extend their gratitude towards Faculty Sciences and Technology Universiti Kebangsaan Malaysia and Centre for Research and Innovation Management (CRIM), Universiti Kebangsaan Malaysia for providing research facilities that were used in this research. This work was supported by the FRGS/1/2016/TK07/UKM/02/2 and GUP-2016-061.</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Srivastava, S., Sinha, R. and Roy, D. (2003). Toxological of malachite green. </w:t>
      </w:r>
      <w:r w:rsidRPr="002B78F0">
        <w:rPr>
          <w:rFonts w:ascii="Times New Roman" w:hAnsi="Times New Roman"/>
          <w:i/>
          <w:sz w:val="20"/>
          <w:szCs w:val="20"/>
        </w:rPr>
        <w:t>Aquatic Toxological,</w:t>
      </w:r>
      <w:r w:rsidRPr="002B78F0">
        <w:rPr>
          <w:rFonts w:ascii="Times New Roman" w:hAnsi="Times New Roman"/>
          <w:sz w:val="20"/>
          <w:szCs w:val="20"/>
        </w:rPr>
        <w:t xml:space="preserve"> 66(3): 319 – 329.</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Nurul, H. A. P, Faridah, S., Nur, A. M. S., Gayah, A. R., Othman, M. and Fatimah, A. B. (2013). Malachite green and leuco-malachite green detection in fish using modified enzyme biosensor. </w:t>
      </w:r>
      <w:r w:rsidRPr="002B78F0">
        <w:rPr>
          <w:rFonts w:ascii="Times New Roman" w:hAnsi="Times New Roman"/>
          <w:i/>
          <w:sz w:val="20"/>
          <w:szCs w:val="20"/>
        </w:rPr>
        <w:t>Procedia Chemistry,</w:t>
      </w:r>
      <w:r w:rsidRPr="002B78F0">
        <w:rPr>
          <w:rFonts w:ascii="Times New Roman" w:hAnsi="Times New Roman"/>
          <w:sz w:val="20"/>
          <w:szCs w:val="20"/>
        </w:rPr>
        <w:t xml:space="preserve"> 20: 85 – 89.</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Hahn, Y. B., Ahmad, R. and Tripathy, N. (2012). Chemical and biological sensors based on metal oxide nanostructures. </w:t>
      </w:r>
      <w:r w:rsidRPr="002B78F0">
        <w:rPr>
          <w:rFonts w:ascii="Times New Roman" w:hAnsi="Times New Roman"/>
          <w:i/>
          <w:iCs/>
          <w:sz w:val="20"/>
          <w:szCs w:val="20"/>
        </w:rPr>
        <w:t>Chemical Communication,</w:t>
      </w:r>
      <w:r w:rsidRPr="002B78F0">
        <w:rPr>
          <w:rFonts w:ascii="Times New Roman" w:hAnsi="Times New Roman"/>
          <w:sz w:val="20"/>
          <w:szCs w:val="20"/>
        </w:rPr>
        <w:t xml:space="preserve"> 48: 10369 – 10385.</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Fatma, I. K., Safa’a, M. R., Mamdouh, R. R., Mohamed K. A. E. and Hoda, M. M. (2013). A single novel PVC membrane for dual determination of sulphadimethoxine and malachite green in aquatic environment. </w:t>
      </w:r>
      <w:r w:rsidRPr="002B78F0">
        <w:rPr>
          <w:rFonts w:ascii="Times New Roman" w:hAnsi="Times New Roman"/>
          <w:i/>
          <w:iCs/>
          <w:sz w:val="20"/>
          <w:szCs w:val="20"/>
        </w:rPr>
        <w:t>Arabian Journal of Chemistry</w:t>
      </w:r>
      <w:r w:rsidRPr="002B78F0">
        <w:rPr>
          <w:rFonts w:ascii="Times New Roman" w:hAnsi="Times New Roman"/>
          <w:sz w:val="20"/>
          <w:szCs w:val="20"/>
        </w:rPr>
        <w:t>, 8: 787 – 792.</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Faridah, S., Nurul, H. A. P., Gayah, A. R., Fatimah, A. B., Nur, A. M. S., Othman, M. and Zamri, I. (2013). Enzyme inhibition sensor for malachite green and leuco- malachite green detection in tilapia fish. </w:t>
      </w:r>
      <w:r w:rsidRPr="002B78F0">
        <w:rPr>
          <w:rFonts w:ascii="Times New Roman" w:hAnsi="Times New Roman"/>
          <w:i/>
          <w:iCs/>
          <w:sz w:val="20"/>
          <w:szCs w:val="20"/>
        </w:rPr>
        <w:t>Malaysian Journal of Animal Science,</w:t>
      </w:r>
      <w:r w:rsidRPr="002B78F0">
        <w:rPr>
          <w:rFonts w:ascii="Times New Roman" w:hAnsi="Times New Roman"/>
          <w:sz w:val="20"/>
          <w:szCs w:val="20"/>
        </w:rPr>
        <w:t xml:space="preserve"> 16(1): 1 – 11.</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Kadajji, V. G. and Betageri, G.V. (2011). Water soluble polymers for pharmaceutical applications. </w:t>
      </w:r>
      <w:r w:rsidRPr="002B78F0">
        <w:rPr>
          <w:rFonts w:ascii="Times New Roman" w:hAnsi="Times New Roman"/>
          <w:i/>
          <w:iCs/>
          <w:sz w:val="20"/>
          <w:szCs w:val="20"/>
        </w:rPr>
        <w:t>Polymer,</w:t>
      </w:r>
      <w:r w:rsidRPr="002B78F0">
        <w:rPr>
          <w:rFonts w:ascii="Times New Roman" w:hAnsi="Times New Roman"/>
          <w:sz w:val="20"/>
          <w:szCs w:val="20"/>
        </w:rPr>
        <w:t xml:space="preserve"> 3: 1972 – 2009.</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Gupta, I., Tomar, R. S., Nangpal, A. K. and Singhal, R. (2012). Synthesis and characterization of poly(AAm-co-BMA-co-AAc) hydrogels: Effect of acrylamide content on swelling behaviour. </w:t>
      </w:r>
      <w:r w:rsidRPr="002B78F0">
        <w:rPr>
          <w:rFonts w:ascii="Times New Roman" w:hAnsi="Times New Roman"/>
          <w:i/>
          <w:iCs/>
          <w:sz w:val="20"/>
          <w:szCs w:val="20"/>
        </w:rPr>
        <w:t xml:space="preserve">Designed Monomers and Polymers, </w:t>
      </w:r>
      <w:r w:rsidRPr="002B78F0">
        <w:rPr>
          <w:rFonts w:ascii="Times New Roman" w:hAnsi="Times New Roman"/>
          <w:sz w:val="20"/>
          <w:szCs w:val="20"/>
        </w:rPr>
        <w:t>9(6): 589 – 605.</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Yamashita, K., Matsuki, M., Matsuyama, N., Endo, T., Tojo, H. and Kurota, H. (2000). Composition for peelable coating. European Patent Office, Japan: EP 1 087 000 A1.</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Rozi, N., Hanifah, S. A., Heng, L.Y. and Shyuan. L. H. (2016). Characterization of ultraviolet-photocured acrylamide based polymer. </w:t>
      </w:r>
      <w:r w:rsidRPr="002B78F0">
        <w:rPr>
          <w:rFonts w:ascii="Times New Roman" w:hAnsi="Times New Roman"/>
          <w:i/>
          <w:sz w:val="20"/>
          <w:szCs w:val="20"/>
        </w:rPr>
        <w:t xml:space="preserve">American Institute of Physics, </w:t>
      </w:r>
      <w:r w:rsidRPr="002B78F0">
        <w:rPr>
          <w:rFonts w:ascii="Times New Roman" w:hAnsi="Times New Roman"/>
          <w:sz w:val="20"/>
          <w:szCs w:val="20"/>
        </w:rPr>
        <w:t xml:space="preserve">1784: 1 – 6. </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Chen, S. and Guo, X. (2015). Improving the sensitivity of elastic capacitive pressure sensors using silver nanowire mesh electrodes.</w:t>
      </w:r>
      <w:r w:rsidRPr="002B78F0">
        <w:rPr>
          <w:rFonts w:ascii="Times New Roman" w:hAnsi="Times New Roman"/>
          <w:i/>
          <w:iCs/>
          <w:sz w:val="20"/>
          <w:szCs w:val="20"/>
        </w:rPr>
        <w:t xml:space="preserve"> IEEE Transactions on Nanotechnology, </w:t>
      </w:r>
      <w:r w:rsidRPr="002B78F0">
        <w:rPr>
          <w:rFonts w:ascii="Times New Roman" w:hAnsi="Times New Roman"/>
          <w:sz w:val="20"/>
          <w:szCs w:val="20"/>
        </w:rPr>
        <w:t>14(4): 619 – 623.</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Liu, C. H. and Yu, X. (2011). Silver nano-wire based transparent, flexible, and conductive thin film. </w:t>
      </w:r>
      <w:r w:rsidRPr="002B78F0">
        <w:rPr>
          <w:rFonts w:ascii="Times New Roman" w:hAnsi="Times New Roman"/>
          <w:i/>
          <w:iCs/>
          <w:sz w:val="20"/>
          <w:szCs w:val="20"/>
        </w:rPr>
        <w:t>Nanoscale Research Letters</w:t>
      </w:r>
      <w:r w:rsidRPr="002B78F0">
        <w:rPr>
          <w:rFonts w:ascii="Times New Roman" w:hAnsi="Times New Roman"/>
          <w:sz w:val="20"/>
          <w:szCs w:val="20"/>
        </w:rPr>
        <w:t>, 6(1): 75.</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Lee, J. H., Huynh-Nguyen, B. C., Ko, E., Kim, J. H. and Seong, G. H. (2015). Fabrication of flexible, transparent silver nanowire electrodes for amperometric detection of hydrogen peroxide.</w:t>
      </w:r>
      <w:r w:rsidRPr="002B78F0">
        <w:rPr>
          <w:rFonts w:ascii="Times New Roman" w:hAnsi="Times New Roman"/>
          <w:i/>
          <w:iCs/>
          <w:sz w:val="20"/>
          <w:szCs w:val="20"/>
        </w:rPr>
        <w:t xml:space="preserve"> Sensors and Actuators B: Chemical,</w:t>
      </w:r>
      <w:r w:rsidRPr="002B78F0">
        <w:rPr>
          <w:rFonts w:ascii="Times New Roman" w:hAnsi="Times New Roman"/>
          <w:sz w:val="20"/>
          <w:szCs w:val="20"/>
        </w:rPr>
        <w:t xml:space="preserve"> 224: 789 – 797.</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Dong, L., Gari, R. R. S., Li, Z., Craig, M. M. and Hou, S. (2009). Graphene-supported platinum and platinum–ruthenium nanoparticles with high electrocatalytic activity for methanol and ethanol oxidation. </w:t>
      </w:r>
      <w:r w:rsidRPr="002B78F0">
        <w:rPr>
          <w:rFonts w:ascii="Times New Roman" w:hAnsi="Times New Roman"/>
          <w:i/>
          <w:iCs/>
          <w:sz w:val="20"/>
          <w:szCs w:val="20"/>
        </w:rPr>
        <w:t>Carbon,</w:t>
      </w:r>
      <w:r w:rsidRPr="002B78F0">
        <w:rPr>
          <w:rFonts w:ascii="Times New Roman" w:hAnsi="Times New Roman"/>
          <w:sz w:val="20"/>
          <w:szCs w:val="20"/>
        </w:rPr>
        <w:t xml:space="preserve"> 48: 781 – 787.</w:t>
      </w:r>
    </w:p>
    <w:p w:rsidR="004A794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Shao, J., Zhao, Y., Liu, Y. and Gao, Y. (2015). Detrermination of malachite green and leucomalachite green based on alectrochemiluminescence of Ru(bpy)</w:t>
      </w:r>
      <w:r w:rsidRPr="002B78F0">
        <w:rPr>
          <w:rFonts w:ascii="Times New Roman" w:hAnsi="Times New Roman"/>
          <w:sz w:val="20"/>
          <w:szCs w:val="20"/>
          <w:vertAlign w:val="subscript"/>
        </w:rPr>
        <w:t>3</w:t>
      </w:r>
      <w:r w:rsidRPr="002B78F0">
        <w:rPr>
          <w:rFonts w:ascii="Times New Roman" w:hAnsi="Times New Roman"/>
          <w:sz w:val="20"/>
          <w:szCs w:val="20"/>
          <w:vertAlign w:val="superscript"/>
        </w:rPr>
        <w:t>2+</w:t>
      </w:r>
      <w:r w:rsidRPr="002B78F0">
        <w:rPr>
          <w:rFonts w:ascii="Times New Roman" w:hAnsi="Times New Roman"/>
          <w:sz w:val="20"/>
          <w:szCs w:val="20"/>
        </w:rPr>
        <w:t xml:space="preserve"> at grapheme oxide modified glassy carbon electrode. </w:t>
      </w:r>
      <w:r w:rsidRPr="002B78F0">
        <w:rPr>
          <w:rFonts w:ascii="Times New Roman" w:hAnsi="Times New Roman"/>
          <w:i/>
          <w:sz w:val="20"/>
          <w:szCs w:val="20"/>
        </w:rPr>
        <w:t>RSC Advances,</w:t>
      </w:r>
      <w:r w:rsidRPr="002B78F0">
        <w:rPr>
          <w:rFonts w:ascii="Times New Roman" w:hAnsi="Times New Roman"/>
          <w:sz w:val="20"/>
          <w:szCs w:val="20"/>
        </w:rPr>
        <w:t xml:space="preserve"> 5: 14547.</w:t>
      </w:r>
    </w:p>
    <w:p w:rsidR="009D0F1B" w:rsidRPr="009D0F1B" w:rsidRDefault="009D0F1B" w:rsidP="009D0F1B">
      <w:pPr>
        <w:widowControl w:val="0"/>
        <w:tabs>
          <w:tab w:val="left" w:pos="0"/>
        </w:tabs>
        <w:autoSpaceDE w:val="0"/>
        <w:autoSpaceDN w:val="0"/>
        <w:spacing w:after="0" w:line="240" w:lineRule="auto"/>
        <w:jc w:val="both"/>
        <w:outlineLvl w:val="0"/>
        <w:rPr>
          <w:rFonts w:ascii="Times New Roman" w:hAnsi="Times New Roman"/>
          <w:sz w:val="20"/>
          <w:szCs w:val="20"/>
        </w:rPr>
      </w:pP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lastRenderedPageBreak/>
        <w:t xml:space="preserve">Lan, Q. F, Wang, W. C, Chen, X. H. and Chen, Z. D. (2017). </w:t>
      </w:r>
      <w:r w:rsidRPr="002B78F0">
        <w:rPr>
          <w:rFonts w:ascii="Times New Roman" w:eastAsia="SimSun" w:hAnsi="Times New Roman"/>
          <w:sz w:val="20"/>
          <w:szCs w:val="20"/>
        </w:rPr>
        <w:t>A novel solid-state electrochemiluminescence sensor based on poly(3-amino-4 hydroxybenzenesulfonic acid) /Ru(bpy)</w:t>
      </w:r>
      <w:r w:rsidRPr="002B78F0">
        <w:rPr>
          <w:rFonts w:ascii="Times New Roman" w:eastAsia="SimSun" w:hAnsi="Times New Roman"/>
          <w:sz w:val="20"/>
          <w:szCs w:val="20"/>
          <w:vertAlign w:val="subscript"/>
        </w:rPr>
        <w:t>3</w:t>
      </w:r>
      <w:r w:rsidRPr="002B78F0">
        <w:rPr>
          <w:rFonts w:ascii="Times New Roman" w:eastAsia="SimSun" w:hAnsi="Times New Roman"/>
          <w:sz w:val="20"/>
          <w:szCs w:val="20"/>
          <w:vertAlign w:val="superscript"/>
        </w:rPr>
        <w:t xml:space="preserve"> 2+</w:t>
      </w:r>
      <w:r w:rsidRPr="002B78F0">
        <w:rPr>
          <w:rFonts w:ascii="Times New Roman" w:eastAsia="SimSun" w:hAnsi="Times New Roman"/>
          <w:sz w:val="20"/>
          <w:szCs w:val="20"/>
        </w:rPr>
        <w:t xml:space="preserve"> modified electrode for determination of malachite green. </w:t>
      </w:r>
      <w:r w:rsidRPr="002B78F0">
        <w:rPr>
          <w:rFonts w:ascii="Times New Roman" w:hAnsi="Times New Roman"/>
          <w:i/>
          <w:sz w:val="20"/>
          <w:szCs w:val="20"/>
        </w:rPr>
        <w:t>International Journal of Electrochemical Science,</w:t>
      </w:r>
      <w:r w:rsidRPr="002B78F0">
        <w:rPr>
          <w:rFonts w:ascii="Times New Roman" w:hAnsi="Times New Roman"/>
          <w:sz w:val="20"/>
          <w:szCs w:val="20"/>
        </w:rPr>
        <w:t xml:space="preserve"> 12: 6577 – 6587.</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Liu, F., Yang, X., Zhao, Y. and Sun, S. (2013). Detection of malachite green and leucomalachite green based on electrochemiluminescence of mono- and bimetallic ruthenium tris-bipyridyl complexes at an Au electrode. </w:t>
      </w:r>
      <w:r w:rsidRPr="002B78F0">
        <w:rPr>
          <w:rFonts w:ascii="Times New Roman" w:hAnsi="Times New Roman"/>
          <w:i/>
          <w:sz w:val="20"/>
          <w:szCs w:val="20"/>
        </w:rPr>
        <w:t>Analytical Methods,</w:t>
      </w:r>
      <w:r w:rsidRPr="002B78F0">
        <w:rPr>
          <w:rFonts w:ascii="Times New Roman" w:hAnsi="Times New Roman"/>
          <w:sz w:val="20"/>
          <w:szCs w:val="20"/>
        </w:rPr>
        <w:t xml:space="preserve"> 5(3): 660 – 665.</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Pavia, D. L., Lampmam, G. M., Kriz G. S. and Vyvyan J. R. (2015) Introduction to spectroscopy. Cengage Learning, USA: pp. 252 – 269.</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Ain, N. N. and Hanifah, S. A. (2017). Preparation and characterization of poly(acrylamide-</w:t>
      </w:r>
      <w:r w:rsidRPr="002B78F0">
        <w:rPr>
          <w:rFonts w:ascii="Times New Roman" w:hAnsi="Times New Roman"/>
          <w:i/>
          <w:sz w:val="20"/>
          <w:szCs w:val="20"/>
        </w:rPr>
        <w:t>co</w:t>
      </w:r>
      <w:r w:rsidRPr="002B78F0">
        <w:rPr>
          <w:rFonts w:ascii="Times New Roman" w:hAnsi="Times New Roman"/>
          <w:sz w:val="20"/>
          <w:szCs w:val="20"/>
        </w:rPr>
        <w:t xml:space="preserve">-ethyl methacrylate) nanocomposite membrane and its potential as chemical sensor. </w:t>
      </w:r>
      <w:r w:rsidRPr="002B78F0">
        <w:rPr>
          <w:rFonts w:ascii="Times New Roman" w:hAnsi="Times New Roman"/>
          <w:i/>
          <w:sz w:val="20"/>
          <w:szCs w:val="20"/>
        </w:rPr>
        <w:t>Journal of Polymer Science and Technology,</w:t>
      </w:r>
      <w:r w:rsidRPr="002B78F0">
        <w:rPr>
          <w:rFonts w:ascii="Times New Roman" w:hAnsi="Times New Roman"/>
          <w:sz w:val="20"/>
          <w:szCs w:val="20"/>
        </w:rPr>
        <w:t xml:space="preserve"> 2(1): 56 – 61. </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Hu, W., Niu, X., Li, L., Yun, S., Yu, Z. and Pei, Q. (2012). Intrinsically stretchable transparent electrodes based on silver-nanowire-crosslinked-polyacrylate composites. </w:t>
      </w:r>
      <w:r w:rsidRPr="002B78F0">
        <w:rPr>
          <w:rFonts w:ascii="Times New Roman" w:hAnsi="Times New Roman"/>
          <w:i/>
          <w:sz w:val="20"/>
          <w:szCs w:val="20"/>
        </w:rPr>
        <w:t>Nanotechnology</w:t>
      </w:r>
      <w:r w:rsidRPr="002B78F0">
        <w:rPr>
          <w:rFonts w:ascii="Times New Roman" w:hAnsi="Times New Roman"/>
          <w:sz w:val="20"/>
          <w:szCs w:val="20"/>
        </w:rPr>
        <w:t>, 23: 1 – 9.</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 xml:space="preserve">Bihter, Z. and Mehmet, H. M. (2015). Fabrication and characterization of antibacterial polyurethane acrylate-based materials. </w:t>
      </w:r>
      <w:r w:rsidRPr="002B78F0">
        <w:rPr>
          <w:rFonts w:ascii="Times New Roman" w:hAnsi="Times New Roman"/>
          <w:i/>
          <w:sz w:val="20"/>
          <w:szCs w:val="20"/>
        </w:rPr>
        <w:t>Materials Research,</w:t>
      </w:r>
      <w:r w:rsidRPr="002B78F0">
        <w:rPr>
          <w:rFonts w:ascii="Times New Roman" w:hAnsi="Times New Roman"/>
          <w:sz w:val="20"/>
          <w:szCs w:val="20"/>
        </w:rPr>
        <w:t xml:space="preserve"> 18(4): 867 – 872.</w:t>
      </w:r>
    </w:p>
    <w:p w:rsidR="004A7940" w:rsidRPr="002B78F0" w:rsidRDefault="004A7940" w:rsidP="002B78F0">
      <w:pPr>
        <w:pStyle w:val="ListParagraph"/>
        <w:widowControl w:val="0"/>
        <w:numPr>
          <w:ilvl w:val="0"/>
          <w:numId w:val="3"/>
        </w:numPr>
        <w:tabs>
          <w:tab w:val="clear" w:pos="425"/>
          <w:tab w:val="left" w:pos="0"/>
        </w:tabs>
        <w:autoSpaceDE w:val="0"/>
        <w:autoSpaceDN w:val="0"/>
        <w:spacing w:after="0" w:line="240" w:lineRule="auto"/>
        <w:ind w:left="360" w:hanging="349"/>
        <w:contextualSpacing w:val="0"/>
        <w:jc w:val="both"/>
        <w:outlineLvl w:val="0"/>
        <w:rPr>
          <w:rFonts w:ascii="Times New Roman" w:hAnsi="Times New Roman"/>
          <w:sz w:val="20"/>
          <w:szCs w:val="20"/>
        </w:rPr>
      </w:pPr>
      <w:r w:rsidRPr="002B78F0">
        <w:rPr>
          <w:rFonts w:ascii="Times New Roman" w:hAnsi="Times New Roman"/>
          <w:sz w:val="20"/>
          <w:szCs w:val="20"/>
        </w:rPr>
        <w:t>Kusuma, H. S., Sholihuddin, R. I., Harsini, M. and Darmokoesoemo, H. (2016). Electrochemical degradation of malachite green dye using carbon/TiO</w:t>
      </w:r>
      <w:r w:rsidRPr="002B78F0">
        <w:rPr>
          <w:rFonts w:ascii="Times New Roman" w:hAnsi="Times New Roman"/>
          <w:sz w:val="20"/>
          <w:szCs w:val="20"/>
          <w:vertAlign w:val="subscript"/>
        </w:rPr>
        <w:t>2</w:t>
      </w:r>
      <w:r w:rsidRPr="002B78F0">
        <w:rPr>
          <w:rFonts w:ascii="Times New Roman" w:hAnsi="Times New Roman"/>
          <w:sz w:val="20"/>
          <w:szCs w:val="20"/>
        </w:rPr>
        <w:t xml:space="preserve"> electrodes. </w:t>
      </w:r>
      <w:r w:rsidRPr="002B78F0">
        <w:rPr>
          <w:rFonts w:ascii="Times New Roman" w:hAnsi="Times New Roman"/>
          <w:i/>
          <w:sz w:val="20"/>
          <w:szCs w:val="20"/>
        </w:rPr>
        <w:t>Journal of Material Environmental Sciences,</w:t>
      </w:r>
      <w:r w:rsidRPr="002B78F0">
        <w:rPr>
          <w:rFonts w:ascii="Times New Roman" w:hAnsi="Times New Roman"/>
          <w:sz w:val="20"/>
          <w:szCs w:val="20"/>
        </w:rPr>
        <w:t xml:space="preserve"> 7(4): 1454 – 1460.</w:t>
      </w:r>
    </w:p>
    <w:p w:rsidR="001F27E8" w:rsidRPr="002B78F0" w:rsidRDefault="001F27E8" w:rsidP="002B78F0">
      <w:pPr>
        <w:spacing w:after="0" w:line="240" w:lineRule="auto"/>
        <w:ind w:left="360" w:hanging="349"/>
        <w:jc w:val="both"/>
        <w:rPr>
          <w:rFonts w:ascii="Times New Roman" w:hAnsi="Times New Roman"/>
          <w:noProof/>
          <w:sz w:val="20"/>
          <w:szCs w:val="20"/>
          <w:lang w:bidi="ar-SA"/>
        </w:rPr>
      </w:pPr>
    </w:p>
    <w:sectPr w:rsidR="001F27E8" w:rsidRPr="002B78F0" w:rsidSect="009B6694">
      <w:headerReference w:type="even" r:id="rId23"/>
      <w:headerReference w:type="default" r:id="rId24"/>
      <w:footerReference w:type="even" r:id="rId25"/>
      <w:footerReference w:type="default" r:id="rId26"/>
      <w:pgSz w:w="12240" w:h="15840" w:code="1"/>
      <w:pgMar w:top="1800" w:right="1469" w:bottom="1699" w:left="1440" w:header="706" w:footer="706" w:gutter="0"/>
      <w:pgNumType w:start="32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733FFD">
      <w:rPr>
        <w:rFonts w:ascii="Times New Roman" w:hAnsi="Times New Roman"/>
        <w:noProof/>
      </w:rPr>
      <w:t>334</w:t>
    </w:r>
    <w:r w:rsidRPr="008B5904">
      <w:rPr>
        <w:rFonts w:ascii="Times New Roman" w:hAnsi="Times New Roman"/>
        <w:noProof/>
      </w:rPr>
      <w:fldChar w:fldCharType="end"/>
    </w:r>
  </w:p>
  <w:p w:rsidR="007964D6" w:rsidRDefault="007964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733FFD">
      <w:rPr>
        <w:rFonts w:ascii="Times New Roman" w:hAnsi="Times New Roman"/>
        <w:noProof/>
      </w:rPr>
      <w:t>335</w:t>
    </w:r>
    <w:r w:rsidRPr="008B5904">
      <w:rPr>
        <w:rFonts w:ascii="Times New Roman" w:hAnsi="Times New Roman"/>
        <w:noProof/>
      </w:rPr>
      <w:fldChar w:fldCharType="end"/>
    </w:r>
  </w:p>
  <w:p w:rsidR="001F27E8" w:rsidRDefault="001F27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4D6" w:rsidRPr="00B13D44" w:rsidRDefault="00B13D44" w:rsidP="00B13D44">
    <w:pPr>
      <w:spacing w:after="0" w:line="240" w:lineRule="auto"/>
      <w:ind w:left="2250" w:hanging="2250"/>
      <w:outlineLvl w:val="0"/>
      <w:rPr>
        <w:rFonts w:ascii="Times New Roman" w:hAnsi="Times New Roman"/>
        <w:b/>
        <w:color w:val="548DD4" w:themeColor="text2" w:themeTint="99"/>
        <w:sz w:val="20"/>
        <w:szCs w:val="20"/>
      </w:rPr>
    </w:pPr>
    <w:r>
      <w:rPr>
        <w:rFonts w:ascii="Times New Roman" w:hAnsi="Times New Roman"/>
        <w:sz w:val="20"/>
        <w:szCs w:val="20"/>
      </w:rPr>
      <w:t>Sharifah Nur Atikah et al</w:t>
    </w:r>
    <w:r w:rsidR="006B72B0" w:rsidRPr="00B13D44">
      <w:rPr>
        <w:rFonts w:ascii="Times New Roman" w:hAnsi="Times New Roman"/>
        <w:sz w:val="20"/>
        <w:szCs w:val="20"/>
      </w:rPr>
      <w:t xml:space="preserve">: </w:t>
    </w:r>
    <w:r w:rsidR="00070F31" w:rsidRPr="00B13D44">
      <w:rPr>
        <w:rFonts w:ascii="Times New Roman" w:hAnsi="Times New Roman"/>
        <w:sz w:val="20"/>
        <w:szCs w:val="20"/>
      </w:rPr>
      <w:t xml:space="preserve"> </w:t>
    </w:r>
    <w:r w:rsidRPr="00B13D44">
      <w:rPr>
        <w:rFonts w:ascii="Times New Roman" w:hAnsi="Times New Roman"/>
        <w:sz w:val="20"/>
        <w:szCs w:val="20"/>
      </w:rPr>
      <w:t xml:space="preserve"> EFFECTS OF SILVER NANOWIRE-BASED POLYMER COMPOSITE MEMBRANE ON THE PHYSICAL AND ELECTROCHEMICAL PROPERTIES OF MALACHITE GREEN SENSOR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43729D">
      <w:rPr>
        <w:rFonts w:ascii="Times New Roman" w:hAnsi="Times New Roman"/>
        <w:i/>
        <w:lang w:val="en-US"/>
      </w:rPr>
      <w:t>2</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9B6694">
      <w:rPr>
        <w:rFonts w:ascii="Times New Roman" w:hAnsi="Times New Roman"/>
        <w:i/>
        <w:lang w:val="en-US"/>
      </w:rPr>
      <w:t>325</w:t>
    </w:r>
    <w:r>
      <w:rPr>
        <w:rFonts w:ascii="Times New Roman" w:hAnsi="Times New Roman"/>
        <w:i/>
        <w:lang w:val="en-US"/>
      </w:rPr>
      <w:t xml:space="preserve"> </w:t>
    </w:r>
    <w:r w:rsidR="007A0583">
      <w:rPr>
        <w:rFonts w:ascii="Times New Roman" w:hAnsi="Times New Roman"/>
        <w:i/>
        <w:lang w:val="en-US"/>
      </w:rPr>
      <w:t>-</w:t>
    </w:r>
    <w:r w:rsidR="009B6694">
      <w:rPr>
        <w:rFonts w:ascii="Times New Roman" w:hAnsi="Times New Roman"/>
        <w:i/>
        <w:lang w:val="en-US"/>
      </w:rPr>
      <w:t xml:space="preserve"> 335</w:t>
    </w:r>
  </w:p>
  <w:p w:rsidR="007964D6" w:rsidRPr="002B78F0" w:rsidRDefault="00F4760B" w:rsidP="002B78F0">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3729D">
      <w:rPr>
        <w:rFonts w:ascii="Times New Roman" w:hAnsi="Times New Roman"/>
        <w:i/>
        <w:lang w:val="en-US"/>
      </w:rPr>
      <w:t>2</w:t>
    </w:r>
    <w:r w:rsidR="009B6694">
      <w:rPr>
        <w:rFonts w:ascii="Times New Roman" w:hAnsi="Times New Roman"/>
        <w:i/>
        <w:lang w:val="en-US"/>
      </w:rPr>
      <w:t>-16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724E029"/>
    <w:multiLevelType w:val="singleLevel"/>
    <w:tmpl w:val="7724E029"/>
    <w:lvl w:ilvl="0">
      <w:start w:val="1"/>
      <w:numFmt w:val="decimal"/>
      <w:lvlText w:val="%1."/>
      <w:lvlJc w:val="left"/>
      <w:pPr>
        <w:tabs>
          <w:tab w:val="left" w:pos="425"/>
        </w:tabs>
        <w:ind w:left="425" w:hanging="425"/>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68E8"/>
    <w:rsid w:val="001106D8"/>
    <w:rsid w:val="00117BCD"/>
    <w:rsid w:val="001214F5"/>
    <w:rsid w:val="001D035A"/>
    <w:rsid w:val="001D3855"/>
    <w:rsid w:val="001D6F2C"/>
    <w:rsid w:val="001F27E8"/>
    <w:rsid w:val="00223661"/>
    <w:rsid w:val="00242E16"/>
    <w:rsid w:val="00277498"/>
    <w:rsid w:val="0028007D"/>
    <w:rsid w:val="002860B7"/>
    <w:rsid w:val="00290F4D"/>
    <w:rsid w:val="002A2FC0"/>
    <w:rsid w:val="002B188F"/>
    <w:rsid w:val="002B3BD8"/>
    <w:rsid w:val="002B78F0"/>
    <w:rsid w:val="002F3F91"/>
    <w:rsid w:val="00304767"/>
    <w:rsid w:val="00304B34"/>
    <w:rsid w:val="00361BAF"/>
    <w:rsid w:val="00362FCE"/>
    <w:rsid w:val="00367D1F"/>
    <w:rsid w:val="003B6019"/>
    <w:rsid w:val="003D4CDD"/>
    <w:rsid w:val="003D585B"/>
    <w:rsid w:val="003E7DA6"/>
    <w:rsid w:val="003F12FF"/>
    <w:rsid w:val="00401EB9"/>
    <w:rsid w:val="0043729D"/>
    <w:rsid w:val="0047088F"/>
    <w:rsid w:val="00472425"/>
    <w:rsid w:val="004760D4"/>
    <w:rsid w:val="00494C46"/>
    <w:rsid w:val="004A7940"/>
    <w:rsid w:val="004B43FF"/>
    <w:rsid w:val="004D520C"/>
    <w:rsid w:val="004D7E25"/>
    <w:rsid w:val="00502641"/>
    <w:rsid w:val="005C6768"/>
    <w:rsid w:val="005E4871"/>
    <w:rsid w:val="00601C8A"/>
    <w:rsid w:val="00623CB8"/>
    <w:rsid w:val="006257E5"/>
    <w:rsid w:val="00634C25"/>
    <w:rsid w:val="006416AB"/>
    <w:rsid w:val="0065447F"/>
    <w:rsid w:val="006768E9"/>
    <w:rsid w:val="00687982"/>
    <w:rsid w:val="0069647A"/>
    <w:rsid w:val="006B3EC8"/>
    <w:rsid w:val="006B72B0"/>
    <w:rsid w:val="006D286E"/>
    <w:rsid w:val="006D695E"/>
    <w:rsid w:val="00725A6A"/>
    <w:rsid w:val="00733FFD"/>
    <w:rsid w:val="007943F3"/>
    <w:rsid w:val="007964D6"/>
    <w:rsid w:val="007A0583"/>
    <w:rsid w:val="007A0C6C"/>
    <w:rsid w:val="007A738C"/>
    <w:rsid w:val="007B1349"/>
    <w:rsid w:val="007C28A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B6694"/>
    <w:rsid w:val="009D030D"/>
    <w:rsid w:val="009D0F1B"/>
    <w:rsid w:val="00A14DB9"/>
    <w:rsid w:val="00A4762A"/>
    <w:rsid w:val="00A74A7E"/>
    <w:rsid w:val="00A91EFF"/>
    <w:rsid w:val="00AC0033"/>
    <w:rsid w:val="00AD1B8A"/>
    <w:rsid w:val="00AE713F"/>
    <w:rsid w:val="00AF2305"/>
    <w:rsid w:val="00AF2821"/>
    <w:rsid w:val="00B1121C"/>
    <w:rsid w:val="00B13D44"/>
    <w:rsid w:val="00B25B65"/>
    <w:rsid w:val="00B2770A"/>
    <w:rsid w:val="00B314AD"/>
    <w:rsid w:val="00B75BF6"/>
    <w:rsid w:val="00B7735A"/>
    <w:rsid w:val="00B91DE7"/>
    <w:rsid w:val="00BA1595"/>
    <w:rsid w:val="00BA1F7B"/>
    <w:rsid w:val="00BA7D4B"/>
    <w:rsid w:val="00BB58AF"/>
    <w:rsid w:val="00BE7C30"/>
    <w:rsid w:val="00C055BF"/>
    <w:rsid w:val="00C2226A"/>
    <w:rsid w:val="00C234BA"/>
    <w:rsid w:val="00C94D92"/>
    <w:rsid w:val="00C97340"/>
    <w:rsid w:val="00CA513F"/>
    <w:rsid w:val="00CB3AA6"/>
    <w:rsid w:val="00CC20C2"/>
    <w:rsid w:val="00CF05FF"/>
    <w:rsid w:val="00CF2218"/>
    <w:rsid w:val="00D340BB"/>
    <w:rsid w:val="00D505D5"/>
    <w:rsid w:val="00D75B35"/>
    <w:rsid w:val="00D76E09"/>
    <w:rsid w:val="00D9736F"/>
    <w:rsid w:val="00D9792A"/>
    <w:rsid w:val="00DD377F"/>
    <w:rsid w:val="00DF6333"/>
    <w:rsid w:val="00E16130"/>
    <w:rsid w:val="00E25547"/>
    <w:rsid w:val="00E3287E"/>
    <w:rsid w:val="00E54D12"/>
    <w:rsid w:val="00E66197"/>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annotation reference" w:qFormat="1"/>
    <w:lsdException w:name="Title" w:semiHidden="0" w:uiPriority="10" w:unhideWhenUsed="0"/>
    <w:lsdException w:name="Default Paragraph Font" w:uiPriority="1"/>
    <w:lsdException w:name="Subtitle" w:semiHidden="0" w:uiPriority="11" w:unhideWhenUsed="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qFormat/>
    <w:rsid w:val="00FF7155"/>
    <w:rPr>
      <w:color w:val="0000FF" w:themeColor="hyperlink"/>
      <w:u w:val="single"/>
    </w:rPr>
  </w:style>
  <w:style w:type="character" w:styleId="CommentReference">
    <w:name w:val="annotation reference"/>
    <w:basedOn w:val="DefaultParagraphFont"/>
    <w:uiPriority w:val="99"/>
    <w:semiHidden/>
    <w:unhideWhenUsed/>
    <w:qFormat/>
    <w:rsid w:val="004A794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annotation reference" w:qFormat="1"/>
    <w:lsdException w:name="Title" w:semiHidden="0" w:uiPriority="10" w:unhideWhenUsed="0"/>
    <w:lsdException w:name="Default Paragraph Font" w:uiPriority="1"/>
    <w:lsdException w:name="Subtitle" w:semiHidden="0" w:uiPriority="11" w:unhideWhenUsed="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qFormat/>
    <w:rsid w:val="00FF7155"/>
    <w:rPr>
      <w:color w:val="0000FF" w:themeColor="hyperlink"/>
      <w:u w:val="single"/>
    </w:rPr>
  </w:style>
  <w:style w:type="character" w:styleId="CommentReference">
    <w:name w:val="annotation reference"/>
    <w:basedOn w:val="DefaultParagraphFont"/>
    <w:uiPriority w:val="99"/>
    <w:semiHidden/>
    <w:unhideWhenUsed/>
    <w:qFormat/>
    <w:rsid w:val="004A794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tif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tif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16964-7058-45FC-AB81-83B8AD253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4030</Words>
  <Characters>23985</Characters>
  <Application>Microsoft Office Word</Application>
  <DocSecurity>0</DocSecurity>
  <Lines>527</Lines>
  <Paragraphs>95</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27982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14</cp:revision>
  <cp:lastPrinted>2019-04-22T02:27:00Z</cp:lastPrinted>
  <dcterms:created xsi:type="dcterms:W3CDTF">2019-04-12T11:21:00Z</dcterms:created>
  <dcterms:modified xsi:type="dcterms:W3CDTF">2019-04-22T02:27:00Z</dcterms:modified>
</cp:coreProperties>
</file>