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DF0" w:rsidRDefault="00757DF0" w:rsidP="00757DF0">
      <w:pPr>
        <w:adjustRightInd w:val="0"/>
        <w:spacing w:after="0" w:line="240" w:lineRule="auto"/>
        <w:rPr>
          <w:rFonts w:ascii="Times New Roman" w:hAnsi="Times New Roman"/>
          <w:sz w:val="24"/>
          <w:szCs w:val="24"/>
        </w:rPr>
      </w:pPr>
      <w:r>
        <w:rPr>
          <w:rFonts w:ascii="Times New Roman" w:hAnsi="Times New Roman"/>
          <w:caps/>
          <w:sz w:val="24"/>
          <w:szCs w:val="24"/>
        </w:rPr>
        <w:t>M</w:t>
      </w:r>
      <w:r>
        <w:rPr>
          <w:rFonts w:ascii="Times New Roman" w:hAnsi="Times New Roman"/>
          <w:sz w:val="24"/>
          <w:szCs w:val="24"/>
        </w:rPr>
        <w:t>alaysian Journal of Analytical Sciences Vol 23 No 2 (2019): 255 - 262</w:t>
      </w:r>
    </w:p>
    <w:p w:rsidR="00757DF0" w:rsidRDefault="00757DF0" w:rsidP="00757DF0">
      <w:pPr>
        <w:adjustRightInd w:val="0"/>
        <w:spacing w:after="0" w:line="240" w:lineRule="auto"/>
        <w:rPr>
          <w:rFonts w:ascii="Times New Roman" w:hAnsi="Times New Roman"/>
          <w:sz w:val="24"/>
          <w:szCs w:val="24"/>
        </w:rPr>
      </w:pPr>
    </w:p>
    <w:p w:rsidR="00757DF0" w:rsidRDefault="00757DF0" w:rsidP="00757DF0">
      <w:pPr>
        <w:adjustRightInd w:val="0"/>
        <w:spacing w:after="0" w:line="240" w:lineRule="auto"/>
        <w:rPr>
          <w:rFonts w:ascii="Times New Roman" w:hAnsi="Times New Roman"/>
          <w:sz w:val="24"/>
          <w:szCs w:val="24"/>
        </w:rPr>
      </w:pPr>
    </w:p>
    <w:p w:rsidR="00757DF0" w:rsidRPr="00757DF0" w:rsidRDefault="00757DF0" w:rsidP="00757DF0">
      <w:pPr>
        <w:adjustRightInd w:val="0"/>
        <w:spacing w:after="0" w:line="240" w:lineRule="auto"/>
        <w:rPr>
          <w:rFonts w:ascii="Times New Roman" w:hAnsi="Times New Roman"/>
          <w:sz w:val="24"/>
          <w:szCs w:val="24"/>
        </w:rPr>
      </w:pPr>
    </w:p>
    <w:p w:rsidR="00757DF0" w:rsidRDefault="00757DF0" w:rsidP="00757DF0">
      <w:pPr>
        <w:adjustRightInd w:val="0"/>
        <w:spacing w:after="0" w:line="240" w:lineRule="auto"/>
        <w:jc w:val="center"/>
        <w:rPr>
          <w:rFonts w:ascii="Times New Roman" w:hAnsi="Times New Roman"/>
          <w:caps/>
          <w:sz w:val="28"/>
          <w:szCs w:val="28"/>
        </w:rPr>
      </w:pPr>
      <w:r w:rsidRPr="00AA09AA">
        <w:rPr>
          <w:rFonts w:ascii="Times New Roman" w:hAnsi="Times New Roman"/>
          <w:caps/>
          <w:sz w:val="28"/>
          <w:szCs w:val="28"/>
        </w:rPr>
        <w:t>Synthesis and characteri</w:t>
      </w:r>
      <w:r>
        <w:rPr>
          <w:rFonts w:ascii="Times New Roman" w:hAnsi="Times New Roman"/>
          <w:caps/>
          <w:sz w:val="28"/>
          <w:szCs w:val="28"/>
        </w:rPr>
        <w:t>s</w:t>
      </w:r>
      <w:r w:rsidRPr="00AA09AA">
        <w:rPr>
          <w:rFonts w:ascii="Times New Roman" w:hAnsi="Times New Roman"/>
          <w:caps/>
          <w:sz w:val="28"/>
          <w:szCs w:val="28"/>
        </w:rPr>
        <w:t>ation of nanohybrid</w:t>
      </w:r>
      <w:r>
        <w:rPr>
          <w:rFonts w:ascii="Times New Roman" w:hAnsi="Times New Roman"/>
          <w:caps/>
          <w:sz w:val="28"/>
          <w:szCs w:val="28"/>
        </w:rPr>
        <w:t xml:space="preserve"> </w:t>
      </w:r>
      <w:r w:rsidRPr="00AA09AA">
        <w:rPr>
          <w:rFonts w:ascii="Times New Roman" w:hAnsi="Times New Roman"/>
          <w:caps/>
          <w:sz w:val="28"/>
          <w:szCs w:val="28"/>
        </w:rPr>
        <w:t>anti-hypertensive drug, captopril intercalated into</w:t>
      </w:r>
    </w:p>
    <w:p w:rsidR="00757DF0" w:rsidRPr="006B7019" w:rsidRDefault="00757DF0" w:rsidP="00757DF0">
      <w:pPr>
        <w:adjustRightInd w:val="0"/>
        <w:spacing w:after="0" w:line="240" w:lineRule="auto"/>
        <w:jc w:val="center"/>
        <w:rPr>
          <w:rFonts w:ascii="Times New Roman" w:hAnsi="Times New Roman"/>
          <w:sz w:val="28"/>
          <w:szCs w:val="28"/>
        </w:rPr>
      </w:pPr>
      <w:r w:rsidRPr="00AA09AA">
        <w:rPr>
          <w:rFonts w:ascii="Times New Roman" w:hAnsi="Times New Roman"/>
          <w:caps/>
          <w:sz w:val="28"/>
          <w:szCs w:val="28"/>
        </w:rPr>
        <w:t>zinc</w:t>
      </w:r>
      <w:r>
        <w:rPr>
          <w:rFonts w:ascii="Times New Roman" w:hAnsi="Times New Roman"/>
          <w:caps/>
          <w:sz w:val="28"/>
          <w:szCs w:val="28"/>
        </w:rPr>
        <w:t>–</w:t>
      </w:r>
      <w:r w:rsidRPr="00AA09AA">
        <w:rPr>
          <w:rFonts w:ascii="Times New Roman" w:hAnsi="Times New Roman"/>
          <w:caps/>
          <w:sz w:val="28"/>
          <w:szCs w:val="28"/>
        </w:rPr>
        <w:t>Aluminium layered double hydroxide</w:t>
      </w:r>
    </w:p>
    <w:p w:rsidR="00757DF0" w:rsidRPr="009C4E07" w:rsidRDefault="00757DF0" w:rsidP="00757DF0">
      <w:pPr>
        <w:spacing w:after="0" w:line="240" w:lineRule="auto"/>
        <w:jc w:val="center"/>
        <w:outlineLvl w:val="0"/>
        <w:rPr>
          <w:rFonts w:ascii="Times New Roman" w:hAnsi="Times New Roman"/>
          <w:b/>
          <w:color w:val="548DD4" w:themeColor="text2" w:themeTint="99"/>
          <w:szCs w:val="20"/>
        </w:rPr>
      </w:pPr>
    </w:p>
    <w:p w:rsidR="00757DF0" w:rsidRPr="00B7426A" w:rsidRDefault="00757DF0" w:rsidP="00757DF0">
      <w:pPr>
        <w:spacing w:after="0" w:line="240" w:lineRule="auto"/>
        <w:jc w:val="center"/>
        <w:outlineLvl w:val="0"/>
        <w:rPr>
          <w:rFonts w:ascii="Times New Roman" w:hAnsi="Times New Roman"/>
          <w:sz w:val="24"/>
          <w:lang w:val="ms-MY"/>
        </w:rPr>
      </w:pPr>
      <w:r>
        <w:rPr>
          <w:rFonts w:ascii="Times New Roman" w:hAnsi="Times New Roman"/>
          <w:sz w:val="24"/>
        </w:rPr>
        <w:t>(</w:t>
      </w:r>
      <w:r w:rsidRPr="00B7426A">
        <w:rPr>
          <w:rFonts w:ascii="Times New Roman" w:hAnsi="Times New Roman"/>
          <w:sz w:val="24"/>
          <w:lang w:val="ms-MY"/>
        </w:rPr>
        <w:t>Sintesis dan Pencirian Nanohibrid Ubat Anti-Hipertensi, Captopril Tersisip ke dalam</w:t>
      </w:r>
    </w:p>
    <w:p w:rsidR="00757DF0" w:rsidRDefault="00757DF0" w:rsidP="00757DF0">
      <w:pPr>
        <w:spacing w:after="0" w:line="240" w:lineRule="auto"/>
        <w:jc w:val="center"/>
        <w:outlineLvl w:val="0"/>
        <w:rPr>
          <w:rFonts w:ascii="Times New Roman" w:hAnsi="Times New Roman"/>
          <w:sz w:val="24"/>
        </w:rPr>
      </w:pPr>
      <w:r w:rsidRPr="00B7426A">
        <w:rPr>
          <w:rFonts w:ascii="Times New Roman" w:hAnsi="Times New Roman"/>
          <w:sz w:val="24"/>
          <w:lang w:val="ms-MY"/>
        </w:rPr>
        <w:t>Zink-Aluminium Hidroksida Berlapis Ganda</w:t>
      </w:r>
      <w:r>
        <w:rPr>
          <w:rFonts w:ascii="Times New Roman" w:hAnsi="Times New Roman"/>
          <w:sz w:val="24"/>
        </w:rPr>
        <w:t>)</w:t>
      </w:r>
    </w:p>
    <w:p w:rsidR="00757DF0" w:rsidRPr="00AC36FE" w:rsidRDefault="00757DF0" w:rsidP="00757DF0">
      <w:pPr>
        <w:spacing w:after="0" w:line="240" w:lineRule="auto"/>
        <w:jc w:val="center"/>
        <w:outlineLvl w:val="0"/>
        <w:rPr>
          <w:rFonts w:ascii="Times New Roman" w:hAnsi="Times New Roman"/>
          <w:b/>
          <w:color w:val="548DD4" w:themeColor="text2" w:themeTint="99"/>
          <w:sz w:val="20"/>
          <w:szCs w:val="20"/>
        </w:rPr>
      </w:pPr>
    </w:p>
    <w:p w:rsidR="00757DF0" w:rsidRPr="00AC36FE" w:rsidRDefault="00757DF0" w:rsidP="00757DF0">
      <w:pPr>
        <w:spacing w:after="0" w:line="240" w:lineRule="auto"/>
        <w:jc w:val="center"/>
        <w:outlineLvl w:val="0"/>
        <w:rPr>
          <w:rFonts w:ascii="Times New Roman" w:hAnsi="Times New Roman"/>
          <w:sz w:val="20"/>
          <w:szCs w:val="20"/>
          <w:vertAlign w:val="superscript"/>
        </w:rPr>
      </w:pPr>
      <w:r w:rsidRPr="00AC36FE">
        <w:rPr>
          <w:rFonts w:ascii="Times New Roman" w:hAnsi="Times New Roman"/>
          <w:sz w:val="20"/>
          <w:szCs w:val="20"/>
        </w:rPr>
        <w:t>Zaemah Jubri</w:t>
      </w:r>
      <w:r w:rsidRPr="00AC36FE">
        <w:rPr>
          <w:rFonts w:ascii="Times New Roman" w:hAnsi="Times New Roman"/>
          <w:sz w:val="20"/>
          <w:szCs w:val="20"/>
          <w:vertAlign w:val="superscript"/>
        </w:rPr>
        <w:t>1</w:t>
      </w:r>
      <w:r w:rsidRPr="00AC36FE">
        <w:rPr>
          <w:rFonts w:ascii="Times New Roman" w:hAnsi="Times New Roman"/>
          <w:sz w:val="20"/>
          <w:szCs w:val="20"/>
        </w:rPr>
        <w:t>*, Siti Halimah Sarijo</w:t>
      </w:r>
      <w:r w:rsidRPr="00AC36FE">
        <w:rPr>
          <w:rFonts w:ascii="Times New Roman" w:hAnsi="Times New Roman"/>
          <w:sz w:val="20"/>
          <w:szCs w:val="20"/>
          <w:vertAlign w:val="superscript"/>
        </w:rPr>
        <w:t>2</w:t>
      </w:r>
      <w:r w:rsidRPr="00AC36FE">
        <w:rPr>
          <w:rFonts w:ascii="Times New Roman" w:hAnsi="Times New Roman"/>
          <w:sz w:val="20"/>
          <w:szCs w:val="20"/>
        </w:rPr>
        <w:t>, Monica Limau Anak Jadam</w:t>
      </w:r>
      <w:r w:rsidRPr="00AC36FE">
        <w:rPr>
          <w:rFonts w:ascii="Times New Roman" w:hAnsi="Times New Roman"/>
          <w:sz w:val="20"/>
          <w:szCs w:val="20"/>
          <w:vertAlign w:val="superscript"/>
        </w:rPr>
        <w:t>1</w:t>
      </w:r>
    </w:p>
    <w:p w:rsidR="00757DF0" w:rsidRPr="00757DF0" w:rsidRDefault="00757DF0" w:rsidP="00757DF0">
      <w:pPr>
        <w:spacing w:after="0" w:line="240" w:lineRule="auto"/>
        <w:jc w:val="center"/>
        <w:outlineLvl w:val="0"/>
        <w:rPr>
          <w:rFonts w:ascii="Times New Roman" w:hAnsi="Times New Roman"/>
          <w:sz w:val="20"/>
          <w:szCs w:val="20"/>
        </w:rPr>
      </w:pPr>
    </w:p>
    <w:p w:rsidR="00757DF0" w:rsidRPr="00757DF0" w:rsidRDefault="00757DF0" w:rsidP="00757DF0">
      <w:pPr>
        <w:spacing w:after="0" w:line="240" w:lineRule="auto"/>
        <w:jc w:val="center"/>
        <w:outlineLvl w:val="0"/>
        <w:rPr>
          <w:rFonts w:ascii="Times New Roman" w:hAnsi="Times New Roman"/>
          <w:i/>
          <w:sz w:val="20"/>
          <w:szCs w:val="20"/>
        </w:rPr>
      </w:pPr>
      <w:r w:rsidRPr="00757DF0">
        <w:rPr>
          <w:rFonts w:ascii="Times New Roman" w:hAnsi="Times New Roman"/>
          <w:i/>
          <w:sz w:val="20"/>
          <w:szCs w:val="20"/>
          <w:vertAlign w:val="superscript"/>
        </w:rPr>
        <w:t>1</w:t>
      </w:r>
      <w:r w:rsidRPr="00757DF0">
        <w:rPr>
          <w:rFonts w:ascii="Times New Roman" w:hAnsi="Times New Roman"/>
          <w:i/>
          <w:sz w:val="20"/>
          <w:szCs w:val="20"/>
        </w:rPr>
        <w:t>Centre for Advanced Materials,</w:t>
      </w:r>
    </w:p>
    <w:p w:rsidR="00757DF0" w:rsidRPr="00757DF0" w:rsidRDefault="00757DF0" w:rsidP="00757DF0">
      <w:pPr>
        <w:spacing w:after="0" w:line="240" w:lineRule="auto"/>
        <w:jc w:val="center"/>
        <w:outlineLvl w:val="0"/>
        <w:rPr>
          <w:rFonts w:ascii="Times New Roman" w:hAnsi="Times New Roman"/>
          <w:i/>
          <w:sz w:val="20"/>
          <w:szCs w:val="20"/>
        </w:rPr>
      </w:pPr>
      <w:r w:rsidRPr="00757DF0">
        <w:rPr>
          <w:rFonts w:ascii="Times New Roman" w:hAnsi="Times New Roman"/>
          <w:i/>
          <w:sz w:val="20"/>
          <w:szCs w:val="20"/>
        </w:rPr>
        <w:t>Universiti Tenaga Nasional, 43000 Kajang, Selangor, Malaysia</w:t>
      </w:r>
    </w:p>
    <w:p w:rsidR="00757DF0" w:rsidRPr="00757DF0" w:rsidRDefault="00757DF0" w:rsidP="00757DF0">
      <w:pPr>
        <w:spacing w:after="0" w:line="240" w:lineRule="auto"/>
        <w:jc w:val="center"/>
        <w:outlineLvl w:val="0"/>
        <w:rPr>
          <w:rFonts w:ascii="Times New Roman" w:eastAsiaTheme="minorHAnsi" w:hAnsi="Times New Roman"/>
          <w:i/>
          <w:sz w:val="20"/>
          <w:szCs w:val="20"/>
        </w:rPr>
      </w:pPr>
      <w:r w:rsidRPr="00757DF0">
        <w:rPr>
          <w:rFonts w:ascii="Times New Roman" w:eastAsiaTheme="minorHAnsi" w:hAnsi="Times New Roman"/>
          <w:i/>
          <w:sz w:val="20"/>
          <w:szCs w:val="20"/>
          <w:vertAlign w:val="superscript"/>
        </w:rPr>
        <w:t>2</w:t>
      </w:r>
      <w:r w:rsidRPr="00757DF0">
        <w:rPr>
          <w:rFonts w:ascii="Times New Roman" w:eastAsiaTheme="minorHAnsi" w:hAnsi="Times New Roman"/>
          <w:i/>
          <w:sz w:val="20"/>
          <w:szCs w:val="20"/>
        </w:rPr>
        <w:t>Faculty of Applied Sciences,</w:t>
      </w:r>
    </w:p>
    <w:p w:rsidR="00757DF0" w:rsidRPr="00757DF0" w:rsidRDefault="00757DF0" w:rsidP="00757DF0">
      <w:pPr>
        <w:spacing w:after="0" w:line="240" w:lineRule="auto"/>
        <w:jc w:val="center"/>
        <w:outlineLvl w:val="0"/>
        <w:rPr>
          <w:rFonts w:ascii="Times New Roman" w:hAnsi="Times New Roman"/>
          <w:b/>
          <w:i/>
          <w:color w:val="548DD4" w:themeColor="text2" w:themeTint="99"/>
          <w:sz w:val="20"/>
          <w:szCs w:val="20"/>
        </w:rPr>
      </w:pPr>
      <w:r w:rsidRPr="00757DF0">
        <w:rPr>
          <w:rFonts w:ascii="Times New Roman" w:eastAsiaTheme="minorHAnsi" w:hAnsi="Times New Roman"/>
          <w:i/>
          <w:sz w:val="20"/>
          <w:szCs w:val="20"/>
        </w:rPr>
        <w:t>Universiti Teknologi MARA, 40450 Shah Alam, Selangor, Malaysia</w:t>
      </w:r>
    </w:p>
    <w:p w:rsidR="00757DF0" w:rsidRPr="00757DF0" w:rsidRDefault="00757DF0" w:rsidP="00757DF0">
      <w:pPr>
        <w:spacing w:after="0" w:line="240" w:lineRule="auto"/>
        <w:jc w:val="center"/>
        <w:outlineLvl w:val="0"/>
        <w:rPr>
          <w:rFonts w:ascii="Times New Roman" w:hAnsi="Times New Roman"/>
          <w:b/>
          <w:color w:val="548DD4" w:themeColor="text2" w:themeTint="99"/>
          <w:sz w:val="20"/>
          <w:szCs w:val="20"/>
        </w:rPr>
      </w:pPr>
    </w:p>
    <w:p w:rsidR="00757DF0" w:rsidRPr="00757DF0" w:rsidRDefault="00757DF0" w:rsidP="00757DF0">
      <w:pPr>
        <w:spacing w:after="0" w:line="240" w:lineRule="auto"/>
        <w:jc w:val="center"/>
        <w:outlineLvl w:val="0"/>
        <w:rPr>
          <w:rFonts w:ascii="Times New Roman" w:hAnsi="Times New Roman"/>
          <w:i/>
          <w:color w:val="548DD4" w:themeColor="text2" w:themeTint="99"/>
          <w:sz w:val="20"/>
          <w:szCs w:val="20"/>
        </w:rPr>
      </w:pPr>
      <w:r w:rsidRPr="00757DF0">
        <w:rPr>
          <w:rFonts w:ascii="Times New Roman" w:hAnsi="Times New Roman"/>
          <w:i/>
          <w:sz w:val="20"/>
          <w:szCs w:val="20"/>
        </w:rPr>
        <w:t>*Corresponding author:  zaemah@uniten.edu.my</w:t>
      </w:r>
    </w:p>
    <w:p w:rsidR="00757DF0" w:rsidRPr="00757DF0" w:rsidRDefault="00757DF0" w:rsidP="00757DF0">
      <w:pPr>
        <w:spacing w:after="0" w:line="240" w:lineRule="auto"/>
        <w:jc w:val="center"/>
        <w:rPr>
          <w:rFonts w:ascii="Times New Roman" w:hAnsi="Times New Roman"/>
          <w:noProof/>
          <w:sz w:val="20"/>
          <w:szCs w:val="20"/>
          <w:lang w:bidi="ar-SA"/>
        </w:rPr>
      </w:pPr>
    </w:p>
    <w:p w:rsidR="00757DF0" w:rsidRPr="00757DF0" w:rsidRDefault="00757DF0" w:rsidP="00757DF0">
      <w:pPr>
        <w:spacing w:after="0" w:line="240" w:lineRule="auto"/>
        <w:jc w:val="center"/>
        <w:rPr>
          <w:rFonts w:ascii="Times New Roman" w:hAnsi="Times New Roman"/>
          <w:noProof/>
          <w:sz w:val="20"/>
          <w:szCs w:val="20"/>
          <w:lang w:bidi="ar-SA"/>
        </w:rPr>
      </w:pPr>
    </w:p>
    <w:p w:rsidR="00757DF0" w:rsidRPr="00757DF0" w:rsidRDefault="00757DF0" w:rsidP="00757DF0">
      <w:pPr>
        <w:spacing w:after="0" w:line="240" w:lineRule="auto"/>
        <w:jc w:val="center"/>
        <w:rPr>
          <w:rFonts w:ascii="Times New Roman" w:hAnsi="Times New Roman"/>
          <w:noProof/>
          <w:sz w:val="20"/>
          <w:szCs w:val="20"/>
          <w:lang w:bidi="ar-SA"/>
        </w:rPr>
      </w:pPr>
      <w:r w:rsidRPr="00757DF0">
        <w:rPr>
          <w:rFonts w:ascii="Times New Roman" w:hAnsi="Times New Roman"/>
          <w:noProof/>
          <w:sz w:val="20"/>
          <w:szCs w:val="20"/>
          <w:lang w:bidi="ar-SA"/>
        </w:rPr>
        <w:t>Received: 19 August 2018; Accepted: 10 March 2019</w:t>
      </w:r>
    </w:p>
    <w:p w:rsidR="00757DF0" w:rsidRPr="00757DF0" w:rsidRDefault="00757DF0" w:rsidP="00757DF0">
      <w:pPr>
        <w:spacing w:after="0" w:line="240" w:lineRule="auto"/>
        <w:jc w:val="center"/>
        <w:rPr>
          <w:rFonts w:ascii="Times New Roman" w:hAnsi="Times New Roman"/>
          <w:noProof/>
          <w:sz w:val="20"/>
          <w:szCs w:val="20"/>
          <w:lang w:bidi="ar-SA"/>
        </w:rPr>
      </w:pPr>
    </w:p>
    <w:p w:rsidR="00757DF0" w:rsidRPr="00757DF0" w:rsidRDefault="00757DF0" w:rsidP="00757DF0">
      <w:pPr>
        <w:spacing w:after="0" w:line="240" w:lineRule="auto"/>
        <w:jc w:val="center"/>
        <w:rPr>
          <w:rFonts w:ascii="Times New Roman" w:hAnsi="Times New Roman"/>
          <w:noProof/>
          <w:sz w:val="20"/>
          <w:szCs w:val="20"/>
          <w:lang w:bidi="ar-SA"/>
        </w:rPr>
      </w:pPr>
    </w:p>
    <w:p w:rsidR="00757DF0" w:rsidRPr="00757DF0" w:rsidRDefault="00757DF0" w:rsidP="00757DF0">
      <w:pPr>
        <w:spacing w:after="0" w:line="240" w:lineRule="auto"/>
        <w:jc w:val="center"/>
        <w:rPr>
          <w:rFonts w:ascii="Times New Roman" w:hAnsi="Times New Roman"/>
          <w:b/>
          <w:noProof/>
          <w:sz w:val="20"/>
          <w:szCs w:val="20"/>
          <w:lang w:bidi="ar-SA"/>
        </w:rPr>
      </w:pPr>
      <w:r w:rsidRPr="00757DF0">
        <w:rPr>
          <w:rFonts w:ascii="Times New Roman" w:hAnsi="Times New Roman"/>
          <w:b/>
          <w:noProof/>
          <w:sz w:val="20"/>
          <w:szCs w:val="20"/>
          <w:lang w:bidi="ar-SA"/>
        </w:rPr>
        <w:t>Abstract</w:t>
      </w:r>
    </w:p>
    <w:p w:rsidR="00757DF0" w:rsidRPr="00757DF0" w:rsidRDefault="00757DF0" w:rsidP="00757DF0">
      <w:pPr>
        <w:adjustRightInd w:val="0"/>
        <w:spacing w:after="0" w:line="240" w:lineRule="auto"/>
        <w:jc w:val="both"/>
        <w:rPr>
          <w:rFonts w:ascii="Times New Roman" w:hAnsi="Times New Roman"/>
          <w:b/>
          <w:color w:val="548DD4" w:themeColor="text2" w:themeTint="99"/>
          <w:sz w:val="20"/>
          <w:szCs w:val="20"/>
        </w:rPr>
      </w:pPr>
      <w:r w:rsidRPr="00757DF0">
        <w:rPr>
          <w:rFonts w:ascii="Times New Roman" w:hAnsi="Times New Roman"/>
          <w:bCs/>
          <w:sz w:val="20"/>
          <w:szCs w:val="20"/>
        </w:rPr>
        <w:t xml:space="preserve">Captopril (CPL), an anti-hypertensive drug was intercalated into the interlayer spaces of zinc–aluminium layered double hydroxide (ZLDH) for the formation of zinc–aluminium–captopril (ZCPL) hybrid nanocomposite material by self-assembly method. The concentration of CPL used was 0.08 M with pH 7.5 in a constant 3:1 molar ratio of zinc (Zn) to aluminium (Al) in the mother liquor. As a result of the successful intercalation of CPL, powder X-ray diffraction pattern (PXRD) shows the basal spacing increased from 8.90 Å in ZLDH to 9.69 Å in the ZCPL nanohybrid material. Fourier transform infrared (FTIR) spectroscopy study shows the intercalated compound of ZCPL resembled the spectra of ZLDH and CPL, thus indicating the presence of both functional groups in ZCPL spectra. </w:t>
      </w:r>
      <w:r w:rsidRPr="00757DF0">
        <w:rPr>
          <w:rFonts w:ascii="Times New Roman" w:hAnsi="Times New Roman"/>
          <w:sz w:val="20"/>
          <w:szCs w:val="20"/>
        </w:rPr>
        <w:t xml:space="preserve">CHNS analysis shows the ZCPL nanohybrid material contains 30.63% (w/w) of CPL which was calculated based on the percentage of carbon in the sample. </w:t>
      </w:r>
      <w:r w:rsidRPr="00757DF0">
        <w:rPr>
          <w:rFonts w:ascii="Times New Roman" w:eastAsiaTheme="minorHAnsi" w:hAnsi="Times New Roman"/>
          <w:sz w:val="20"/>
          <w:szCs w:val="20"/>
        </w:rPr>
        <w:t>It was also found that the BET surface area increased from 1.7 m</w:t>
      </w:r>
      <w:r w:rsidRPr="00757DF0">
        <w:rPr>
          <w:rFonts w:ascii="Times New Roman" w:eastAsiaTheme="minorHAnsi" w:hAnsi="Times New Roman"/>
          <w:sz w:val="20"/>
          <w:szCs w:val="20"/>
          <w:vertAlign w:val="superscript"/>
        </w:rPr>
        <w:t>2</w:t>
      </w:r>
      <w:r w:rsidRPr="00757DF0">
        <w:rPr>
          <w:rFonts w:ascii="Times New Roman" w:eastAsiaTheme="minorHAnsi" w:hAnsi="Times New Roman"/>
          <w:sz w:val="20"/>
          <w:szCs w:val="20"/>
        </w:rPr>
        <w:t>/g in ZLDH to 10.9 m</w:t>
      </w:r>
      <w:r w:rsidRPr="00757DF0">
        <w:rPr>
          <w:rFonts w:ascii="Times New Roman" w:eastAsiaTheme="minorHAnsi" w:hAnsi="Times New Roman"/>
          <w:sz w:val="20"/>
          <w:szCs w:val="20"/>
          <w:vertAlign w:val="superscript"/>
        </w:rPr>
        <w:t>2</w:t>
      </w:r>
      <w:r w:rsidRPr="00757DF0">
        <w:rPr>
          <w:rFonts w:ascii="Times New Roman" w:eastAsiaTheme="minorHAnsi" w:hAnsi="Times New Roman"/>
          <w:sz w:val="20"/>
          <w:szCs w:val="20"/>
        </w:rPr>
        <w:t>/g in ZCPL. The pore texture of the resulting material was also changed as the result of the intercalation and the expansion of the basal spacing during the formation of the layered intercalated ZCPL nanohybrid material.</w:t>
      </w:r>
    </w:p>
    <w:p w:rsidR="00757DF0" w:rsidRPr="00757DF0" w:rsidRDefault="00757DF0" w:rsidP="00757DF0">
      <w:pPr>
        <w:spacing w:after="0" w:line="240" w:lineRule="auto"/>
        <w:jc w:val="both"/>
        <w:outlineLvl w:val="0"/>
        <w:rPr>
          <w:rFonts w:ascii="Times New Roman" w:hAnsi="Times New Roman"/>
          <w:sz w:val="20"/>
          <w:szCs w:val="20"/>
        </w:rPr>
      </w:pPr>
    </w:p>
    <w:p w:rsidR="00757DF0" w:rsidRPr="00757DF0" w:rsidRDefault="00757DF0" w:rsidP="00757DF0">
      <w:pPr>
        <w:spacing w:after="0" w:line="240" w:lineRule="auto"/>
        <w:jc w:val="both"/>
        <w:outlineLvl w:val="0"/>
        <w:rPr>
          <w:rFonts w:ascii="Times New Roman" w:hAnsi="Times New Roman"/>
          <w:color w:val="548DD4" w:themeColor="text2" w:themeTint="99"/>
          <w:sz w:val="20"/>
          <w:szCs w:val="20"/>
        </w:rPr>
      </w:pPr>
      <w:r w:rsidRPr="00757DF0">
        <w:rPr>
          <w:rFonts w:ascii="Times New Roman" w:hAnsi="Times New Roman"/>
          <w:b/>
          <w:sz w:val="20"/>
          <w:szCs w:val="20"/>
        </w:rPr>
        <w:t xml:space="preserve">Keywords:  </w:t>
      </w:r>
      <w:r w:rsidRPr="00757DF0">
        <w:rPr>
          <w:rFonts w:ascii="Times New Roman" w:hAnsi="Times New Roman"/>
          <w:bCs/>
          <w:iCs/>
          <w:sz w:val="20"/>
          <w:szCs w:val="20"/>
        </w:rPr>
        <w:t xml:space="preserve">captopril, anti-hypertensive drug, intercalation, layered double hydroxide, nanocomposite </w:t>
      </w:r>
    </w:p>
    <w:p w:rsidR="00757DF0" w:rsidRPr="00757DF0" w:rsidRDefault="00757DF0" w:rsidP="00757DF0">
      <w:pPr>
        <w:spacing w:after="0" w:line="240" w:lineRule="auto"/>
        <w:jc w:val="center"/>
        <w:outlineLvl w:val="0"/>
        <w:rPr>
          <w:rFonts w:ascii="Times New Roman" w:hAnsi="Times New Roman"/>
          <w:b/>
          <w:color w:val="548DD4" w:themeColor="text2" w:themeTint="99"/>
          <w:sz w:val="20"/>
          <w:szCs w:val="20"/>
        </w:rPr>
      </w:pPr>
    </w:p>
    <w:p w:rsidR="00757DF0" w:rsidRPr="00757DF0" w:rsidRDefault="00757DF0" w:rsidP="00757DF0">
      <w:pPr>
        <w:spacing w:after="0" w:line="240" w:lineRule="auto"/>
        <w:jc w:val="center"/>
        <w:outlineLvl w:val="0"/>
        <w:rPr>
          <w:rFonts w:ascii="Times New Roman" w:hAnsi="Times New Roman"/>
          <w:b/>
          <w:sz w:val="20"/>
          <w:szCs w:val="20"/>
          <w:lang w:val="ms-MY"/>
        </w:rPr>
      </w:pPr>
      <w:r w:rsidRPr="00757DF0">
        <w:rPr>
          <w:rFonts w:ascii="Times New Roman" w:hAnsi="Times New Roman"/>
          <w:b/>
          <w:sz w:val="20"/>
          <w:szCs w:val="20"/>
          <w:lang w:val="ms-MY"/>
        </w:rPr>
        <w:t>Abstrak</w:t>
      </w:r>
    </w:p>
    <w:p w:rsidR="00757DF0" w:rsidRPr="00757DF0" w:rsidRDefault="00757DF0" w:rsidP="00757DF0">
      <w:pPr>
        <w:spacing w:after="0" w:line="240" w:lineRule="auto"/>
        <w:jc w:val="both"/>
        <w:outlineLvl w:val="0"/>
        <w:rPr>
          <w:rFonts w:ascii="Times New Roman" w:hAnsi="Times New Roman"/>
          <w:sz w:val="20"/>
          <w:szCs w:val="20"/>
          <w:lang w:val="ms-MY"/>
        </w:rPr>
      </w:pPr>
      <w:r w:rsidRPr="00757DF0">
        <w:rPr>
          <w:rFonts w:ascii="Times New Roman" w:hAnsi="Times New Roman"/>
          <w:sz w:val="20"/>
          <w:szCs w:val="20"/>
          <w:lang w:val="ms-MY"/>
        </w:rPr>
        <w:t>Captopril (CPL) iaitu ubat anti-hipertensi telah berjaya disisipkan ke dalam ruang antara lapis hidroksida berlapis ganda bagi pembentukan bahan hibrid ZCPL nanokomposit melalui kaedah pembentukan sendiri. Kepekatan CPL yang digunakan adalah 0.08M dan pH 7.5 dengan nisbah kepekatan tetap Zn : Al adalah 3 : 1 dalam larutan akueous. Penyisipan anion captopril dapat ditentukan dari pengembangan jarak basal PXRD daripada 8.90 Å bagi zink-aluminium hidroksida berlapis ganda (ZLDH) kepada 9.69Å bagi bahan nanohibrid ZCPL. Analisis inframerah transformasi Fourier (FTIR) menunjukkan kehadiran gabungan kumpulan berfungsi bagi ZLDH dan CPL kelihatan pada spektra ZCPL. Ini membuktikan CPL telah berjaya disisipkan di antara ruang hidroksida berlapis ganda bagi pembentukan bahan nanokomposit tersebut. Analisis CHNS menunjukkan bahan nanohibrid ZCPL mengandungi CPL dengan peratusan 30.63 % (w/w) yang ditentukan melalui pengiraan peratusan karbon di dalam sampel nanohibrid ZCPL. Luas permukaan BET telah meningkat daripada 1.7 m</w:t>
      </w:r>
      <w:r w:rsidRPr="00757DF0">
        <w:rPr>
          <w:rFonts w:ascii="Times New Roman" w:hAnsi="Times New Roman"/>
          <w:sz w:val="20"/>
          <w:szCs w:val="20"/>
          <w:vertAlign w:val="superscript"/>
          <w:lang w:val="ms-MY"/>
        </w:rPr>
        <w:t>2</w:t>
      </w:r>
      <w:r w:rsidRPr="00757DF0">
        <w:rPr>
          <w:rFonts w:ascii="Times New Roman" w:hAnsi="Times New Roman"/>
          <w:sz w:val="20"/>
          <w:szCs w:val="20"/>
          <w:lang w:val="ms-MY"/>
        </w:rPr>
        <w:t>/g kepada 10.9 m</w:t>
      </w:r>
      <w:r w:rsidRPr="00757DF0">
        <w:rPr>
          <w:rFonts w:ascii="Times New Roman" w:hAnsi="Times New Roman"/>
          <w:sz w:val="20"/>
          <w:szCs w:val="20"/>
          <w:vertAlign w:val="superscript"/>
          <w:lang w:val="ms-MY"/>
        </w:rPr>
        <w:t>2</w:t>
      </w:r>
      <w:r w:rsidRPr="00757DF0">
        <w:rPr>
          <w:rFonts w:ascii="Times New Roman" w:hAnsi="Times New Roman"/>
          <w:sz w:val="20"/>
          <w:szCs w:val="20"/>
          <w:lang w:val="ms-MY"/>
        </w:rPr>
        <w:t xml:space="preserve">/g masing-masing bagi </w:t>
      </w:r>
      <w:r w:rsidRPr="00757DF0">
        <w:rPr>
          <w:rFonts w:ascii="Times New Roman" w:hAnsi="Times New Roman"/>
          <w:sz w:val="20"/>
          <w:szCs w:val="20"/>
          <w:lang w:val="ms-MY"/>
        </w:rPr>
        <w:lastRenderedPageBreak/>
        <w:t>ZLDH dan ZCPL. Struktur liang bahan nanohibrid yang terhasil juga telah berubah disebabkan penyisipan captopril telah mengembangkan jarak basal, begitu juga dengan pembentukan liang yang lebih besar berlaku hasil dari pembentukan bahan nanohibrid, ZCPL.</w:t>
      </w:r>
    </w:p>
    <w:p w:rsidR="00757DF0" w:rsidRPr="00757DF0" w:rsidRDefault="00757DF0" w:rsidP="00757DF0">
      <w:pPr>
        <w:spacing w:after="0" w:line="240" w:lineRule="auto"/>
        <w:jc w:val="both"/>
        <w:outlineLvl w:val="0"/>
        <w:rPr>
          <w:rFonts w:ascii="Times New Roman" w:hAnsi="Times New Roman"/>
          <w:sz w:val="20"/>
          <w:szCs w:val="20"/>
          <w:lang w:val="ms-MY"/>
        </w:rPr>
      </w:pPr>
    </w:p>
    <w:p w:rsidR="00A22685" w:rsidRDefault="00757DF0" w:rsidP="00757DF0">
      <w:pPr>
        <w:spacing w:after="0" w:line="240" w:lineRule="auto"/>
        <w:rPr>
          <w:rFonts w:ascii="Times New Roman" w:hAnsi="Times New Roman"/>
          <w:sz w:val="20"/>
          <w:szCs w:val="20"/>
          <w:lang w:val="ms-MY"/>
        </w:rPr>
      </w:pPr>
      <w:r w:rsidRPr="00757DF0">
        <w:rPr>
          <w:rFonts w:ascii="Times New Roman" w:hAnsi="Times New Roman"/>
          <w:b/>
          <w:sz w:val="20"/>
          <w:szCs w:val="20"/>
          <w:lang w:val="ms-MY"/>
        </w:rPr>
        <w:t xml:space="preserve">Kata kunci:  </w:t>
      </w:r>
      <w:r w:rsidRPr="00757DF0">
        <w:rPr>
          <w:rFonts w:ascii="Times New Roman" w:hAnsi="Times New Roman"/>
          <w:sz w:val="20"/>
          <w:szCs w:val="20"/>
          <w:lang w:val="ms-MY"/>
        </w:rPr>
        <w:t>captopril, ubat anti-hipertensi, sisipan, hidroksida berlapis ganda, nanokomposit</w:t>
      </w:r>
    </w:p>
    <w:p w:rsidR="00757DF0" w:rsidRDefault="00757DF0" w:rsidP="00757DF0">
      <w:pPr>
        <w:spacing w:after="0" w:line="240" w:lineRule="auto"/>
        <w:rPr>
          <w:rFonts w:ascii="Times New Roman" w:hAnsi="Times New Roman"/>
          <w:sz w:val="20"/>
          <w:szCs w:val="20"/>
          <w:lang w:val="ms-MY"/>
        </w:rPr>
      </w:pPr>
    </w:p>
    <w:p w:rsidR="00757DF0" w:rsidRPr="00F447A7" w:rsidRDefault="00757DF0" w:rsidP="00757DF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Ladewig, K., Marcus, M., Zhi, P. X., Gray, P. P. and Gao, Q. (2010). Controlled preparation of layered double hydroxide nanoparticle and their application as gene delivery vehicles. </w:t>
      </w:r>
      <w:r w:rsidRPr="00423A65">
        <w:rPr>
          <w:rFonts w:ascii="Times New Roman" w:hAnsi="Times New Roman"/>
          <w:i/>
          <w:sz w:val="20"/>
          <w:szCs w:val="20"/>
        </w:rPr>
        <w:t>Applied Clay Science</w:t>
      </w:r>
      <w:r w:rsidRPr="00423A65">
        <w:rPr>
          <w:rFonts w:ascii="Times New Roman" w:hAnsi="Times New Roman"/>
          <w:sz w:val="20"/>
          <w:szCs w:val="20"/>
        </w:rPr>
        <w:t>, 48(12): 280 – 289.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Suman, S., Sayantan, R., Rituparna, A., Tapan, K. C. and Jui, C. (2017). Magnesium, zinc and calcium aluminium layered double hydroxide drug nanohybrids: A comprehensive study. </w:t>
      </w:r>
      <w:r w:rsidRPr="00423A65">
        <w:rPr>
          <w:rFonts w:ascii="Times New Roman" w:hAnsi="Times New Roman"/>
          <w:i/>
          <w:sz w:val="20"/>
          <w:szCs w:val="20"/>
        </w:rPr>
        <w:t>Applied Clay Science</w:t>
      </w:r>
      <w:r w:rsidRPr="00423A65">
        <w:rPr>
          <w:rFonts w:ascii="Times New Roman" w:hAnsi="Times New Roman"/>
          <w:sz w:val="20"/>
          <w:szCs w:val="20"/>
        </w:rPr>
        <w:t>, 135: 493 – 509.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Kuthati, Y., Kankala, R. K. and Lee, C. H. (2015). Layered double hydroxide nanoparticles or biomedical applications: Current status and recent prospects. </w:t>
      </w:r>
      <w:r w:rsidRPr="00423A65">
        <w:rPr>
          <w:rFonts w:ascii="Times New Roman" w:hAnsi="Times New Roman"/>
          <w:i/>
          <w:sz w:val="20"/>
          <w:szCs w:val="20"/>
        </w:rPr>
        <w:t>Applied Clay Science</w:t>
      </w:r>
      <w:r w:rsidRPr="00423A65">
        <w:rPr>
          <w:rFonts w:ascii="Times New Roman" w:hAnsi="Times New Roman"/>
          <w:sz w:val="20"/>
          <w:szCs w:val="20"/>
        </w:rPr>
        <w:t>, 112-113:100 – 116.</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Duan, X. and Evans, D. G. (2006). Layered double hydroxides, structure and bonding. Springer, Berlin, pp. 1 – 234.</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Sudipte, S., Ravi, T., Shiv, P., Shivali, D., Durga, P. M., Parimal, D., Shripathi, T., Mohan, K., Dipak, R. and Pralay, M. (2016). Layered double hydroxide as effective carrier for anticancer drug and tailoring of release rate through interlayer anions. </w:t>
      </w:r>
      <w:r w:rsidRPr="00423A65">
        <w:rPr>
          <w:rFonts w:ascii="Times New Roman" w:hAnsi="Times New Roman"/>
          <w:i/>
          <w:sz w:val="20"/>
          <w:szCs w:val="20"/>
        </w:rPr>
        <w:t>Journal of Controlled Release</w:t>
      </w:r>
      <w:r w:rsidRPr="00423A65">
        <w:rPr>
          <w:rFonts w:ascii="Times New Roman" w:hAnsi="Times New Roman"/>
          <w:sz w:val="20"/>
          <w:szCs w:val="20"/>
        </w:rPr>
        <w:t>, 224: 186 – 198.</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Salak, A. N., Tedim, J., Alena, I. Kuznetsova, Mikhail, L. Maria, G. S. F. (2010). Anion exchange in Zn-Al layered double hydroxide: In-situ X-ray diffraction study. </w:t>
      </w:r>
      <w:r w:rsidRPr="00423A65">
        <w:rPr>
          <w:rFonts w:ascii="Times New Roman" w:hAnsi="Times New Roman"/>
          <w:i/>
          <w:sz w:val="20"/>
          <w:szCs w:val="20"/>
        </w:rPr>
        <w:t>Chemical Physics Letters</w:t>
      </w:r>
      <w:r w:rsidRPr="00423A65">
        <w:rPr>
          <w:rFonts w:ascii="Times New Roman" w:hAnsi="Times New Roman"/>
          <w:sz w:val="20"/>
          <w:szCs w:val="20"/>
        </w:rPr>
        <w:t>, 495: 73 – 76.</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Chakrabarty, A. and Acharya, H. (2018). Facile synthesis of MgAl-layered double hydroxide supported metal organic framework nanocomposite for adsorptive removal of methyl orange dye. </w:t>
      </w:r>
      <w:r w:rsidRPr="00423A65">
        <w:rPr>
          <w:rFonts w:ascii="Times New Roman" w:hAnsi="Times New Roman"/>
          <w:i/>
          <w:sz w:val="20"/>
          <w:szCs w:val="20"/>
        </w:rPr>
        <w:t>Colloid and Interface Science Communications</w:t>
      </w:r>
      <w:r w:rsidRPr="00423A65">
        <w:rPr>
          <w:rFonts w:ascii="Times New Roman" w:hAnsi="Times New Roman"/>
          <w:sz w:val="20"/>
          <w:szCs w:val="20"/>
        </w:rPr>
        <w:t>, 24: 35 – 39.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Lupa, L., Cocheci, L., Pode, R. and Hulka, L. (2018). Phenol adsorption using aliquat 336 functionalized Zn-Al layered double hydroxide. </w:t>
      </w:r>
      <w:r w:rsidRPr="00423A65">
        <w:rPr>
          <w:rFonts w:ascii="Times New Roman" w:hAnsi="Times New Roman"/>
          <w:i/>
          <w:sz w:val="20"/>
          <w:szCs w:val="20"/>
        </w:rPr>
        <w:t>Separation and Purification Technology,</w:t>
      </w:r>
      <w:r w:rsidRPr="00423A65">
        <w:rPr>
          <w:rFonts w:ascii="Times New Roman" w:hAnsi="Times New Roman"/>
          <w:sz w:val="20"/>
          <w:szCs w:val="20"/>
        </w:rPr>
        <w:t xml:space="preserve"> 196: 82 – 95.</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Rives, V., Arco, M. D. and Martin, C. (2013). Layered double hydroxides as drug carriers and for controlled release of non-steroidal anti-inflammatory drugs (NSAIDs): A review. </w:t>
      </w:r>
      <w:r w:rsidRPr="00423A65">
        <w:rPr>
          <w:rFonts w:ascii="Times New Roman" w:hAnsi="Times New Roman"/>
          <w:i/>
          <w:sz w:val="20"/>
          <w:szCs w:val="20"/>
        </w:rPr>
        <w:t>Journal of Controlled Release</w:t>
      </w:r>
      <w:r w:rsidRPr="00423A65">
        <w:rPr>
          <w:rFonts w:ascii="Times New Roman" w:hAnsi="Times New Roman"/>
          <w:sz w:val="20"/>
          <w:szCs w:val="20"/>
        </w:rPr>
        <w:t>, 169: 28 – 39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Zhang, K., Xu, Z. P., Lu, J., Tang, Z. Y., Zhao, H. J., Good, D. A. and Wei, M. Q. (2014). Potential for layered double hydroxides-based innovative drug delivery systems. </w:t>
      </w:r>
      <w:r w:rsidRPr="00423A65">
        <w:rPr>
          <w:rFonts w:ascii="Times New Roman" w:hAnsi="Times New Roman"/>
          <w:i/>
          <w:sz w:val="20"/>
          <w:szCs w:val="20"/>
        </w:rPr>
        <w:t>International Journal of Molecular Sciences,</w:t>
      </w:r>
      <w:r w:rsidRPr="00423A65">
        <w:rPr>
          <w:rFonts w:ascii="Times New Roman" w:hAnsi="Times New Roman"/>
          <w:sz w:val="20"/>
          <w:szCs w:val="20"/>
        </w:rPr>
        <w:t xml:space="preserve"> 15: 7409 – 7428.</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Sipos, P. and Palinko, I. (2018). As-prepared and intercalated layered double hydroxides of the hydrocalumite type as efficient catalysts in various reactions. </w:t>
      </w:r>
      <w:r w:rsidRPr="00423A65">
        <w:rPr>
          <w:rFonts w:ascii="Times New Roman" w:hAnsi="Times New Roman"/>
          <w:i/>
          <w:sz w:val="20"/>
          <w:szCs w:val="20"/>
        </w:rPr>
        <w:t>Catalysis Today,</w:t>
      </w:r>
      <w:r w:rsidRPr="00423A65">
        <w:rPr>
          <w:rFonts w:ascii="Times New Roman" w:hAnsi="Times New Roman"/>
          <w:sz w:val="20"/>
          <w:szCs w:val="20"/>
        </w:rPr>
        <w:t xml:space="preserve"> 306: 32 – 41.</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Zhang, S., Yan, Y., Wang, W., Gu, X., Li, H., Li, J. and Sun, J. (2018). Intercalation of phosphotungstic acid into layered double hydroxide by reconstruction method and its application in intumescent flame-retardant poly(lactic acid) composites. </w:t>
      </w:r>
      <w:r w:rsidRPr="00423A65">
        <w:rPr>
          <w:rFonts w:ascii="Times New Roman" w:hAnsi="Times New Roman"/>
          <w:i/>
          <w:sz w:val="20"/>
          <w:szCs w:val="20"/>
        </w:rPr>
        <w:t>Polymer Degradation and Stability,</w:t>
      </w:r>
      <w:r w:rsidRPr="00423A65">
        <w:rPr>
          <w:rFonts w:ascii="Times New Roman" w:hAnsi="Times New Roman"/>
          <w:sz w:val="20"/>
          <w:szCs w:val="20"/>
        </w:rPr>
        <w:t xml:space="preserve"> 147:142-150.</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Sorrentino, A., Gorassi, M., Tortora, M., Vittoria, V., Constantino, U., Marmottini, F., Padella, F. (2005). Incorporation of Mg-Al hydrotalcite into a biodegradable poly(Ɛ-caprolactone) by high energy ball miling. </w:t>
      </w:r>
      <w:r w:rsidRPr="00423A65">
        <w:rPr>
          <w:rFonts w:ascii="Times New Roman" w:hAnsi="Times New Roman"/>
          <w:i/>
          <w:sz w:val="20"/>
          <w:szCs w:val="20"/>
        </w:rPr>
        <w:t>Polymer</w:t>
      </w:r>
      <w:r w:rsidRPr="00423A65">
        <w:rPr>
          <w:rFonts w:ascii="Times New Roman" w:hAnsi="Times New Roman"/>
          <w:sz w:val="20"/>
          <w:szCs w:val="20"/>
        </w:rPr>
        <w:t xml:space="preserve"> 45: 1601 – 1608</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Dutta, K., Das, S. and Pramanik, A. (2012). Concomitant synthesis of highly crystalline Zn-Al layered double hydroxide and ZnO: Phase interconversion and enhanced photocatalytic activity. </w:t>
      </w:r>
      <w:r w:rsidRPr="00423A65">
        <w:rPr>
          <w:rFonts w:ascii="Times New Roman" w:hAnsi="Times New Roman"/>
          <w:i/>
          <w:sz w:val="20"/>
          <w:szCs w:val="20"/>
        </w:rPr>
        <w:t>Journal of Colloid and Interface Science,</w:t>
      </w:r>
      <w:r w:rsidRPr="00423A65">
        <w:rPr>
          <w:rFonts w:ascii="Times New Roman" w:hAnsi="Times New Roman"/>
          <w:sz w:val="20"/>
          <w:szCs w:val="20"/>
        </w:rPr>
        <w:t xml:space="preserve"> 366: 28 – 36.</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Xiao, Y., Su, D., Wang, X., Wu, S., Zhou, L., Sun, Z., Wang, Z., Fang, S. and Li, F. (2017). Ultrahigh energy density and stable supercapacitor with 2D NiCoAl Layered double hydroxide. </w:t>
      </w:r>
      <w:r w:rsidRPr="00423A65">
        <w:rPr>
          <w:rFonts w:ascii="Times New Roman" w:hAnsi="Times New Roman"/>
          <w:i/>
          <w:sz w:val="20"/>
          <w:szCs w:val="20"/>
        </w:rPr>
        <w:t>Electrochimica Acta</w:t>
      </w:r>
      <w:r w:rsidRPr="00423A65">
        <w:rPr>
          <w:rFonts w:ascii="Times New Roman" w:hAnsi="Times New Roman"/>
          <w:sz w:val="20"/>
          <w:szCs w:val="20"/>
        </w:rPr>
        <w:t>, 253: 324 – 332.</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Shao, M., Zhang, R., Li, Z., Wei, M. Evans, D. E. and Duan, X. (2015). Layered double hydroxide toward electrochemical energy storage and conversion: Design, synthesis and applications. </w:t>
      </w:r>
      <w:r w:rsidRPr="00423A65">
        <w:rPr>
          <w:rFonts w:ascii="Times New Roman" w:hAnsi="Times New Roman"/>
          <w:i/>
          <w:sz w:val="20"/>
          <w:szCs w:val="20"/>
        </w:rPr>
        <w:t>Chemical Communication,</w:t>
      </w:r>
      <w:r w:rsidRPr="00423A65">
        <w:rPr>
          <w:rFonts w:ascii="Times New Roman" w:hAnsi="Times New Roman"/>
          <w:sz w:val="20"/>
          <w:szCs w:val="20"/>
        </w:rPr>
        <w:t xml:space="preserve"> 51: 15880 – 15893.</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Gasser, M. S. (2009). Inorganic layered double hydroxides as ascorbic acid (vitamin C) delivery system –intercalation and their controlled release properties. </w:t>
      </w:r>
      <w:r w:rsidRPr="00423A65">
        <w:rPr>
          <w:rFonts w:ascii="Times New Roman" w:hAnsi="Times New Roman"/>
          <w:i/>
          <w:sz w:val="20"/>
          <w:szCs w:val="20"/>
        </w:rPr>
        <w:t>Colloids Surface B,</w:t>
      </w:r>
      <w:r w:rsidRPr="00423A65">
        <w:rPr>
          <w:rFonts w:ascii="Times New Roman" w:hAnsi="Times New Roman"/>
          <w:sz w:val="20"/>
          <w:szCs w:val="20"/>
        </w:rPr>
        <w:t xml:space="preserve"> 73: 103 – 109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Li, Y., Bao, W., Wu, H., Wang, J., Zhang, Y., Wan, Y., Cao, D. and Wang, Q. (2017). Delaminated layered </w:t>
      </w:r>
      <w:r w:rsidRPr="00423A65">
        <w:rPr>
          <w:rFonts w:ascii="Times New Roman" w:hAnsi="Times New Roman"/>
          <w:sz w:val="20"/>
          <w:szCs w:val="20"/>
        </w:rPr>
        <w:lastRenderedPageBreak/>
        <w:t xml:space="preserve">double hydroxide delivers DNA molecules as sandwich nanostructure into cells </w:t>
      </w:r>
      <w:r w:rsidRPr="00423A65">
        <w:rPr>
          <w:rFonts w:ascii="Times New Roman" w:hAnsi="Times New Roman"/>
          <w:i/>
          <w:sz w:val="20"/>
          <w:szCs w:val="20"/>
        </w:rPr>
        <w:t xml:space="preserve">via </w:t>
      </w:r>
      <w:r w:rsidRPr="00423A65">
        <w:rPr>
          <w:rFonts w:ascii="Times New Roman" w:hAnsi="Times New Roman"/>
          <w:sz w:val="20"/>
          <w:szCs w:val="20"/>
        </w:rPr>
        <w:t xml:space="preserve">a non-endocytic pathway. </w:t>
      </w:r>
      <w:r w:rsidRPr="00423A65">
        <w:rPr>
          <w:rFonts w:ascii="Times New Roman" w:hAnsi="Times New Roman"/>
          <w:i/>
          <w:sz w:val="20"/>
          <w:szCs w:val="20"/>
        </w:rPr>
        <w:t>Science Bulletin</w:t>
      </w:r>
      <w:r w:rsidRPr="00423A65">
        <w:rPr>
          <w:rFonts w:ascii="Times New Roman" w:hAnsi="Times New Roman"/>
          <w:sz w:val="20"/>
          <w:szCs w:val="20"/>
        </w:rPr>
        <w:t>, 62(10): 686 – 692.</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Rojas, R., Linck, Y. G., Cuffini, S., Monti, G. and Giacomelli, C. E. (2015). Structural and physicochemical aspects of drugs release from layered double hydroxides and layered hydroxide salts. </w:t>
      </w:r>
      <w:r w:rsidRPr="00423A65">
        <w:rPr>
          <w:rFonts w:ascii="Times New Roman" w:hAnsi="Times New Roman"/>
          <w:i/>
          <w:sz w:val="20"/>
          <w:szCs w:val="20"/>
        </w:rPr>
        <w:t>Applied Clay Science</w:t>
      </w:r>
      <w:r w:rsidRPr="00423A65">
        <w:rPr>
          <w:rFonts w:ascii="Times New Roman" w:hAnsi="Times New Roman"/>
          <w:sz w:val="20"/>
          <w:szCs w:val="20"/>
        </w:rPr>
        <w:t>, 109-110: 119 – 126.</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Rives, V., Arco, M. and Martin, C. (2014). Intercalation of drugs in layered double hydroxides and their controlled release: A review. </w:t>
      </w:r>
      <w:r w:rsidRPr="00423A65">
        <w:rPr>
          <w:rFonts w:ascii="Times New Roman" w:hAnsi="Times New Roman"/>
          <w:i/>
          <w:sz w:val="20"/>
          <w:szCs w:val="20"/>
        </w:rPr>
        <w:t>Applied Clay Science</w:t>
      </w:r>
      <w:r w:rsidRPr="00423A65">
        <w:rPr>
          <w:rFonts w:ascii="Times New Roman" w:hAnsi="Times New Roman"/>
          <w:sz w:val="20"/>
          <w:szCs w:val="20"/>
        </w:rPr>
        <w:t>, 88-89: 239 – 269.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Mohsin, S. M. N., Hussein, M. Z., Sarijo, S. H., Fakurazi, S., Arulselvan, P. and Yun Hin, T. Y. (2013). Synthesis of (cinnnamate-zinc layered hydroxide) intercalation compound for sunscreen application. </w:t>
      </w:r>
      <w:r w:rsidRPr="00423A65">
        <w:rPr>
          <w:rFonts w:ascii="Times New Roman" w:hAnsi="Times New Roman"/>
          <w:i/>
          <w:sz w:val="20"/>
          <w:szCs w:val="20"/>
        </w:rPr>
        <w:t>Chemistry Central Journal</w:t>
      </w:r>
      <w:r w:rsidRPr="00423A65">
        <w:rPr>
          <w:rFonts w:ascii="Times New Roman" w:hAnsi="Times New Roman"/>
          <w:sz w:val="20"/>
          <w:szCs w:val="20"/>
        </w:rPr>
        <w:t>, 26(7): 1 – 12.</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Legrouri A., Badreddine, A., Barroug, A., Roy, J. P., Besse, P. (1999). Influence of pH on the synthesis of Zn-Al-nitrate layered double hydroxide and the exchange of nitrate by phosphate ions. </w:t>
      </w:r>
      <w:r w:rsidRPr="00423A65">
        <w:rPr>
          <w:rFonts w:ascii="Times New Roman" w:hAnsi="Times New Roman"/>
          <w:i/>
          <w:sz w:val="20"/>
          <w:szCs w:val="20"/>
        </w:rPr>
        <w:t>Journal of Material Science Letters</w:t>
      </w:r>
      <w:r w:rsidRPr="00423A65">
        <w:rPr>
          <w:rFonts w:ascii="Times New Roman" w:hAnsi="Times New Roman"/>
          <w:sz w:val="20"/>
          <w:szCs w:val="20"/>
        </w:rPr>
        <w:t>, 18: 1077 – 1079.</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Hussein, M., Zainal, Z. and Hwa, T. K. (2000). Synthesis and properties of layered organic-inorganic hybrid material: Zn-Al layered double hydroxide-dioctyl sulfosuccinate nanocomposite. </w:t>
      </w:r>
      <w:r w:rsidRPr="00423A65">
        <w:rPr>
          <w:rFonts w:ascii="Times New Roman" w:hAnsi="Times New Roman"/>
          <w:i/>
          <w:sz w:val="20"/>
          <w:szCs w:val="20"/>
        </w:rPr>
        <w:t>Journal of Nanoparticle Research</w:t>
      </w:r>
      <w:r w:rsidRPr="00423A65">
        <w:rPr>
          <w:rFonts w:ascii="Times New Roman" w:hAnsi="Times New Roman"/>
          <w:sz w:val="20"/>
          <w:szCs w:val="20"/>
        </w:rPr>
        <w:t>, 2: 293 – 298.</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Srivastava, A., Khare, B., Argal, R. and Patel, S. (2003). Microdetermination of anti-hypertensive drug captopril using 2,6-dichlorophenol indophenol. </w:t>
      </w:r>
      <w:r w:rsidRPr="00423A65">
        <w:rPr>
          <w:rFonts w:ascii="Times New Roman" w:hAnsi="Times New Roman"/>
          <w:i/>
          <w:sz w:val="20"/>
          <w:szCs w:val="20"/>
        </w:rPr>
        <w:t>Indian Journal of Chemistry</w:t>
      </w:r>
      <w:r w:rsidRPr="00423A65">
        <w:rPr>
          <w:rFonts w:ascii="Times New Roman" w:hAnsi="Times New Roman"/>
          <w:sz w:val="20"/>
          <w:szCs w:val="20"/>
        </w:rPr>
        <w:t>, 42: 3036 – 3040.</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Jubri, Z., Mohd Yusuf, N. Z. A., Sarijo, S. H., Marsom, E. S. and Hussein, M. Z. (2017). Synthesis, characterization and controlled release properties of zinc-aluminium-beta-naphtoxyacetate nanocomposite. </w:t>
      </w:r>
      <w:r w:rsidRPr="00423A65">
        <w:rPr>
          <w:rFonts w:ascii="Times New Roman" w:hAnsi="Times New Roman"/>
          <w:i/>
          <w:sz w:val="20"/>
          <w:szCs w:val="20"/>
        </w:rPr>
        <w:t>Journal of Porous Materials</w:t>
      </w:r>
      <w:r w:rsidRPr="00423A65">
        <w:rPr>
          <w:rFonts w:ascii="Times New Roman" w:hAnsi="Times New Roman"/>
          <w:sz w:val="20"/>
          <w:szCs w:val="20"/>
        </w:rPr>
        <w:t>, 24(3): 573 – 582.</w:t>
      </w:r>
    </w:p>
    <w:p w:rsidR="00757DF0" w:rsidRPr="00423A65" w:rsidRDefault="00757DF0" w:rsidP="00757DF0">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Xu, Z. P. and Braterman, P. S. (2010). Synthesis, structure and morphology of organic layered double hydroxide (LDH) hybrids: Comparison between aliphatic anions and their oxygenated analogs. </w:t>
      </w:r>
      <w:r w:rsidRPr="00423A65">
        <w:rPr>
          <w:rFonts w:ascii="Times New Roman" w:hAnsi="Times New Roman"/>
          <w:i/>
          <w:sz w:val="20"/>
          <w:szCs w:val="20"/>
        </w:rPr>
        <w:t>Applied Clay Science</w:t>
      </w:r>
      <w:r w:rsidRPr="00423A65">
        <w:rPr>
          <w:rFonts w:ascii="Times New Roman" w:hAnsi="Times New Roman"/>
          <w:sz w:val="20"/>
          <w:szCs w:val="20"/>
        </w:rPr>
        <w:t>, 48: 235 – 242.</w:t>
      </w:r>
    </w:p>
    <w:p w:rsidR="00757DF0" w:rsidRPr="00757DF0" w:rsidRDefault="00757DF0" w:rsidP="00757DF0">
      <w:pPr>
        <w:spacing w:after="0" w:line="240" w:lineRule="auto"/>
        <w:rPr>
          <w:rFonts w:ascii="Times New Roman" w:hAnsi="Times New Roman"/>
          <w:noProof/>
          <w:sz w:val="20"/>
          <w:szCs w:val="20"/>
          <w:lang w:bidi="ar-SA"/>
        </w:rPr>
      </w:pPr>
      <w:bookmarkStart w:id="0" w:name="_GoBack"/>
      <w:bookmarkEnd w:id="0"/>
    </w:p>
    <w:sectPr w:rsidR="00757DF0" w:rsidRPr="00757DF0" w:rsidSect="00757DF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DF0"/>
    <w:rsid w:val="00757DF0"/>
    <w:rsid w:val="00A22685"/>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DF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D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DF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1445</Words>
  <Characters>7848</Characters>
  <Application>Microsoft Office Word</Application>
  <DocSecurity>0</DocSecurity>
  <Lines>170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2019-04-02T15:12:00Z</dcterms:created>
  <dcterms:modified xsi:type="dcterms:W3CDTF">2019-04-02T15:17:00Z</dcterms:modified>
</cp:coreProperties>
</file>