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2A3" w:rsidRDefault="004A22A3" w:rsidP="004A22A3">
      <w:pPr>
        <w:spacing w:after="0" w:line="240" w:lineRule="auto"/>
        <w:rPr>
          <w:rFonts w:ascii="Times New Roman" w:hAnsi="Times New Roman"/>
          <w:bCs/>
          <w:sz w:val="24"/>
          <w:szCs w:val="24"/>
        </w:rPr>
      </w:pPr>
      <w:r>
        <w:rPr>
          <w:rFonts w:ascii="Times New Roman" w:hAnsi="Times New Roman"/>
          <w:bCs/>
          <w:sz w:val="24"/>
          <w:szCs w:val="24"/>
        </w:rPr>
        <w:t>Malaysian Journal of Analytical Sciences Vol 23 No 2 (2019): 312 - 324</w:t>
      </w:r>
    </w:p>
    <w:p w:rsidR="004A22A3" w:rsidRDefault="004A22A3" w:rsidP="004A22A3">
      <w:pPr>
        <w:spacing w:after="0" w:line="240" w:lineRule="auto"/>
        <w:rPr>
          <w:rFonts w:ascii="Times New Roman" w:hAnsi="Times New Roman"/>
          <w:bCs/>
          <w:sz w:val="24"/>
          <w:szCs w:val="24"/>
        </w:rPr>
      </w:pPr>
    </w:p>
    <w:p w:rsidR="004A22A3" w:rsidRDefault="004A22A3" w:rsidP="004A22A3">
      <w:pPr>
        <w:spacing w:after="0" w:line="240" w:lineRule="auto"/>
        <w:rPr>
          <w:rFonts w:ascii="Times New Roman" w:hAnsi="Times New Roman"/>
          <w:bCs/>
          <w:sz w:val="24"/>
          <w:szCs w:val="24"/>
        </w:rPr>
      </w:pPr>
    </w:p>
    <w:p w:rsidR="004A22A3" w:rsidRPr="004A22A3" w:rsidRDefault="004A22A3" w:rsidP="004A22A3">
      <w:pPr>
        <w:spacing w:after="0" w:line="240" w:lineRule="auto"/>
        <w:rPr>
          <w:rFonts w:ascii="Times New Roman" w:hAnsi="Times New Roman"/>
          <w:bCs/>
          <w:sz w:val="24"/>
          <w:szCs w:val="24"/>
        </w:rPr>
      </w:pPr>
    </w:p>
    <w:p w:rsidR="004A22A3" w:rsidRPr="003215E5" w:rsidRDefault="004A22A3" w:rsidP="004A22A3">
      <w:pPr>
        <w:spacing w:after="0" w:line="240" w:lineRule="auto"/>
        <w:jc w:val="center"/>
        <w:rPr>
          <w:rFonts w:ascii="Times New Roman" w:hAnsi="Times New Roman"/>
          <w:bCs/>
          <w:sz w:val="28"/>
          <w:szCs w:val="24"/>
        </w:rPr>
      </w:pPr>
      <w:r w:rsidRPr="003215E5">
        <w:rPr>
          <w:rFonts w:ascii="Times New Roman" w:hAnsi="Times New Roman"/>
          <w:bCs/>
          <w:sz w:val="28"/>
          <w:szCs w:val="24"/>
        </w:rPr>
        <w:t xml:space="preserve">ULTRAFAST LIQUID CHROMATOGRAPHIC ESTIMATION OF SERTACONAZOLE NITRATE IN PHARMACEUTICALS </w:t>
      </w:r>
      <w:r>
        <w:rPr>
          <w:rFonts w:ascii="Times New Roman" w:hAnsi="Times New Roman"/>
          <w:bCs/>
          <w:sz w:val="28"/>
          <w:szCs w:val="24"/>
        </w:rPr>
        <w:t xml:space="preserve">USING </w:t>
      </w:r>
      <w:r w:rsidRPr="003215E5">
        <w:rPr>
          <w:rFonts w:ascii="Times New Roman" w:hAnsi="Times New Roman"/>
          <w:bCs/>
          <w:sz w:val="28"/>
          <w:szCs w:val="24"/>
        </w:rPr>
        <w:t xml:space="preserve">ANALYTICAL QUALITY BY DESIGN </w:t>
      </w:r>
    </w:p>
    <w:p w:rsidR="004A22A3" w:rsidRDefault="004A22A3" w:rsidP="004A22A3">
      <w:pPr>
        <w:spacing w:after="0" w:line="240" w:lineRule="auto"/>
        <w:jc w:val="center"/>
        <w:rPr>
          <w:rFonts w:ascii="Times New Roman" w:hAnsi="Times New Roman"/>
          <w:bCs/>
          <w:sz w:val="24"/>
          <w:szCs w:val="24"/>
        </w:rPr>
      </w:pPr>
    </w:p>
    <w:p w:rsidR="004A22A3" w:rsidRPr="00324046" w:rsidRDefault="004A22A3" w:rsidP="004A22A3">
      <w:pPr>
        <w:spacing w:after="0" w:line="240" w:lineRule="auto"/>
        <w:jc w:val="center"/>
        <w:rPr>
          <w:rFonts w:ascii="Times New Roman" w:hAnsi="Times New Roman"/>
          <w:bCs/>
          <w:sz w:val="24"/>
          <w:szCs w:val="24"/>
          <w:lang w:val="ms-MY"/>
        </w:rPr>
      </w:pPr>
      <w:r w:rsidRPr="003215E5">
        <w:rPr>
          <w:rFonts w:ascii="Times New Roman" w:hAnsi="Times New Roman"/>
          <w:bCs/>
          <w:sz w:val="24"/>
          <w:szCs w:val="24"/>
        </w:rPr>
        <w:t>(</w:t>
      </w:r>
      <w:r w:rsidRPr="003215E5">
        <w:rPr>
          <w:rFonts w:ascii="Times New Roman" w:hAnsi="Times New Roman"/>
          <w:bCs/>
          <w:sz w:val="24"/>
          <w:szCs w:val="24"/>
          <w:lang w:val="ms-MY"/>
        </w:rPr>
        <w:t xml:space="preserve">Kromatografi Cecair Ultra-laju bagi Anggaran Sertaconazole Nitrat dalam Farmaseutikal Menggunakan </w:t>
      </w:r>
      <w:r>
        <w:rPr>
          <w:rFonts w:ascii="Times New Roman" w:hAnsi="Times New Roman"/>
          <w:bCs/>
          <w:noProof/>
          <w:sz w:val="24"/>
          <w:szCs w:val="24"/>
          <w:lang w:val="ms-MY"/>
        </w:rPr>
        <w:t>Reka Bentuk</w:t>
      </w:r>
      <w:r w:rsidRPr="003215E5">
        <w:rPr>
          <w:rFonts w:ascii="Times New Roman" w:hAnsi="Times New Roman"/>
          <w:bCs/>
          <w:sz w:val="24"/>
          <w:szCs w:val="24"/>
          <w:lang w:val="ms-MY"/>
        </w:rPr>
        <w:t xml:space="preserve"> Kualiti </w:t>
      </w:r>
      <w:r w:rsidRPr="003215E5">
        <w:rPr>
          <w:rFonts w:ascii="Times New Roman" w:hAnsi="Times New Roman"/>
          <w:bCs/>
          <w:noProof/>
          <w:sz w:val="24"/>
          <w:szCs w:val="24"/>
          <w:lang w:val="ms-MY"/>
        </w:rPr>
        <w:t>Anal</w:t>
      </w:r>
      <w:r>
        <w:rPr>
          <w:rFonts w:ascii="Times New Roman" w:hAnsi="Times New Roman"/>
          <w:bCs/>
          <w:noProof/>
          <w:sz w:val="24"/>
          <w:szCs w:val="24"/>
          <w:lang w:val="ms-MY"/>
        </w:rPr>
        <w:t>itikal</w:t>
      </w:r>
      <w:r w:rsidRPr="003215E5">
        <w:rPr>
          <w:rFonts w:ascii="Times New Roman" w:hAnsi="Times New Roman"/>
          <w:b/>
          <w:sz w:val="24"/>
          <w:szCs w:val="24"/>
        </w:rPr>
        <w:t>)</w:t>
      </w:r>
    </w:p>
    <w:p w:rsidR="004A22A3" w:rsidRPr="00324046" w:rsidRDefault="004A22A3" w:rsidP="004A22A3">
      <w:pPr>
        <w:spacing w:after="0" w:line="240" w:lineRule="auto"/>
        <w:jc w:val="center"/>
        <w:rPr>
          <w:rFonts w:ascii="Times New Roman" w:hAnsi="Times New Roman"/>
          <w:b/>
          <w:sz w:val="20"/>
          <w:szCs w:val="20"/>
        </w:rPr>
      </w:pPr>
    </w:p>
    <w:p w:rsidR="004A22A3" w:rsidRPr="003215E5" w:rsidRDefault="004A22A3" w:rsidP="004A22A3">
      <w:pPr>
        <w:spacing w:after="0" w:line="240" w:lineRule="auto"/>
        <w:jc w:val="center"/>
        <w:rPr>
          <w:rFonts w:ascii="Times New Roman" w:hAnsi="Times New Roman"/>
          <w:bCs/>
          <w:sz w:val="20"/>
          <w:szCs w:val="20"/>
        </w:rPr>
      </w:pPr>
      <w:r w:rsidRPr="003215E5">
        <w:rPr>
          <w:rFonts w:ascii="Times New Roman" w:hAnsi="Times New Roman"/>
          <w:bCs/>
          <w:sz w:val="20"/>
          <w:szCs w:val="20"/>
        </w:rPr>
        <w:t>Sagar Suman</w:t>
      </w:r>
      <w:r>
        <w:rPr>
          <w:rFonts w:ascii="Times New Roman" w:hAnsi="Times New Roman"/>
          <w:bCs/>
          <w:sz w:val="20"/>
          <w:szCs w:val="20"/>
        </w:rPr>
        <w:t xml:space="preserve"> </w:t>
      </w:r>
      <w:r w:rsidRPr="003215E5">
        <w:rPr>
          <w:rFonts w:ascii="Times New Roman" w:hAnsi="Times New Roman"/>
          <w:bCs/>
          <w:sz w:val="20"/>
          <w:szCs w:val="20"/>
        </w:rPr>
        <w:t xml:space="preserve">Panda*, Venkata Varaha Ravi </w:t>
      </w:r>
      <w:r>
        <w:rPr>
          <w:rFonts w:ascii="Times New Roman" w:hAnsi="Times New Roman"/>
          <w:bCs/>
          <w:noProof/>
          <w:sz w:val="20"/>
          <w:szCs w:val="20"/>
        </w:rPr>
        <w:t>K</w:t>
      </w:r>
      <w:r w:rsidRPr="003215E5">
        <w:rPr>
          <w:rFonts w:ascii="Times New Roman" w:hAnsi="Times New Roman"/>
          <w:bCs/>
          <w:noProof/>
          <w:sz w:val="20"/>
          <w:szCs w:val="20"/>
        </w:rPr>
        <w:t>umar</w:t>
      </w:r>
      <w:r w:rsidRPr="003215E5">
        <w:rPr>
          <w:rFonts w:ascii="Times New Roman" w:hAnsi="Times New Roman"/>
          <w:bCs/>
          <w:sz w:val="20"/>
          <w:szCs w:val="20"/>
        </w:rPr>
        <w:t xml:space="preserve"> Bera</w:t>
      </w:r>
      <w:r>
        <w:rPr>
          <w:rFonts w:ascii="Times New Roman" w:hAnsi="Times New Roman"/>
          <w:bCs/>
          <w:sz w:val="20"/>
          <w:szCs w:val="20"/>
        </w:rPr>
        <w:t xml:space="preserve">, </w:t>
      </w:r>
      <w:r w:rsidRPr="003215E5">
        <w:rPr>
          <w:rFonts w:ascii="Times New Roman" w:hAnsi="Times New Roman"/>
          <w:bCs/>
          <w:sz w:val="20"/>
          <w:szCs w:val="20"/>
        </w:rPr>
        <w:t>Rakeya Samanta</w:t>
      </w:r>
    </w:p>
    <w:p w:rsidR="004A22A3" w:rsidRPr="004A22A3" w:rsidRDefault="004A22A3" w:rsidP="004A22A3">
      <w:pPr>
        <w:spacing w:after="0" w:line="240" w:lineRule="auto"/>
        <w:jc w:val="center"/>
        <w:rPr>
          <w:rFonts w:ascii="Times New Roman" w:hAnsi="Times New Roman"/>
          <w:bCs/>
          <w:iCs/>
          <w:sz w:val="20"/>
          <w:szCs w:val="20"/>
        </w:rPr>
      </w:pPr>
    </w:p>
    <w:p w:rsidR="004A22A3" w:rsidRPr="004A22A3" w:rsidRDefault="004A22A3" w:rsidP="004A22A3">
      <w:pPr>
        <w:spacing w:after="0" w:line="240" w:lineRule="auto"/>
        <w:jc w:val="center"/>
        <w:rPr>
          <w:rFonts w:ascii="Times New Roman" w:hAnsi="Times New Roman"/>
          <w:bCs/>
          <w:i/>
          <w:iCs/>
          <w:sz w:val="20"/>
          <w:szCs w:val="20"/>
        </w:rPr>
      </w:pPr>
      <w:r w:rsidRPr="004A22A3">
        <w:rPr>
          <w:rFonts w:ascii="Times New Roman" w:hAnsi="Times New Roman"/>
          <w:bCs/>
          <w:i/>
          <w:iCs/>
          <w:sz w:val="20"/>
          <w:szCs w:val="20"/>
        </w:rPr>
        <w:t xml:space="preserve">Department of Pharmaceutical Analysis and Quality Assurance, </w:t>
      </w:r>
    </w:p>
    <w:p w:rsidR="001A4EEC" w:rsidRDefault="004A22A3" w:rsidP="004A22A3">
      <w:pPr>
        <w:spacing w:after="0" w:line="240" w:lineRule="auto"/>
        <w:jc w:val="center"/>
        <w:rPr>
          <w:rFonts w:ascii="Times New Roman" w:hAnsi="Times New Roman"/>
          <w:bCs/>
          <w:i/>
          <w:iCs/>
          <w:sz w:val="20"/>
          <w:szCs w:val="20"/>
        </w:rPr>
      </w:pPr>
      <w:r w:rsidRPr="004A22A3">
        <w:rPr>
          <w:rFonts w:ascii="Times New Roman" w:hAnsi="Times New Roman"/>
          <w:bCs/>
          <w:i/>
          <w:iCs/>
          <w:sz w:val="20"/>
          <w:szCs w:val="20"/>
        </w:rPr>
        <w:t>Roland Institute of Pharmaceutical Sciences</w:t>
      </w:r>
      <w:r w:rsidR="001C2476">
        <w:rPr>
          <w:rFonts w:ascii="Times New Roman" w:hAnsi="Times New Roman"/>
          <w:bCs/>
          <w:i/>
          <w:iCs/>
          <w:sz w:val="20"/>
          <w:szCs w:val="20"/>
        </w:rPr>
        <w:t xml:space="preserve"> </w:t>
      </w:r>
      <w:bookmarkStart w:id="0" w:name="_GoBack"/>
      <w:bookmarkEnd w:id="0"/>
      <w:r w:rsidR="001A4EEC" w:rsidRPr="00CB7CAE">
        <w:rPr>
          <w:rFonts w:ascii="Times New Roman" w:eastAsia="Calibri" w:hAnsi="Times New Roman"/>
          <w:i/>
          <w:color w:val="000000"/>
          <w:sz w:val="18"/>
          <w:szCs w:val="18"/>
          <w:lang w:bidi="ar-SA"/>
        </w:rPr>
        <w:t>(Affiliated to Biju Patnaik University of Technology, Odisha)</w:t>
      </w:r>
      <w:r w:rsidRPr="004A22A3">
        <w:rPr>
          <w:rFonts w:ascii="Times New Roman" w:hAnsi="Times New Roman"/>
          <w:bCs/>
          <w:i/>
          <w:iCs/>
          <w:sz w:val="20"/>
          <w:szCs w:val="20"/>
        </w:rPr>
        <w:t>,</w:t>
      </w:r>
    </w:p>
    <w:p w:rsidR="004A22A3" w:rsidRPr="004A22A3" w:rsidRDefault="004A22A3" w:rsidP="004A22A3">
      <w:pPr>
        <w:spacing w:after="0" w:line="240" w:lineRule="auto"/>
        <w:jc w:val="center"/>
        <w:rPr>
          <w:rFonts w:ascii="Times New Roman" w:hAnsi="Times New Roman"/>
          <w:bCs/>
          <w:i/>
          <w:iCs/>
          <w:sz w:val="20"/>
          <w:szCs w:val="20"/>
        </w:rPr>
      </w:pPr>
      <w:r w:rsidRPr="004A22A3">
        <w:rPr>
          <w:rFonts w:ascii="Times New Roman" w:hAnsi="Times New Roman"/>
          <w:bCs/>
          <w:i/>
          <w:iCs/>
          <w:sz w:val="20"/>
          <w:szCs w:val="20"/>
        </w:rPr>
        <w:t xml:space="preserve"> Khodasingi, Berhampur-760010, Odisha, India</w:t>
      </w:r>
    </w:p>
    <w:p w:rsidR="004A22A3" w:rsidRPr="004A22A3" w:rsidRDefault="004A22A3" w:rsidP="004A22A3">
      <w:pPr>
        <w:spacing w:after="0" w:line="240" w:lineRule="auto"/>
        <w:jc w:val="center"/>
        <w:rPr>
          <w:rFonts w:ascii="Times New Roman" w:hAnsi="Times New Roman"/>
          <w:bCs/>
          <w:i/>
          <w:iCs/>
          <w:sz w:val="20"/>
          <w:szCs w:val="20"/>
        </w:rPr>
      </w:pPr>
    </w:p>
    <w:p w:rsidR="004A22A3" w:rsidRPr="004A22A3" w:rsidRDefault="004A22A3" w:rsidP="004A22A3">
      <w:pPr>
        <w:spacing w:after="0" w:line="240" w:lineRule="auto"/>
        <w:jc w:val="center"/>
        <w:rPr>
          <w:rFonts w:ascii="Times New Roman" w:hAnsi="Times New Roman"/>
          <w:bCs/>
          <w:sz w:val="20"/>
          <w:szCs w:val="20"/>
        </w:rPr>
      </w:pPr>
      <w:r w:rsidRPr="004A22A3">
        <w:rPr>
          <w:rFonts w:ascii="Times New Roman" w:hAnsi="Times New Roman"/>
          <w:bCs/>
          <w:i/>
          <w:iCs/>
          <w:sz w:val="20"/>
          <w:szCs w:val="20"/>
        </w:rPr>
        <w:t>*Corresponding author: sagarguddu2002@gmail.com</w:t>
      </w:r>
    </w:p>
    <w:p w:rsidR="004A22A3" w:rsidRPr="004A22A3" w:rsidRDefault="004A22A3" w:rsidP="004A22A3">
      <w:pPr>
        <w:spacing w:after="0" w:line="240" w:lineRule="auto"/>
        <w:jc w:val="center"/>
        <w:rPr>
          <w:rFonts w:ascii="Times New Roman" w:hAnsi="Times New Roman"/>
          <w:noProof/>
          <w:sz w:val="20"/>
          <w:szCs w:val="20"/>
          <w:lang w:bidi="ar-SA"/>
        </w:rPr>
      </w:pPr>
    </w:p>
    <w:p w:rsidR="004A22A3" w:rsidRPr="004A22A3" w:rsidRDefault="004A22A3" w:rsidP="004A22A3">
      <w:pPr>
        <w:spacing w:after="0" w:line="240" w:lineRule="auto"/>
        <w:jc w:val="center"/>
        <w:rPr>
          <w:rFonts w:ascii="Times New Roman" w:hAnsi="Times New Roman"/>
          <w:noProof/>
          <w:sz w:val="20"/>
          <w:szCs w:val="20"/>
          <w:lang w:bidi="ar-SA"/>
        </w:rPr>
      </w:pPr>
    </w:p>
    <w:p w:rsidR="004A22A3" w:rsidRPr="004A22A3" w:rsidRDefault="004A22A3" w:rsidP="004A22A3">
      <w:pPr>
        <w:spacing w:after="0" w:line="240" w:lineRule="auto"/>
        <w:jc w:val="center"/>
        <w:rPr>
          <w:rFonts w:ascii="Times New Roman" w:hAnsi="Times New Roman"/>
          <w:noProof/>
          <w:sz w:val="20"/>
          <w:szCs w:val="20"/>
          <w:lang w:bidi="ar-SA"/>
        </w:rPr>
      </w:pPr>
      <w:r w:rsidRPr="004A22A3">
        <w:rPr>
          <w:rFonts w:ascii="Times New Roman" w:hAnsi="Times New Roman"/>
          <w:noProof/>
          <w:sz w:val="20"/>
          <w:szCs w:val="20"/>
          <w:lang w:bidi="ar-SA"/>
        </w:rPr>
        <w:t>Received: 24 May 2018; Accepted: 24 February 2019</w:t>
      </w:r>
    </w:p>
    <w:p w:rsidR="004A22A3" w:rsidRPr="004A22A3" w:rsidRDefault="004A22A3" w:rsidP="004A22A3">
      <w:pPr>
        <w:spacing w:after="0" w:line="240" w:lineRule="auto"/>
        <w:jc w:val="center"/>
        <w:rPr>
          <w:rFonts w:ascii="Times New Roman" w:hAnsi="Times New Roman"/>
          <w:noProof/>
          <w:sz w:val="20"/>
          <w:szCs w:val="20"/>
          <w:lang w:bidi="ar-SA"/>
        </w:rPr>
      </w:pPr>
    </w:p>
    <w:p w:rsidR="004A22A3" w:rsidRPr="004A22A3" w:rsidRDefault="004A22A3" w:rsidP="004A22A3">
      <w:pPr>
        <w:spacing w:after="0" w:line="240" w:lineRule="auto"/>
        <w:jc w:val="center"/>
        <w:rPr>
          <w:rFonts w:ascii="Times New Roman" w:hAnsi="Times New Roman"/>
          <w:noProof/>
          <w:sz w:val="20"/>
          <w:szCs w:val="20"/>
          <w:lang w:bidi="ar-SA"/>
        </w:rPr>
      </w:pPr>
    </w:p>
    <w:p w:rsidR="004A22A3" w:rsidRPr="004A22A3" w:rsidRDefault="004A22A3" w:rsidP="004A22A3">
      <w:pPr>
        <w:spacing w:after="0" w:line="240" w:lineRule="auto"/>
        <w:jc w:val="center"/>
        <w:rPr>
          <w:rFonts w:ascii="Times New Roman" w:hAnsi="Times New Roman"/>
          <w:b/>
          <w:noProof/>
          <w:sz w:val="20"/>
          <w:szCs w:val="20"/>
          <w:lang w:bidi="ar-SA"/>
        </w:rPr>
      </w:pPr>
      <w:r w:rsidRPr="004A22A3">
        <w:rPr>
          <w:rFonts w:ascii="Times New Roman" w:hAnsi="Times New Roman"/>
          <w:b/>
          <w:noProof/>
          <w:sz w:val="20"/>
          <w:szCs w:val="20"/>
          <w:lang w:bidi="ar-SA"/>
        </w:rPr>
        <w:t>Abstract</w:t>
      </w:r>
    </w:p>
    <w:p w:rsidR="004A22A3" w:rsidRPr="004A22A3" w:rsidRDefault="004A22A3" w:rsidP="004A22A3">
      <w:pPr>
        <w:spacing w:after="0" w:line="240" w:lineRule="auto"/>
        <w:jc w:val="both"/>
        <w:rPr>
          <w:rFonts w:ascii="Times New Roman" w:hAnsi="Times New Roman"/>
          <w:sz w:val="20"/>
          <w:szCs w:val="20"/>
        </w:rPr>
      </w:pPr>
      <w:r w:rsidRPr="004A22A3">
        <w:rPr>
          <w:rFonts w:ascii="Times New Roman" w:hAnsi="Times New Roman"/>
          <w:sz w:val="20"/>
          <w:szCs w:val="20"/>
        </w:rPr>
        <w:t xml:space="preserve">An analytical Quality by Design(AQbD) oriented ultra-fast liquid chromatography method was developed for quantification of sertaconazole nitrate in </w:t>
      </w:r>
      <w:r w:rsidRPr="004A22A3">
        <w:rPr>
          <w:rFonts w:ascii="Times New Roman" w:hAnsi="Times New Roman"/>
          <w:noProof/>
          <w:sz w:val="20"/>
          <w:szCs w:val="20"/>
        </w:rPr>
        <w:t>pharmaceutical</w:t>
      </w:r>
      <w:r w:rsidRPr="004A22A3">
        <w:rPr>
          <w:rFonts w:ascii="Times New Roman" w:hAnsi="Times New Roman"/>
          <w:sz w:val="20"/>
          <w:szCs w:val="20"/>
        </w:rPr>
        <w:t xml:space="preserve"> dosage form. A central composite design (CCD) was employed to establish optimum chromatographic conditions ensuring method robustness by selecting methanol (%) and flow rate (mL/min) as the factors, to study their effect on the system suitability parameters such as retention time, plate number and tailing factor as the response variable. </w:t>
      </w:r>
      <w:r w:rsidRPr="004A22A3">
        <w:rPr>
          <w:rFonts w:ascii="Times New Roman" w:hAnsi="Times New Roman"/>
          <w:noProof/>
          <w:sz w:val="20"/>
          <w:szCs w:val="20"/>
        </w:rPr>
        <w:t>Further,</w:t>
      </w:r>
      <w:r w:rsidRPr="004A22A3">
        <w:rPr>
          <w:rFonts w:ascii="Times New Roman" w:hAnsi="Times New Roman"/>
          <w:sz w:val="20"/>
          <w:szCs w:val="20"/>
        </w:rPr>
        <w:t xml:space="preserve"> the method was carried out with </w:t>
      </w:r>
      <w:r w:rsidRPr="004A22A3">
        <w:rPr>
          <w:rFonts w:ascii="Times New Roman" w:hAnsi="Times New Roman"/>
          <w:noProof/>
          <w:sz w:val="20"/>
          <w:szCs w:val="20"/>
        </w:rPr>
        <w:t>design</w:t>
      </w:r>
      <w:r w:rsidRPr="004A22A3">
        <w:rPr>
          <w:rFonts w:ascii="Times New Roman" w:hAnsi="Times New Roman"/>
          <w:sz w:val="20"/>
          <w:szCs w:val="20"/>
        </w:rPr>
        <w:t xml:space="preserve"> of experiments (DoE) optimized chromatographic conditions. The intermediate precision of the method was studied using a full factorial design (FFD) considering the number of days and analysts as the variables. The chromatographic separation was achieved on a phenyl-hexyl column using methanol: water (92:8, %v/v) as the mobile phase at a flow rate of 1.3 mL/min and </w:t>
      </w:r>
      <w:r w:rsidRPr="004A22A3">
        <w:rPr>
          <w:rFonts w:ascii="Times New Roman" w:hAnsi="Times New Roman"/>
          <w:noProof/>
          <w:sz w:val="20"/>
          <w:szCs w:val="20"/>
        </w:rPr>
        <w:t>photo diode</w:t>
      </w:r>
      <w:r w:rsidRPr="004A22A3">
        <w:rPr>
          <w:rFonts w:ascii="Times New Roman" w:hAnsi="Times New Roman"/>
          <w:sz w:val="20"/>
          <w:szCs w:val="20"/>
        </w:rPr>
        <w:t xml:space="preserve"> array detection at 260 nm. The values obtained for validation parameters were within the acceptance limit. The method was linear over 5-100 µg/mL of sertaconazole. Analysis of the system suitability suggested a high degree of method reproducibility and robustness. In a nutshell, the method was found to be highly suitable for its applicability in the determination of sertaconazole in bulk and tablet dosage form.</w:t>
      </w:r>
    </w:p>
    <w:p w:rsidR="004A22A3" w:rsidRPr="004A22A3" w:rsidRDefault="004A22A3" w:rsidP="004A22A3">
      <w:pPr>
        <w:spacing w:after="0" w:line="240" w:lineRule="auto"/>
        <w:jc w:val="both"/>
        <w:rPr>
          <w:rFonts w:ascii="Times New Roman" w:hAnsi="Times New Roman"/>
          <w:sz w:val="20"/>
          <w:szCs w:val="20"/>
        </w:rPr>
      </w:pPr>
    </w:p>
    <w:p w:rsidR="004A22A3" w:rsidRPr="004A22A3" w:rsidRDefault="004A22A3" w:rsidP="004A22A3">
      <w:pPr>
        <w:spacing w:after="0" w:line="240" w:lineRule="auto"/>
        <w:jc w:val="both"/>
        <w:rPr>
          <w:rFonts w:ascii="Times New Roman" w:hAnsi="Times New Roman"/>
          <w:sz w:val="20"/>
          <w:szCs w:val="20"/>
          <w:lang w:val="en-GB"/>
        </w:rPr>
      </w:pPr>
      <w:r w:rsidRPr="004A22A3">
        <w:rPr>
          <w:rFonts w:ascii="Times New Roman" w:hAnsi="Times New Roman"/>
          <w:b/>
          <w:noProof/>
          <w:sz w:val="20"/>
          <w:szCs w:val="20"/>
          <w:lang w:val="en-GB"/>
        </w:rPr>
        <w:t>Keywords</w:t>
      </w:r>
      <w:r w:rsidRPr="004A22A3">
        <w:rPr>
          <w:rFonts w:ascii="Times New Roman" w:hAnsi="Times New Roman"/>
          <w:b/>
          <w:sz w:val="20"/>
          <w:szCs w:val="20"/>
          <w:lang w:val="en-GB"/>
        </w:rPr>
        <w:t xml:space="preserve">:  </w:t>
      </w:r>
      <w:r w:rsidRPr="004A22A3">
        <w:rPr>
          <w:rFonts w:ascii="Times New Roman" w:hAnsi="Times New Roman"/>
          <w:sz w:val="20"/>
          <w:szCs w:val="20"/>
        </w:rPr>
        <w:t>sertaconazole, ultrafast liquid chromatography, quality by design, design of experiments, robustness</w:t>
      </w:r>
    </w:p>
    <w:p w:rsidR="004A22A3" w:rsidRPr="004A22A3" w:rsidRDefault="004A22A3" w:rsidP="004A22A3">
      <w:pPr>
        <w:spacing w:after="0" w:line="240" w:lineRule="auto"/>
        <w:jc w:val="center"/>
        <w:rPr>
          <w:rFonts w:ascii="Times New Roman" w:hAnsi="Times New Roman"/>
          <w:b/>
          <w:bCs/>
          <w:sz w:val="20"/>
          <w:szCs w:val="20"/>
          <w:lang w:val="en-GB"/>
        </w:rPr>
      </w:pPr>
    </w:p>
    <w:p w:rsidR="004A22A3" w:rsidRPr="004A22A3" w:rsidRDefault="004A22A3" w:rsidP="004A22A3">
      <w:pPr>
        <w:spacing w:after="0" w:line="240" w:lineRule="auto"/>
        <w:jc w:val="center"/>
        <w:rPr>
          <w:rFonts w:ascii="Times New Roman" w:hAnsi="Times New Roman"/>
          <w:b/>
          <w:bCs/>
          <w:sz w:val="20"/>
          <w:szCs w:val="20"/>
          <w:lang w:val="en-GB"/>
        </w:rPr>
      </w:pPr>
      <w:r w:rsidRPr="004A22A3">
        <w:rPr>
          <w:rFonts w:ascii="Times New Roman" w:hAnsi="Times New Roman"/>
          <w:b/>
          <w:bCs/>
          <w:sz w:val="20"/>
          <w:szCs w:val="20"/>
          <w:lang w:val="en-GB"/>
        </w:rPr>
        <w:t>Abstrak</w:t>
      </w:r>
    </w:p>
    <w:p w:rsidR="004A22A3" w:rsidRPr="004A22A3" w:rsidRDefault="004A22A3" w:rsidP="004A22A3">
      <w:pPr>
        <w:spacing w:after="0" w:line="240" w:lineRule="auto"/>
        <w:jc w:val="both"/>
        <w:rPr>
          <w:rFonts w:ascii="Times New Roman" w:hAnsi="Times New Roman"/>
          <w:sz w:val="20"/>
          <w:szCs w:val="20"/>
          <w:lang w:val="ms-MY"/>
        </w:rPr>
      </w:pPr>
      <w:r w:rsidRPr="004A22A3">
        <w:rPr>
          <w:rFonts w:ascii="Times New Roman" w:hAnsi="Times New Roman"/>
          <w:bCs/>
          <w:sz w:val="20"/>
          <w:szCs w:val="20"/>
          <w:lang w:val="ms-MY"/>
        </w:rPr>
        <w:t xml:space="preserve">Reka bentuk kualiti analitikal berasaskan kaedah kromatografi cecair ultra-laju telah dibangunkan untuk pengkuantitian sertaconazole nitrat dalam bentuk dos farmaseutikal. Reka bentuk komposit berpusat (CCD) telah dibangunkan untuk mengoptimumkan keadaan kromatografi dalam memastikan keteguhan kaedahnya dengan memilih metanol (%) dan kadar aliran (mL/min) sebagai faktor, untuk menkaji kesannya terhadap sistem kesesuaian parameter seperti masa tahanan, nombor plat dan faktor pengekoran sebagai respons pembolehubah. Selanjutnya, kaedah diuji dengan reka bentuk eksperimen (DoE) yang telah dioptimumkan. Kepersisan pengantaraan kaedah telah dikaji dengan mengunakan reka bentuk berfaktor penuh (FFD) dengan bilangan hari dan ahli analisis diambil sebagai pembolehubah. Pemisahan kromatografi telah dicapai melalui turus fenil-heksi mengunakan metanol: air (92:8, %v/v) sebagai fasa bergerak pada kadar aliran 1.3 mL/min dan pengesanan susunan diod pada 260 nm. Nilai yang diperolehi untuk parameter validasi berada had yang dibenarkan. Kaedah adalah bersifat linear dari julat 5-100 </w:t>
      </w:r>
      <w:r w:rsidRPr="004A22A3">
        <w:rPr>
          <w:rFonts w:ascii="Times New Roman" w:hAnsi="Times New Roman"/>
          <w:sz w:val="20"/>
          <w:szCs w:val="20"/>
          <w:lang w:val="ms-MY"/>
        </w:rPr>
        <w:lastRenderedPageBreak/>
        <w:t xml:space="preserve">µg/mL sertaconazole. Analisis kesesuaian sistem mencadangkan keteguhan dan kebolehulangan kaedah adalah tinggi. Oleh demikian, kaedah yang diperolehi adalah sesuai untuk aplikasi penentuan sertaconazole di dalam dos tablet dan pukal.  </w:t>
      </w:r>
    </w:p>
    <w:p w:rsidR="004A22A3" w:rsidRPr="004A22A3" w:rsidRDefault="004A22A3" w:rsidP="004A22A3">
      <w:pPr>
        <w:spacing w:after="0" w:line="240" w:lineRule="auto"/>
        <w:jc w:val="both"/>
        <w:rPr>
          <w:rFonts w:ascii="Times New Roman" w:hAnsi="Times New Roman"/>
          <w:bCs/>
          <w:sz w:val="20"/>
          <w:szCs w:val="20"/>
          <w:lang w:val="ms-MY"/>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A22A3" w:rsidRPr="004A22A3" w:rsidTr="00B62835">
        <w:trPr>
          <w:tblCellSpacing w:w="15" w:type="dxa"/>
        </w:trPr>
        <w:tc>
          <w:tcPr>
            <w:tcW w:w="0" w:type="auto"/>
            <w:vAlign w:val="center"/>
            <w:hideMark/>
          </w:tcPr>
          <w:p w:rsidR="004A22A3" w:rsidRPr="004A22A3" w:rsidRDefault="004A22A3" w:rsidP="00B62835">
            <w:pPr>
              <w:spacing w:after="0" w:line="240" w:lineRule="auto"/>
              <w:jc w:val="both"/>
              <w:rPr>
                <w:rFonts w:ascii="Times New Roman" w:hAnsi="Times New Roman"/>
                <w:sz w:val="20"/>
                <w:szCs w:val="20"/>
                <w:lang w:bidi="ar-SA"/>
              </w:rPr>
            </w:pPr>
          </w:p>
        </w:tc>
      </w:tr>
    </w:tbl>
    <w:p w:rsidR="009C27DA" w:rsidRDefault="004A22A3" w:rsidP="004A22A3">
      <w:pPr>
        <w:pStyle w:val="HTMLPreformatted"/>
        <w:jc w:val="both"/>
        <w:rPr>
          <w:rFonts w:ascii="Times New Roman" w:hAnsi="Times New Roman" w:cs="Times New Roman"/>
          <w:lang w:val="ms-MY" w:bidi="ar-SA"/>
        </w:rPr>
      </w:pPr>
      <w:r w:rsidRPr="004A22A3">
        <w:rPr>
          <w:rFonts w:ascii="Times New Roman" w:hAnsi="Times New Roman" w:cs="Times New Roman"/>
          <w:b/>
          <w:bCs/>
        </w:rPr>
        <w:t>Kata kunci:</w:t>
      </w:r>
      <w:r w:rsidRPr="004A22A3">
        <w:rPr>
          <w:rFonts w:ascii="Times New Roman" w:hAnsi="Times New Roman" w:cs="Times New Roman"/>
        </w:rPr>
        <w:t xml:space="preserve">  </w:t>
      </w:r>
      <w:r w:rsidRPr="004A22A3">
        <w:rPr>
          <w:rFonts w:ascii="Times New Roman" w:hAnsi="Times New Roman" w:cs="Times New Roman"/>
          <w:lang w:val="ms-MY" w:bidi="ar-SA"/>
        </w:rPr>
        <w:t>sertaconazole, kromatografi cecair ultra-laju, kualiti reka bentuk, reka bentuk eksperimen, keteguhan</w:t>
      </w:r>
    </w:p>
    <w:p w:rsidR="004A22A3" w:rsidRDefault="004A22A3" w:rsidP="004A22A3">
      <w:pPr>
        <w:pStyle w:val="HTMLPreformatted"/>
        <w:jc w:val="both"/>
        <w:rPr>
          <w:rFonts w:ascii="Times New Roman" w:hAnsi="Times New Roman" w:cs="Times New Roman"/>
          <w:lang w:val="ms-MY" w:bidi="ar-SA"/>
        </w:rPr>
      </w:pPr>
    </w:p>
    <w:p w:rsidR="004A22A3" w:rsidRPr="00F447A7" w:rsidRDefault="004A22A3" w:rsidP="004A22A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sz w:val="20"/>
          <w:szCs w:val="20"/>
          <w:lang w:bidi="ar-SA"/>
        </w:rPr>
      </w:pPr>
      <w:r w:rsidRPr="00270B03">
        <w:rPr>
          <w:rFonts w:ascii="Times New Roman" w:hAnsi="Times New Roman"/>
          <w:sz w:val="20"/>
          <w:szCs w:val="20"/>
          <w:lang w:bidi="ar-SA"/>
        </w:rPr>
        <w:t xml:space="preserve">Panda, S. S., Bera, V. V. R. K., Mohanta, G. and Patel, P. K. (2012). New stability indicating RP-UFLC method for determination of trospium chloride in </w:t>
      </w:r>
      <w:r w:rsidRPr="00270B03">
        <w:rPr>
          <w:rFonts w:ascii="Times New Roman" w:hAnsi="Times New Roman"/>
          <w:noProof/>
          <w:sz w:val="20"/>
          <w:szCs w:val="20"/>
          <w:lang w:bidi="ar-SA"/>
        </w:rPr>
        <w:t>tablet</w:t>
      </w:r>
      <w:r w:rsidRPr="00270B03">
        <w:rPr>
          <w:rFonts w:ascii="Times New Roman" w:hAnsi="Times New Roman"/>
          <w:sz w:val="20"/>
          <w:szCs w:val="20"/>
          <w:lang w:bidi="ar-SA"/>
        </w:rPr>
        <w:t xml:space="preserve"> dosage form. </w:t>
      </w:r>
      <w:r w:rsidRPr="00270B03">
        <w:rPr>
          <w:rFonts w:ascii="Times New Roman" w:hAnsi="Times New Roman"/>
          <w:i/>
          <w:sz w:val="20"/>
          <w:szCs w:val="20"/>
          <w:lang w:bidi="ar-SA"/>
        </w:rPr>
        <w:t>Scientia Pharmaceutica</w:t>
      </w:r>
      <w:r w:rsidRPr="00270B03">
        <w:rPr>
          <w:rFonts w:ascii="Times New Roman" w:hAnsi="Times New Roman"/>
          <w:sz w:val="20"/>
          <w:szCs w:val="20"/>
          <w:lang w:bidi="ar-SA"/>
        </w:rPr>
        <w:t>, 80: 955 – 964.</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sz w:val="20"/>
          <w:szCs w:val="20"/>
          <w:lang w:bidi="ar-SA"/>
        </w:rPr>
      </w:pPr>
      <w:r w:rsidRPr="00270B03">
        <w:rPr>
          <w:rFonts w:ascii="Times New Roman" w:hAnsi="Times New Roman"/>
          <w:sz w:val="20"/>
          <w:szCs w:val="20"/>
          <w:lang w:bidi="ar-SA"/>
        </w:rPr>
        <w:t xml:space="preserve">Panda, S. S., Bera, V. V. R. K., Mohanta, G. and Panda, J. (2013). Reverse phase ultrafast liquid chromatography method for simultaneous estimation of citicoline sodium and piracetam in tablets. </w:t>
      </w:r>
      <w:r w:rsidRPr="00270B03">
        <w:rPr>
          <w:rFonts w:ascii="Times New Roman" w:hAnsi="Times New Roman"/>
          <w:i/>
          <w:sz w:val="20"/>
          <w:szCs w:val="20"/>
          <w:lang w:bidi="ar-SA"/>
        </w:rPr>
        <w:t xml:space="preserve">International Journal of Pharmaceutical </w:t>
      </w:r>
      <w:r w:rsidRPr="00270B03">
        <w:rPr>
          <w:rFonts w:ascii="Times New Roman" w:hAnsi="Times New Roman"/>
          <w:i/>
          <w:noProof/>
          <w:sz w:val="20"/>
          <w:szCs w:val="20"/>
          <w:lang w:bidi="ar-SA"/>
        </w:rPr>
        <w:t>Sceicnes</w:t>
      </w:r>
      <w:r w:rsidRPr="00270B03">
        <w:rPr>
          <w:rFonts w:ascii="Times New Roman" w:hAnsi="Times New Roman"/>
          <w:i/>
          <w:sz w:val="20"/>
          <w:szCs w:val="20"/>
          <w:lang w:bidi="ar-SA"/>
        </w:rPr>
        <w:t xml:space="preserve"> and Nanotechnology</w:t>
      </w:r>
      <w:r w:rsidRPr="00270B03">
        <w:rPr>
          <w:rFonts w:ascii="Times New Roman" w:hAnsi="Times New Roman"/>
          <w:sz w:val="20"/>
          <w:szCs w:val="20"/>
          <w:lang w:bidi="ar-SA"/>
        </w:rPr>
        <w:t>, 6(1): 1952 – 1957.</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sz w:val="20"/>
          <w:szCs w:val="20"/>
          <w:lang w:bidi="ar-SA"/>
        </w:rPr>
      </w:pPr>
      <w:r w:rsidRPr="00270B03">
        <w:rPr>
          <w:rFonts w:ascii="Times New Roman" w:hAnsi="Times New Roman"/>
          <w:sz w:val="20"/>
          <w:szCs w:val="20"/>
          <w:lang w:bidi="ar-SA"/>
        </w:rPr>
        <w:t xml:space="preserve">Panda, S. S., Bera, V. V. R. K., Mohanta, G. and Kumari, A. (2015). Ultrafast liquid chromatographic determination of naproxen sodium in </w:t>
      </w:r>
      <w:r w:rsidRPr="00270B03">
        <w:rPr>
          <w:rFonts w:ascii="Times New Roman" w:hAnsi="Times New Roman"/>
          <w:noProof/>
          <w:sz w:val="20"/>
          <w:szCs w:val="20"/>
          <w:lang w:bidi="ar-SA"/>
        </w:rPr>
        <w:t>pharmaceutical</w:t>
      </w:r>
      <w:r w:rsidRPr="00270B03">
        <w:rPr>
          <w:rFonts w:ascii="Times New Roman" w:hAnsi="Times New Roman"/>
          <w:sz w:val="20"/>
          <w:szCs w:val="20"/>
          <w:lang w:bidi="ar-SA"/>
        </w:rPr>
        <w:t xml:space="preserve"> dosage form. </w:t>
      </w:r>
      <w:r w:rsidRPr="00270B03">
        <w:rPr>
          <w:rFonts w:ascii="Times New Roman" w:hAnsi="Times New Roman"/>
          <w:i/>
          <w:sz w:val="20"/>
          <w:szCs w:val="20"/>
          <w:lang w:bidi="ar-SA"/>
        </w:rPr>
        <w:t>American Journal of Modern Chromatography</w:t>
      </w:r>
      <w:r w:rsidRPr="00270B03">
        <w:rPr>
          <w:rFonts w:ascii="Times New Roman" w:hAnsi="Times New Roman"/>
          <w:i/>
          <w:iCs/>
          <w:sz w:val="20"/>
          <w:szCs w:val="20"/>
          <w:lang w:bidi="ar-SA"/>
        </w:rPr>
        <w:t xml:space="preserve">, </w:t>
      </w:r>
      <w:r w:rsidRPr="00270B03">
        <w:rPr>
          <w:rFonts w:ascii="Times New Roman" w:hAnsi="Times New Roman"/>
          <w:sz w:val="20"/>
          <w:szCs w:val="20"/>
          <w:lang w:bidi="ar-SA"/>
        </w:rPr>
        <w:t>2(2): 16 – 25.</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sz w:val="20"/>
          <w:szCs w:val="20"/>
          <w:lang w:bidi="ar-SA"/>
        </w:rPr>
      </w:pPr>
      <w:r w:rsidRPr="00270B03">
        <w:rPr>
          <w:rFonts w:ascii="Times New Roman" w:hAnsi="Times New Roman"/>
          <w:bCs/>
          <w:sz w:val="20"/>
          <w:szCs w:val="20"/>
          <w:lang w:bidi="fa-IR"/>
        </w:rPr>
        <w:t xml:space="preserve">Carrillo-Munoz, A. J., Tur-Tur, C., Giusiano, G., Marcos-Arias, C., Eraso, E., Jauregizar, N. and Quindos, G. (2013). Sertaconazole: An antifungal agent for the topical treatment of superficial candidiasis. </w:t>
      </w:r>
      <w:r w:rsidRPr="00270B03">
        <w:rPr>
          <w:rFonts w:ascii="Times New Roman" w:hAnsi="Times New Roman"/>
          <w:bCs/>
          <w:i/>
          <w:sz w:val="20"/>
          <w:szCs w:val="20"/>
          <w:lang w:bidi="fa-IR"/>
        </w:rPr>
        <w:t>Expert Review of Anti-Infective Therapy</w:t>
      </w:r>
      <w:r w:rsidRPr="00270B03">
        <w:rPr>
          <w:rFonts w:ascii="Times New Roman" w:hAnsi="Times New Roman"/>
          <w:bCs/>
          <w:sz w:val="20"/>
          <w:szCs w:val="20"/>
          <w:lang w:bidi="fa-IR"/>
        </w:rPr>
        <w:t>,</w:t>
      </w:r>
      <w:r w:rsidRPr="00270B03">
        <w:rPr>
          <w:rFonts w:ascii="Times New Roman" w:hAnsi="Times New Roman"/>
          <w:bCs/>
          <w:i/>
          <w:sz w:val="20"/>
          <w:szCs w:val="20"/>
          <w:lang w:bidi="fa-IR"/>
        </w:rPr>
        <w:t xml:space="preserve"> </w:t>
      </w:r>
      <w:r w:rsidRPr="00270B03">
        <w:rPr>
          <w:rFonts w:ascii="Times New Roman" w:hAnsi="Times New Roman"/>
          <w:bCs/>
          <w:sz w:val="20"/>
          <w:szCs w:val="20"/>
          <w:lang w:bidi="fa-IR"/>
        </w:rPr>
        <w:t>11(4): 347 – 358.</w:t>
      </w:r>
    </w:p>
    <w:p w:rsidR="004A22A3" w:rsidRPr="00216ED0" w:rsidRDefault="004A22A3" w:rsidP="004A22A3">
      <w:pPr>
        <w:pStyle w:val="ListParagraph"/>
        <w:numPr>
          <w:ilvl w:val="0"/>
          <w:numId w:val="1"/>
        </w:numPr>
        <w:spacing w:after="0" w:line="240" w:lineRule="auto"/>
        <w:ind w:left="360"/>
        <w:contextualSpacing w:val="0"/>
        <w:jc w:val="both"/>
        <w:rPr>
          <w:rFonts w:ascii="Times New Roman" w:hAnsi="Times New Roman"/>
          <w:sz w:val="20"/>
          <w:szCs w:val="20"/>
          <w:lang w:bidi="ar-SA"/>
        </w:rPr>
      </w:pPr>
      <w:r w:rsidRPr="00270B03">
        <w:rPr>
          <w:rFonts w:ascii="Times New Roman" w:hAnsi="Times New Roman"/>
          <w:bCs/>
          <w:sz w:val="20"/>
          <w:szCs w:val="20"/>
          <w:lang w:bidi="fa-IR"/>
        </w:rPr>
        <w:t xml:space="preserve">Goldust, M., Rezaee, E. and Raghifar, R. (2013). Treatment of seborrheic dermatitis, comparison of sertaconazole 2% cream versus ketoconazole 2% cream. </w:t>
      </w:r>
      <w:r w:rsidRPr="00270B03">
        <w:rPr>
          <w:rFonts w:ascii="Times New Roman" w:hAnsi="Times New Roman"/>
          <w:bCs/>
          <w:i/>
          <w:sz w:val="20"/>
          <w:szCs w:val="20"/>
          <w:lang w:bidi="fa-IR"/>
        </w:rPr>
        <w:t>Irish Journal of Medical Science</w:t>
      </w:r>
      <w:r w:rsidRPr="00270B03">
        <w:rPr>
          <w:rFonts w:ascii="Times New Roman" w:hAnsi="Times New Roman"/>
          <w:bCs/>
          <w:sz w:val="20"/>
          <w:szCs w:val="20"/>
          <w:lang w:bidi="fa-IR"/>
        </w:rPr>
        <w:t>, 182(4): 703 –</w:t>
      </w:r>
      <w:r>
        <w:rPr>
          <w:rFonts w:ascii="Times New Roman" w:hAnsi="Times New Roman"/>
          <w:sz w:val="20"/>
          <w:szCs w:val="20"/>
          <w:lang w:bidi="ar-SA"/>
        </w:rPr>
        <w:t xml:space="preserve"> </w:t>
      </w:r>
      <w:r w:rsidRPr="00216ED0">
        <w:rPr>
          <w:rFonts w:ascii="Times New Roman" w:hAnsi="Times New Roman"/>
          <w:bCs/>
          <w:sz w:val="20"/>
          <w:szCs w:val="20"/>
          <w:lang w:bidi="fa-IR"/>
        </w:rPr>
        <w:t>706.</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bCs/>
          <w:sz w:val="20"/>
          <w:szCs w:val="20"/>
          <w:lang w:bidi="fa-IR"/>
        </w:rPr>
        <w:t xml:space="preserve">Albert, C., Fernandez, J. M., Rozman, E., Perez, J. A., Sacristan, A. and Ortiz, J. A. (1992). Determination of sertaconazole nitrate, a new imidazole antifungal, by high-performance liquid chromatography. </w:t>
      </w:r>
      <w:r w:rsidRPr="00270B03">
        <w:rPr>
          <w:rFonts w:ascii="Times New Roman" w:hAnsi="Times New Roman"/>
          <w:bCs/>
          <w:i/>
          <w:sz w:val="20"/>
          <w:szCs w:val="20"/>
          <w:lang w:bidi="fa-IR"/>
        </w:rPr>
        <w:t>Journal of Pharmaceutical and Biomedical Analysis</w:t>
      </w:r>
      <w:r w:rsidRPr="00270B03">
        <w:rPr>
          <w:rFonts w:ascii="Times New Roman" w:hAnsi="Times New Roman"/>
          <w:bCs/>
          <w:sz w:val="20"/>
          <w:szCs w:val="20"/>
          <w:lang w:bidi="fa-IR"/>
        </w:rPr>
        <w:t>,</w:t>
      </w:r>
      <w:r w:rsidRPr="00270B03">
        <w:rPr>
          <w:rFonts w:ascii="Times New Roman" w:hAnsi="Times New Roman"/>
          <w:bCs/>
          <w:i/>
          <w:sz w:val="20"/>
          <w:szCs w:val="20"/>
          <w:lang w:bidi="fa-IR"/>
        </w:rPr>
        <w:t xml:space="preserve"> </w:t>
      </w:r>
      <w:r w:rsidRPr="00270B03">
        <w:rPr>
          <w:rFonts w:ascii="Times New Roman" w:hAnsi="Times New Roman"/>
          <w:bCs/>
          <w:sz w:val="20"/>
          <w:szCs w:val="20"/>
          <w:lang w:bidi="fa-IR"/>
        </w:rPr>
        <w:t>10(2-3): 205 – 211.</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bCs/>
          <w:sz w:val="20"/>
          <w:szCs w:val="20"/>
          <w:lang w:bidi="fa-IR"/>
        </w:rPr>
        <w:t xml:space="preserve">Risk, M., Toubar, S. S., El-Alamin, M. M. A. and Azab, M. M. M. (2014). Micellar liquid chromatographic determination of sertaconazole and terconazole in bulk, pharmaceutical dosage forms and spiked human plasma.  </w:t>
      </w:r>
      <w:r w:rsidRPr="00270B03">
        <w:rPr>
          <w:rFonts w:ascii="Times New Roman" w:hAnsi="Times New Roman"/>
          <w:bCs/>
          <w:i/>
          <w:sz w:val="20"/>
          <w:szCs w:val="20"/>
          <w:lang w:bidi="fa-IR"/>
        </w:rPr>
        <w:t>Bulletin Faculty of Pharmacy, Cairo University</w:t>
      </w:r>
      <w:r w:rsidRPr="00270B03">
        <w:rPr>
          <w:rFonts w:ascii="Times New Roman" w:hAnsi="Times New Roman"/>
          <w:bCs/>
          <w:sz w:val="20"/>
          <w:szCs w:val="20"/>
          <w:lang w:bidi="fa-IR"/>
        </w:rPr>
        <w:t xml:space="preserve">, 52(1): 155 – 164. </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bCs/>
          <w:sz w:val="20"/>
          <w:szCs w:val="20"/>
          <w:lang w:bidi="fa-IR"/>
        </w:rPr>
        <w:t xml:space="preserve">Wang, Y., Pang, L., Wu, M. and Ou, N. (2009) A validated LC-MS/MS method for determination of sertaconazole nitrate in human plasma. </w:t>
      </w:r>
      <w:r w:rsidRPr="00270B03">
        <w:rPr>
          <w:rFonts w:ascii="Times New Roman" w:hAnsi="Times New Roman"/>
          <w:bCs/>
          <w:i/>
          <w:sz w:val="20"/>
          <w:szCs w:val="20"/>
          <w:lang w:bidi="fa-IR"/>
        </w:rPr>
        <w:t>Journal of Chromatography B</w:t>
      </w:r>
      <w:r w:rsidRPr="00270B03">
        <w:rPr>
          <w:rFonts w:ascii="Times New Roman" w:hAnsi="Times New Roman"/>
          <w:bCs/>
          <w:sz w:val="20"/>
          <w:szCs w:val="20"/>
          <w:lang w:bidi="fa-IR"/>
        </w:rPr>
        <w:t>, 877(31): 4047 – 4050.</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bCs/>
          <w:sz w:val="20"/>
          <w:szCs w:val="20"/>
          <w:lang w:bidi="fa-IR"/>
        </w:rPr>
        <w:t>Pharmaceutical Development Q8. (2009), ICH Harmonized Tripartite Guideline: pp. 1 – 24.</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bCs/>
          <w:sz w:val="20"/>
          <w:szCs w:val="20"/>
          <w:lang w:bidi="fa-IR"/>
        </w:rPr>
        <w:t xml:space="preserve">Panda, S. S., Bera, V. V. R. K., Beg, S. and Sahu, S. K. (2015). Ultrafast liquid chromatographic method development and its validation for quantification of telaprevir in pharmaceutical dosage form by using quality by design approach. </w:t>
      </w:r>
      <w:r w:rsidRPr="00270B03">
        <w:rPr>
          <w:rFonts w:ascii="Times New Roman" w:hAnsi="Times New Roman"/>
          <w:bCs/>
          <w:i/>
          <w:sz w:val="20"/>
          <w:szCs w:val="20"/>
          <w:lang w:bidi="fa-IR"/>
        </w:rPr>
        <w:t>Journal of Chromatographic Science</w:t>
      </w:r>
      <w:r w:rsidRPr="00270B03">
        <w:rPr>
          <w:rFonts w:ascii="Times New Roman" w:hAnsi="Times New Roman"/>
          <w:bCs/>
          <w:sz w:val="20"/>
          <w:szCs w:val="20"/>
          <w:lang w:bidi="fa-IR"/>
        </w:rPr>
        <w:t>, 53(7): 1193 – 1202.</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bCs/>
          <w:sz w:val="20"/>
          <w:szCs w:val="20"/>
          <w:lang w:bidi="fa-IR"/>
        </w:rPr>
        <w:t xml:space="preserve">Panda, S. S., Beg, S., Bera, V. V. R. K. and Singh, P. (2015). Analytical quality-by-design compliant ultrafast liquid chromatographic method for determination of paliperidone in extended release tablet dosage form.  </w:t>
      </w:r>
      <w:r w:rsidRPr="00270B03">
        <w:rPr>
          <w:rFonts w:ascii="Times New Roman" w:hAnsi="Times New Roman"/>
          <w:bCs/>
          <w:i/>
          <w:sz w:val="20"/>
          <w:szCs w:val="20"/>
          <w:lang w:bidi="fa-IR"/>
        </w:rPr>
        <w:t>Journal of Bioanalysis &amp; Biomedicine</w:t>
      </w:r>
      <w:r w:rsidRPr="00270B03">
        <w:rPr>
          <w:rFonts w:ascii="Times New Roman" w:hAnsi="Times New Roman"/>
          <w:bCs/>
          <w:sz w:val="20"/>
          <w:szCs w:val="20"/>
          <w:lang w:bidi="fa-IR"/>
        </w:rPr>
        <w:t>, 7: 116 – 123.</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bCs/>
          <w:sz w:val="20"/>
          <w:szCs w:val="20"/>
          <w:lang w:bidi="fa-IR"/>
        </w:rPr>
        <w:t xml:space="preserve">Beg, S., Sharma, G., Katare, O. P., Lohan, S. and Singh, B. (2015). Development and validation of a stability-indicating liquid chromatographic method for estimating olmesartan </w:t>
      </w:r>
      <w:r w:rsidRPr="00270B03">
        <w:rPr>
          <w:rFonts w:ascii="Times New Roman" w:hAnsi="Times New Roman"/>
          <w:bCs/>
          <w:noProof/>
          <w:sz w:val="20"/>
          <w:szCs w:val="20"/>
          <w:lang w:bidi="fa-IR"/>
        </w:rPr>
        <w:t>medoxomil</w:t>
      </w:r>
      <w:r w:rsidRPr="00270B03">
        <w:rPr>
          <w:rFonts w:ascii="Times New Roman" w:hAnsi="Times New Roman"/>
          <w:bCs/>
          <w:sz w:val="20"/>
          <w:szCs w:val="20"/>
          <w:lang w:bidi="fa-IR"/>
        </w:rPr>
        <w:t xml:space="preserve"> using quality by design. </w:t>
      </w:r>
      <w:r w:rsidRPr="00270B03">
        <w:rPr>
          <w:rFonts w:ascii="Times New Roman" w:hAnsi="Times New Roman"/>
          <w:bCs/>
          <w:i/>
          <w:sz w:val="20"/>
          <w:szCs w:val="20"/>
          <w:lang w:bidi="fa-IR"/>
        </w:rPr>
        <w:t xml:space="preserve">Journal of Chromatographic </w:t>
      </w:r>
      <w:r w:rsidRPr="00270B03">
        <w:rPr>
          <w:rFonts w:ascii="Times New Roman" w:hAnsi="Times New Roman"/>
          <w:bCs/>
          <w:i/>
          <w:noProof/>
          <w:sz w:val="20"/>
          <w:szCs w:val="20"/>
          <w:lang w:bidi="fa-IR"/>
        </w:rPr>
        <w:t>Science</w:t>
      </w:r>
      <w:r w:rsidRPr="00270B03">
        <w:rPr>
          <w:rFonts w:ascii="Times New Roman" w:hAnsi="Times New Roman"/>
          <w:bCs/>
          <w:noProof/>
          <w:sz w:val="20"/>
          <w:szCs w:val="20"/>
          <w:lang w:bidi="fa-IR"/>
        </w:rPr>
        <w:t xml:space="preserve"> ,</w:t>
      </w:r>
      <w:r w:rsidRPr="00270B03">
        <w:rPr>
          <w:rFonts w:ascii="Times New Roman" w:hAnsi="Times New Roman"/>
          <w:bCs/>
          <w:sz w:val="20"/>
          <w:szCs w:val="20"/>
          <w:lang w:bidi="fa-IR"/>
        </w:rPr>
        <w:t xml:space="preserve"> 53(7): 1048 – 1059.</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bCs/>
          <w:sz w:val="20"/>
          <w:szCs w:val="20"/>
          <w:lang w:bidi="fa-IR"/>
        </w:rPr>
        <w:t>Lionberger, R. A., Lee, S. L., Lee, L. M., Raw, A. and Yu, L. W. (2008). Quality by design: concepts for ANDAs.</w:t>
      </w:r>
      <w:r w:rsidRPr="00270B03">
        <w:rPr>
          <w:rFonts w:ascii="Times New Roman" w:hAnsi="Times New Roman"/>
          <w:bCs/>
          <w:i/>
          <w:sz w:val="20"/>
          <w:szCs w:val="20"/>
          <w:lang w:bidi="fa-IR"/>
        </w:rPr>
        <w:t xml:space="preserve"> The AAPS Journal</w:t>
      </w:r>
      <w:r w:rsidRPr="00270B03">
        <w:rPr>
          <w:rFonts w:ascii="Times New Roman" w:hAnsi="Times New Roman"/>
          <w:bCs/>
          <w:sz w:val="20"/>
          <w:szCs w:val="20"/>
          <w:lang w:bidi="fa-IR"/>
        </w:rPr>
        <w:t>, 10(2): 268 – 276.</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sz w:val="20"/>
          <w:szCs w:val="20"/>
        </w:rPr>
        <w:t>Validation of analytical procedures: Text and methodology</w:t>
      </w:r>
      <w:r w:rsidRPr="00270B03">
        <w:rPr>
          <w:rFonts w:ascii="Times New Roman" w:hAnsi="Times New Roman"/>
          <w:noProof/>
          <w:sz w:val="20"/>
          <w:szCs w:val="20"/>
        </w:rPr>
        <w:t>, ICH</w:t>
      </w:r>
      <w:r w:rsidRPr="00270B03">
        <w:rPr>
          <w:rFonts w:ascii="Times New Roman" w:hAnsi="Times New Roman"/>
          <w:sz w:val="20"/>
          <w:szCs w:val="20"/>
        </w:rPr>
        <w:t xml:space="preserve"> </w:t>
      </w:r>
      <w:r w:rsidRPr="00270B03">
        <w:rPr>
          <w:rFonts w:ascii="Times New Roman" w:hAnsi="Times New Roman"/>
          <w:noProof/>
          <w:sz w:val="20"/>
          <w:szCs w:val="20"/>
        </w:rPr>
        <w:t>harmonized</w:t>
      </w:r>
      <w:r w:rsidRPr="00270B03">
        <w:rPr>
          <w:rFonts w:ascii="Times New Roman" w:hAnsi="Times New Roman"/>
          <w:sz w:val="20"/>
          <w:szCs w:val="20"/>
        </w:rPr>
        <w:t xml:space="preserve"> tripartite guideline, (2005). Access</w:t>
      </w:r>
      <w:r>
        <w:rPr>
          <w:rFonts w:ascii="Times New Roman" w:hAnsi="Times New Roman"/>
          <w:sz w:val="20"/>
          <w:szCs w:val="20"/>
        </w:rPr>
        <w:t xml:space="preserve"> </w:t>
      </w:r>
      <w:r w:rsidRPr="00270B03">
        <w:rPr>
          <w:rFonts w:ascii="Times New Roman" w:hAnsi="Times New Roman"/>
          <w:sz w:val="20"/>
          <w:szCs w:val="20"/>
        </w:rPr>
        <w:t>from</w:t>
      </w:r>
      <w:r>
        <w:rPr>
          <w:rFonts w:ascii="Times New Roman" w:hAnsi="Times New Roman"/>
          <w:sz w:val="20"/>
          <w:szCs w:val="20"/>
        </w:rPr>
        <w:t xml:space="preserve"> </w:t>
      </w:r>
      <w:r w:rsidRPr="00270B03">
        <w:rPr>
          <w:rFonts w:ascii="Times New Roman" w:hAnsi="Times New Roman"/>
          <w:sz w:val="20"/>
          <w:szCs w:val="20"/>
        </w:rPr>
        <w:t>https://www.ich.org/fileadmin/Public_Web_Site/ICH_Products/Guidelines/Quality/Q2_R1 /Step4/</w:t>
      </w:r>
      <w:r>
        <w:rPr>
          <w:rFonts w:ascii="Times New Roman" w:hAnsi="Times New Roman"/>
          <w:sz w:val="20"/>
          <w:szCs w:val="20"/>
        </w:rPr>
        <w:t xml:space="preserve"> Q2_R1_</w:t>
      </w:r>
      <w:r w:rsidRPr="00270B03">
        <w:rPr>
          <w:rFonts w:ascii="Times New Roman" w:hAnsi="Times New Roman"/>
          <w:sz w:val="20"/>
          <w:szCs w:val="20"/>
        </w:rPr>
        <w:t>Guideline.pdf [Accessed online 11 February 2018].</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sz w:val="20"/>
          <w:szCs w:val="20"/>
        </w:rPr>
        <w:t>McDermott, R. E., Mikulak, R. J. B. (2008) The basics of FMEA. CRC Press, Taylor &amp; Francis Group, New York.</w:t>
      </w:r>
    </w:p>
    <w:p w:rsidR="004A22A3" w:rsidRPr="00270B03" w:rsidRDefault="004A22A3" w:rsidP="004A22A3">
      <w:pPr>
        <w:pStyle w:val="ListParagraph"/>
        <w:numPr>
          <w:ilvl w:val="0"/>
          <w:numId w:val="1"/>
        </w:numPr>
        <w:spacing w:after="0" w:line="240" w:lineRule="auto"/>
        <w:ind w:left="360"/>
        <w:contextualSpacing w:val="0"/>
        <w:jc w:val="both"/>
        <w:rPr>
          <w:rFonts w:ascii="Times New Roman" w:hAnsi="Times New Roman"/>
          <w:bCs/>
          <w:sz w:val="20"/>
          <w:szCs w:val="20"/>
          <w:lang w:bidi="fa-IR"/>
        </w:rPr>
      </w:pPr>
      <w:r w:rsidRPr="00270B03">
        <w:rPr>
          <w:rFonts w:ascii="Times New Roman" w:hAnsi="Times New Roman"/>
          <w:sz w:val="20"/>
          <w:szCs w:val="20"/>
        </w:rPr>
        <w:t>United States Pharmacopoeia 40</w:t>
      </w:r>
      <w:r w:rsidRPr="00270B03">
        <w:rPr>
          <w:rFonts w:ascii="Times New Roman" w:hAnsi="Times New Roman"/>
          <w:sz w:val="20"/>
          <w:szCs w:val="20"/>
          <w:vertAlign w:val="superscript"/>
        </w:rPr>
        <w:t>th</w:t>
      </w:r>
      <w:r w:rsidRPr="00270B03">
        <w:rPr>
          <w:rFonts w:ascii="Times New Roman" w:hAnsi="Times New Roman"/>
          <w:sz w:val="20"/>
          <w:szCs w:val="20"/>
        </w:rPr>
        <w:t xml:space="preserve"> ed. (2017); The United States Pharmacopeia Convention, Rockville, MD.</w:t>
      </w:r>
    </w:p>
    <w:p w:rsidR="004A22A3" w:rsidRPr="004A22A3" w:rsidRDefault="004A22A3" w:rsidP="004A22A3">
      <w:pPr>
        <w:pStyle w:val="HTMLPreformatted"/>
        <w:jc w:val="both"/>
        <w:rPr>
          <w:rFonts w:ascii="Times New Roman" w:hAnsi="Times New Roman" w:cs="Times New Roman"/>
          <w:lang w:bidi="ar-SA"/>
        </w:rPr>
      </w:pPr>
    </w:p>
    <w:sectPr w:rsidR="004A22A3" w:rsidRPr="004A22A3" w:rsidSect="004A22A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C78"/>
    <w:multiLevelType w:val="hybridMultilevel"/>
    <w:tmpl w:val="BE428F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2A3"/>
    <w:rsid w:val="001A4EEC"/>
    <w:rsid w:val="001C2476"/>
    <w:rsid w:val="004A22A3"/>
    <w:rsid w:val="009C27DA"/>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A3"/>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4A2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or-IN"/>
    </w:rPr>
  </w:style>
  <w:style w:type="character" w:customStyle="1" w:styleId="HTMLPreformattedChar">
    <w:name w:val="HTML Preformatted Char"/>
    <w:basedOn w:val="DefaultParagraphFont"/>
    <w:link w:val="HTMLPreformatted"/>
    <w:uiPriority w:val="99"/>
    <w:rsid w:val="004A22A3"/>
    <w:rPr>
      <w:rFonts w:ascii="Courier New" w:eastAsia="Times New Roman" w:hAnsi="Courier New" w:cs="Courier New"/>
      <w:sz w:val="20"/>
      <w:szCs w:val="20"/>
      <w:lang w:bidi="or-IN"/>
    </w:rPr>
  </w:style>
  <w:style w:type="paragraph" w:styleId="ListParagraph">
    <w:name w:val="List Paragraph"/>
    <w:basedOn w:val="Normal"/>
    <w:uiPriority w:val="34"/>
    <w:qFormat/>
    <w:rsid w:val="004A22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A3"/>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4A2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or-IN"/>
    </w:rPr>
  </w:style>
  <w:style w:type="character" w:customStyle="1" w:styleId="HTMLPreformattedChar">
    <w:name w:val="HTML Preformatted Char"/>
    <w:basedOn w:val="DefaultParagraphFont"/>
    <w:link w:val="HTMLPreformatted"/>
    <w:uiPriority w:val="99"/>
    <w:rsid w:val="004A22A3"/>
    <w:rPr>
      <w:rFonts w:ascii="Courier New" w:eastAsia="Times New Roman" w:hAnsi="Courier New" w:cs="Courier New"/>
      <w:sz w:val="20"/>
      <w:szCs w:val="20"/>
      <w:lang w:bidi="or-IN"/>
    </w:rPr>
  </w:style>
  <w:style w:type="paragraph" w:styleId="ListParagraph">
    <w:name w:val="List Paragraph"/>
    <w:basedOn w:val="Normal"/>
    <w:uiPriority w:val="34"/>
    <w:qFormat/>
    <w:rsid w:val="004A22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1065</Words>
  <Characters>6051</Characters>
  <Application>Microsoft Office Word</Application>
  <DocSecurity>0</DocSecurity>
  <Lines>159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3</cp:revision>
  <dcterms:created xsi:type="dcterms:W3CDTF">2019-04-10T03:03:00Z</dcterms:created>
  <dcterms:modified xsi:type="dcterms:W3CDTF">2019-04-22T03:12:00Z</dcterms:modified>
</cp:coreProperties>
</file>