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124" w:rsidRDefault="00177124" w:rsidP="001771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Malaysian Journal of Analytical Sciences Vol 23 No 2 (2019): 336 - 344</w:t>
      </w:r>
    </w:p>
    <w:p w:rsidR="00177124" w:rsidRDefault="00177124" w:rsidP="001771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7124" w:rsidRDefault="00177124" w:rsidP="001771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7124" w:rsidRPr="00177124" w:rsidRDefault="00177124" w:rsidP="001771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4B6185">
        <w:rPr>
          <w:rFonts w:ascii="Times New Roman" w:hAnsi="Times New Roman"/>
          <w:sz w:val="28"/>
        </w:rPr>
        <w:t>METHOD DEVELOPMENT AND VALIDATION FOR QUANTIFICATION OF CORTISOL AND CORTISONE USING ULTRA-HIGH PERFORMANCE LIQUID CHROMATOGRAPHY-TANDEM MASS SPECTROMETRY</w:t>
      </w:r>
    </w:p>
    <w:p w:rsidR="00177124" w:rsidRDefault="00177124" w:rsidP="001771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7124" w:rsidRPr="00B373D7" w:rsidRDefault="00177124" w:rsidP="00177124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B373D7">
        <w:rPr>
          <w:rFonts w:ascii="Times New Roman" w:hAnsi="Times New Roman"/>
          <w:sz w:val="24"/>
          <w:szCs w:val="24"/>
        </w:rPr>
        <w:t>(</w:t>
      </w:r>
      <w:r w:rsidRPr="00B373D7">
        <w:rPr>
          <w:rFonts w:ascii="Times New Roman" w:hAnsi="Times New Roman"/>
          <w:sz w:val="24"/>
          <w:szCs w:val="24"/>
          <w:shd w:val="clear" w:color="auto" w:fill="FFFFFF"/>
          <w:lang w:val="ms-MY"/>
        </w:rPr>
        <w:t xml:space="preserve">Pembangunan dan Pengesahan Kaedah untuk Kuantifikasi Kortisol dan Kortison Menggunakan </w:t>
      </w:r>
      <w:bookmarkStart w:id="0" w:name="_Hlk526932592"/>
      <w:r w:rsidRPr="00B373D7">
        <w:rPr>
          <w:rFonts w:ascii="Times New Roman" w:hAnsi="Times New Roman"/>
          <w:sz w:val="24"/>
          <w:szCs w:val="24"/>
          <w:shd w:val="clear" w:color="auto" w:fill="FFFFFF"/>
          <w:lang w:val="ms-MY"/>
        </w:rPr>
        <w:t>Kromatografi Cecair Berprestasi Ultra Tinggi</w:t>
      </w:r>
      <w:r>
        <w:rPr>
          <w:rFonts w:ascii="Times New Roman" w:hAnsi="Times New Roman"/>
          <w:sz w:val="24"/>
          <w:szCs w:val="24"/>
          <w:shd w:val="clear" w:color="auto" w:fill="FFFFFF"/>
          <w:lang w:val="ms-MY"/>
        </w:rPr>
        <w:t>-</w:t>
      </w:r>
      <w:r w:rsidRPr="00B373D7">
        <w:rPr>
          <w:rFonts w:ascii="Times New Roman" w:hAnsi="Times New Roman"/>
          <w:sz w:val="24"/>
          <w:szCs w:val="24"/>
          <w:shd w:val="clear" w:color="auto" w:fill="FFFFFF"/>
          <w:lang w:val="ms-MY"/>
        </w:rPr>
        <w:t xml:space="preserve">Spektrometri Jisim </w:t>
      </w:r>
      <w:bookmarkEnd w:id="0"/>
      <w:r w:rsidRPr="00B373D7">
        <w:rPr>
          <w:rFonts w:ascii="Times New Roman" w:hAnsi="Times New Roman"/>
          <w:sz w:val="24"/>
          <w:szCs w:val="24"/>
          <w:shd w:val="clear" w:color="auto" w:fill="FFFFFF"/>
          <w:lang w:val="ms-MY"/>
        </w:rPr>
        <w:t>Gabungan</w:t>
      </w:r>
      <w:r w:rsidRPr="00B373D7">
        <w:rPr>
          <w:rFonts w:ascii="Times New Roman" w:hAnsi="Times New Roman"/>
          <w:sz w:val="24"/>
          <w:szCs w:val="24"/>
          <w:shd w:val="clear" w:color="auto" w:fill="FFFFFF"/>
        </w:rPr>
        <w:t>)</w:t>
      </w: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845DAB" w:rsidRDefault="00177124" w:rsidP="00177124">
      <w:pPr>
        <w:spacing w:after="0" w:line="240" w:lineRule="auto"/>
        <w:jc w:val="center"/>
        <w:rPr>
          <w:rFonts w:ascii="Times New Roman" w:hAnsi="Times New Roman"/>
        </w:rPr>
      </w:pPr>
      <w:r w:rsidRPr="004B6185">
        <w:rPr>
          <w:rFonts w:ascii="Times New Roman" w:hAnsi="Times New Roman"/>
          <w:sz w:val="20"/>
          <w:szCs w:val="20"/>
        </w:rPr>
        <w:t>Hazirah Abd Azhar</w:t>
      </w:r>
      <w:r w:rsidRPr="004B6185">
        <w:rPr>
          <w:rFonts w:ascii="Times New Roman" w:hAnsi="Times New Roman"/>
          <w:sz w:val="20"/>
          <w:szCs w:val="20"/>
          <w:vertAlign w:val="superscript"/>
        </w:rPr>
        <w:t>1,2</w:t>
      </w:r>
      <w:r w:rsidRPr="004B6185">
        <w:rPr>
          <w:rFonts w:ascii="Times New Roman" w:hAnsi="Times New Roman"/>
          <w:sz w:val="20"/>
          <w:szCs w:val="20"/>
        </w:rPr>
        <w:t>, Mohd Salleh Rofiee</w:t>
      </w:r>
      <w:r w:rsidRPr="004B6185">
        <w:rPr>
          <w:rFonts w:ascii="Times New Roman" w:hAnsi="Times New Roman"/>
          <w:sz w:val="20"/>
          <w:szCs w:val="20"/>
          <w:vertAlign w:val="superscript"/>
        </w:rPr>
        <w:t>1</w:t>
      </w:r>
      <w:r w:rsidRPr="004B6185">
        <w:rPr>
          <w:rFonts w:ascii="Times New Roman" w:hAnsi="Times New Roman"/>
          <w:sz w:val="20"/>
          <w:szCs w:val="20"/>
        </w:rPr>
        <w:t xml:space="preserve">, Mohammad Zulfadhly Jan </w:t>
      </w:r>
      <w:r w:rsidRPr="00845DAB">
        <w:rPr>
          <w:rFonts w:ascii="Times New Roman" w:hAnsi="Times New Roman"/>
          <w:sz w:val="20"/>
          <w:szCs w:val="20"/>
        </w:rPr>
        <w:t>Jam</w:t>
      </w:r>
      <w:r w:rsidRPr="00845DAB">
        <w:rPr>
          <w:rFonts w:ascii="Times New Roman" w:hAnsi="Times New Roman"/>
          <w:sz w:val="20"/>
          <w:szCs w:val="20"/>
          <w:vertAlign w:val="superscript"/>
        </w:rPr>
        <w:t>1</w:t>
      </w:r>
      <w:r w:rsidRPr="00845DAB">
        <w:rPr>
          <w:rFonts w:ascii="Times New Roman" w:hAnsi="Times New Roman"/>
          <w:sz w:val="20"/>
          <w:szCs w:val="20"/>
        </w:rPr>
        <w:t>,</w:t>
      </w:r>
      <w:r w:rsidRPr="004B6185">
        <w:rPr>
          <w:rFonts w:ascii="Times New Roman" w:hAnsi="Times New Roman"/>
          <w:sz w:val="20"/>
          <w:szCs w:val="20"/>
        </w:rPr>
        <w:t xml:space="preserve"> Muhammad Hisyam Jamari</w:t>
      </w:r>
      <w:r w:rsidRPr="004B6185">
        <w:rPr>
          <w:rFonts w:ascii="Times New Roman" w:hAnsi="Times New Roman"/>
          <w:sz w:val="20"/>
          <w:szCs w:val="20"/>
          <w:vertAlign w:val="superscript"/>
        </w:rPr>
        <w:t>1</w:t>
      </w:r>
      <w:r w:rsidRPr="004B6185">
        <w:rPr>
          <w:rFonts w:ascii="Times New Roman" w:hAnsi="Times New Roman"/>
          <w:sz w:val="20"/>
          <w:szCs w:val="20"/>
        </w:rPr>
        <w:t>,</w:t>
      </w:r>
      <w:r w:rsidRPr="004B6185">
        <w:rPr>
          <w:rFonts w:ascii="Times New Roman" w:hAnsi="Times New Roman"/>
        </w:rPr>
        <w:t xml:space="preserve"> </w:t>
      </w: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B6185">
        <w:rPr>
          <w:rFonts w:ascii="Times New Roman" w:hAnsi="Times New Roman"/>
          <w:sz w:val="20"/>
          <w:szCs w:val="20"/>
        </w:rPr>
        <w:t>Roziah Mohd Janor</w:t>
      </w:r>
      <w:r w:rsidRPr="004B6185">
        <w:rPr>
          <w:rFonts w:ascii="Times New Roman" w:hAnsi="Times New Roman"/>
          <w:sz w:val="20"/>
          <w:szCs w:val="20"/>
          <w:vertAlign w:val="superscript"/>
        </w:rPr>
        <w:t>1,3</w:t>
      </w:r>
      <w:r w:rsidRPr="004B6185">
        <w:rPr>
          <w:rFonts w:ascii="Times New Roman" w:hAnsi="Times New Roman"/>
          <w:sz w:val="20"/>
          <w:szCs w:val="20"/>
        </w:rPr>
        <w:t>, Richard Johari James</w:t>
      </w:r>
      <w:r w:rsidRPr="004B6185">
        <w:rPr>
          <w:rFonts w:ascii="Times New Roman" w:hAnsi="Times New Roman"/>
          <w:sz w:val="20"/>
          <w:szCs w:val="20"/>
          <w:vertAlign w:val="superscript"/>
        </w:rPr>
        <w:t>1,2</w:t>
      </w:r>
      <w:r w:rsidRPr="00B373D7">
        <w:rPr>
          <w:rFonts w:ascii="Times New Roman" w:hAnsi="Times New Roman"/>
          <w:sz w:val="20"/>
          <w:szCs w:val="20"/>
        </w:rPr>
        <w:t>*</w:t>
      </w:r>
      <w:r w:rsidRPr="004B6185">
        <w:rPr>
          <w:rFonts w:ascii="Times New Roman" w:hAnsi="Times New Roman"/>
          <w:sz w:val="20"/>
          <w:szCs w:val="20"/>
        </w:rPr>
        <w:t>, Teh Lay Kek</w:t>
      </w:r>
      <w:r w:rsidRPr="004B6185">
        <w:rPr>
          <w:rFonts w:ascii="Times New Roman" w:hAnsi="Times New Roman"/>
          <w:sz w:val="20"/>
          <w:szCs w:val="20"/>
          <w:vertAlign w:val="superscript"/>
        </w:rPr>
        <w:t>1,2</w:t>
      </w:r>
      <w:r w:rsidRPr="004B6185">
        <w:rPr>
          <w:rFonts w:ascii="Times New Roman" w:hAnsi="Times New Roman"/>
          <w:sz w:val="20"/>
          <w:szCs w:val="20"/>
        </w:rPr>
        <w:t>, Mohd Zaki Salleh</w:t>
      </w:r>
      <w:r w:rsidRPr="004B6185">
        <w:rPr>
          <w:rFonts w:ascii="Times New Roman" w:hAnsi="Times New Roman"/>
          <w:sz w:val="20"/>
          <w:szCs w:val="20"/>
          <w:vertAlign w:val="superscript"/>
        </w:rPr>
        <w:t>1,2</w:t>
      </w: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177124" w:rsidRDefault="00177124" w:rsidP="00177124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4B6185">
        <w:rPr>
          <w:rFonts w:ascii="Times New Roman" w:hAnsi="Times New Roman"/>
          <w:i/>
          <w:iCs/>
          <w:sz w:val="18"/>
          <w:szCs w:val="18"/>
          <w:vertAlign w:val="superscript"/>
        </w:rPr>
        <w:t>1</w:t>
      </w:r>
      <w:r w:rsidRPr="004B6185">
        <w:rPr>
          <w:rFonts w:ascii="Times New Roman" w:hAnsi="Times New Roman"/>
          <w:i/>
          <w:iCs/>
          <w:sz w:val="18"/>
          <w:szCs w:val="18"/>
        </w:rPr>
        <w:t>Integrative Pharmac</w:t>
      </w:r>
      <w:r>
        <w:rPr>
          <w:rFonts w:ascii="Times New Roman" w:hAnsi="Times New Roman"/>
          <w:i/>
          <w:iCs/>
          <w:sz w:val="18"/>
          <w:szCs w:val="18"/>
        </w:rPr>
        <w:t>ogenomics Institute (iPROMISE)</w:t>
      </w:r>
    </w:p>
    <w:p w:rsidR="00177124" w:rsidRDefault="00177124" w:rsidP="00177124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4B6185">
        <w:rPr>
          <w:rFonts w:ascii="Times New Roman" w:hAnsi="Times New Roman"/>
          <w:i/>
          <w:iCs/>
          <w:sz w:val="18"/>
          <w:szCs w:val="18"/>
          <w:vertAlign w:val="superscript"/>
        </w:rPr>
        <w:t>2</w:t>
      </w:r>
      <w:r>
        <w:rPr>
          <w:rFonts w:ascii="Times New Roman" w:hAnsi="Times New Roman"/>
          <w:i/>
          <w:iCs/>
          <w:sz w:val="18"/>
          <w:szCs w:val="18"/>
        </w:rPr>
        <w:t>Faculty of Pharmacy</w:t>
      </w: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4B6185">
        <w:rPr>
          <w:rFonts w:ascii="Times New Roman" w:hAnsi="Times New Roman"/>
          <w:i/>
          <w:iCs/>
          <w:sz w:val="18"/>
          <w:szCs w:val="18"/>
        </w:rPr>
        <w:t>Universiti Teknologi MARA Puncak Alam Campus, 42300 Bandar Puncak Alam, Selangor, Malaysia</w:t>
      </w:r>
    </w:p>
    <w:p w:rsidR="00177124" w:rsidRDefault="00177124" w:rsidP="00177124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4B6185">
        <w:rPr>
          <w:rFonts w:ascii="Times New Roman" w:hAnsi="Times New Roman"/>
          <w:i/>
          <w:iCs/>
          <w:sz w:val="18"/>
          <w:szCs w:val="18"/>
          <w:vertAlign w:val="superscript"/>
        </w:rPr>
        <w:t>3</w:t>
      </w:r>
      <w:r w:rsidRPr="004B6185">
        <w:rPr>
          <w:rFonts w:ascii="Times New Roman" w:hAnsi="Times New Roman"/>
          <w:i/>
          <w:iCs/>
          <w:sz w:val="18"/>
          <w:szCs w:val="18"/>
        </w:rPr>
        <w:t xml:space="preserve">Faculty of Computer &amp; Mathematical Sciences, </w:t>
      </w: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4B6185">
        <w:rPr>
          <w:rFonts w:ascii="Times New Roman" w:hAnsi="Times New Roman"/>
          <w:i/>
          <w:iCs/>
          <w:sz w:val="18"/>
          <w:szCs w:val="18"/>
        </w:rPr>
        <w:t>Universiti Teknologi MARA Shah Alam Campus,</w:t>
      </w:r>
      <w:r>
        <w:rPr>
          <w:rFonts w:ascii="Times New Roman" w:hAnsi="Times New Roman"/>
          <w:i/>
          <w:iCs/>
          <w:sz w:val="18"/>
          <w:szCs w:val="18"/>
        </w:rPr>
        <w:t xml:space="preserve"> </w:t>
      </w:r>
      <w:r w:rsidRPr="004B6185">
        <w:rPr>
          <w:rFonts w:ascii="Times New Roman" w:hAnsi="Times New Roman"/>
          <w:i/>
          <w:iCs/>
          <w:sz w:val="18"/>
          <w:szCs w:val="18"/>
        </w:rPr>
        <w:t xml:space="preserve">40450 Shah Alam, Selangor, Malaysia </w:t>
      </w:r>
      <w:r w:rsidRPr="004B6185">
        <w:rPr>
          <w:rFonts w:ascii="Times New Roman" w:hAnsi="Times New Roman"/>
          <w:i/>
          <w:iCs/>
          <w:sz w:val="18"/>
          <w:szCs w:val="18"/>
        </w:rPr>
        <w:br/>
      </w: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4B6185">
        <w:rPr>
          <w:rFonts w:ascii="Times New Roman" w:hAnsi="Times New Roman"/>
          <w:i/>
          <w:sz w:val="18"/>
          <w:szCs w:val="18"/>
        </w:rPr>
        <w:t xml:space="preserve">*Corresponding author: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="00337880">
        <w:rPr>
          <w:rFonts w:ascii="Times New Roman" w:hAnsi="Times New Roman"/>
          <w:i/>
          <w:iCs/>
          <w:sz w:val="18"/>
          <w:szCs w:val="18"/>
        </w:rPr>
        <w:t>richard@</w:t>
      </w:r>
      <w:bookmarkStart w:id="1" w:name="_GoBack"/>
      <w:bookmarkEnd w:id="1"/>
      <w:r w:rsidRPr="004B6185">
        <w:rPr>
          <w:rFonts w:ascii="Times New Roman" w:hAnsi="Times New Roman"/>
          <w:i/>
          <w:iCs/>
          <w:sz w:val="18"/>
          <w:szCs w:val="18"/>
        </w:rPr>
        <w:t>uitm.edu.my</w:t>
      </w:r>
    </w:p>
    <w:p w:rsidR="00177124" w:rsidRPr="00F447A7" w:rsidRDefault="00177124" w:rsidP="00177124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177124" w:rsidRDefault="00177124" w:rsidP="00177124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177124" w:rsidRDefault="00177124" w:rsidP="00177124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>Received: 30 May 2018; Accepted: 14 April 2019</w:t>
      </w:r>
    </w:p>
    <w:p w:rsidR="00177124" w:rsidRDefault="00177124" w:rsidP="00177124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177124" w:rsidRPr="00F447A7" w:rsidRDefault="00177124" w:rsidP="00177124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177124" w:rsidRPr="00F447A7" w:rsidRDefault="00177124" w:rsidP="00177124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177124" w:rsidRPr="004B6185" w:rsidRDefault="00177124" w:rsidP="0017712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B6185">
        <w:rPr>
          <w:rFonts w:ascii="Times New Roman" w:hAnsi="Times New Roman"/>
          <w:sz w:val="18"/>
          <w:szCs w:val="18"/>
        </w:rPr>
        <w:t xml:space="preserve">Cortisol and its metabolite cortisone </w:t>
      </w:r>
      <w:r w:rsidRPr="004B6185">
        <w:rPr>
          <w:rFonts w:ascii="Times New Roman" w:hAnsi="Times New Roman"/>
          <w:noProof/>
          <w:sz w:val="18"/>
          <w:szCs w:val="18"/>
        </w:rPr>
        <w:t>have</w:t>
      </w:r>
      <w:r w:rsidRPr="004B6185">
        <w:rPr>
          <w:rFonts w:ascii="Times New Roman" w:hAnsi="Times New Roman"/>
          <w:sz w:val="18"/>
          <w:szCs w:val="18"/>
        </w:rPr>
        <w:t xml:space="preserve"> been used as a biological marker of stress in human psychobiological studies. Cortisol and cortisone quantitation may help to examine physiological responses towards stress. A highly sensitive and selective ultra-high performance liquid </w:t>
      </w:r>
      <w:r w:rsidRPr="004B6185">
        <w:rPr>
          <w:rFonts w:ascii="Times New Roman" w:hAnsi="Times New Roman"/>
          <w:noProof/>
          <w:sz w:val="18"/>
          <w:szCs w:val="18"/>
        </w:rPr>
        <w:t>chromatography tandem mass</w:t>
      </w:r>
      <w:r w:rsidRPr="004B6185">
        <w:rPr>
          <w:rFonts w:ascii="Times New Roman" w:hAnsi="Times New Roman"/>
          <w:sz w:val="18"/>
          <w:szCs w:val="18"/>
        </w:rPr>
        <w:t xml:space="preserve"> spectrometry (UHPLC-MS/MS) method was developed for simultaneous quantitation of cortisol and cortisone in human serum. These two compounds were chromatographically separated using Agilent ZORBAX Eclipse Plus C</w:t>
      </w:r>
      <w:r w:rsidRPr="004B6185">
        <w:rPr>
          <w:rFonts w:ascii="Times New Roman" w:hAnsi="Times New Roman"/>
          <w:sz w:val="18"/>
          <w:szCs w:val="18"/>
          <w:vertAlign w:val="subscript"/>
        </w:rPr>
        <w:t>18</w:t>
      </w:r>
      <w:r w:rsidRPr="004B6185">
        <w:rPr>
          <w:rFonts w:ascii="Times New Roman" w:hAnsi="Times New Roman"/>
          <w:sz w:val="18"/>
          <w:szCs w:val="18"/>
        </w:rPr>
        <w:t xml:space="preserve"> Rapid Resolution HD column (2.1 mm × 50 mm, 1.8 </w:t>
      </w:r>
      <w:r>
        <w:rPr>
          <w:rFonts w:ascii="Times New Roman" w:hAnsi="Times New Roman"/>
          <w:sz w:val="18"/>
          <w:szCs w:val="18"/>
        </w:rPr>
        <w:t>µ</w:t>
      </w:r>
      <w:r w:rsidRPr="004B6185">
        <w:rPr>
          <w:rFonts w:ascii="Times New Roman" w:hAnsi="Times New Roman"/>
          <w:sz w:val="18"/>
          <w:szCs w:val="18"/>
        </w:rPr>
        <w:t>m) and were eluted with (A) 0.1% formic acid in water and (B) methanol mobile phase. The sample injection volume was 2 µ</w:t>
      </w:r>
      <w:r>
        <w:rPr>
          <w:rFonts w:ascii="Times New Roman" w:hAnsi="Times New Roman"/>
          <w:sz w:val="18"/>
          <w:szCs w:val="18"/>
        </w:rPr>
        <w:t>L</w:t>
      </w:r>
      <w:r w:rsidRPr="004B6185">
        <w:rPr>
          <w:rFonts w:ascii="Times New Roman" w:hAnsi="Times New Roman"/>
          <w:sz w:val="18"/>
          <w:szCs w:val="18"/>
        </w:rPr>
        <w:t xml:space="preserve"> and the flow rate was set at 0.3 mL/min. The analytes were determined in positive ionization mode and quantitated by multiple-reaction monitoring (MRM) mode. The method was linear from 7.8 to 500 ng/mL for cortisol (</w:t>
      </w:r>
      <w:r w:rsidRPr="004B6185">
        <w:rPr>
          <w:rFonts w:ascii="Times New Roman" w:eastAsia="Malgun Gothic" w:hAnsi="Times New Roman"/>
          <w:sz w:val="18"/>
          <w:szCs w:val="18"/>
        </w:rPr>
        <w:t>r</w:t>
      </w:r>
      <w:r w:rsidRPr="004B6185">
        <w:rPr>
          <w:rFonts w:ascii="Times New Roman" w:hAnsi="Times New Roman"/>
          <w:sz w:val="18"/>
          <w:szCs w:val="18"/>
          <w:vertAlign w:val="superscript"/>
        </w:rPr>
        <w:t>2</w:t>
      </w:r>
      <w:r w:rsidRPr="004B6185">
        <w:rPr>
          <w:rFonts w:ascii="Times New Roman" w:hAnsi="Times New Roman"/>
          <w:sz w:val="18"/>
          <w:szCs w:val="18"/>
        </w:rPr>
        <w:t xml:space="preserve"> = 0.986) and cortisone (</w:t>
      </w:r>
      <w:r w:rsidRPr="004B6185">
        <w:rPr>
          <w:rFonts w:ascii="Times New Roman" w:eastAsia="Malgun Gothic" w:hAnsi="Times New Roman"/>
          <w:sz w:val="18"/>
          <w:szCs w:val="18"/>
        </w:rPr>
        <w:t>r</w:t>
      </w:r>
      <w:r w:rsidRPr="004B6185">
        <w:rPr>
          <w:rFonts w:ascii="Times New Roman" w:hAnsi="Times New Roman"/>
          <w:sz w:val="18"/>
          <w:szCs w:val="18"/>
          <w:vertAlign w:val="superscript"/>
        </w:rPr>
        <w:t>2</w:t>
      </w:r>
      <w:r w:rsidRPr="004B6185">
        <w:rPr>
          <w:rFonts w:ascii="Times New Roman" w:hAnsi="Times New Roman"/>
          <w:sz w:val="18"/>
          <w:szCs w:val="18"/>
        </w:rPr>
        <w:t xml:space="preserve"> = 0.990). The precision, accuracy, and recovery of the method for cortisol ranged from 1.98-10.46%, 90.68-91.94%, 90.38-93.88%, and cortisone ranged from 1.01-11.36%, 93.12-94.79% and 90.48-95.90%, respectively. The developed method has met the quality standards of European Medicines Agency (EMA).</w:t>
      </w:r>
    </w:p>
    <w:p w:rsidR="00177124" w:rsidRPr="004B6185" w:rsidRDefault="00177124" w:rsidP="0017712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77124" w:rsidRPr="004B6185" w:rsidRDefault="00177124" w:rsidP="0017712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B6185">
        <w:rPr>
          <w:rFonts w:ascii="Times New Roman" w:hAnsi="Times New Roman"/>
          <w:b/>
          <w:bCs/>
          <w:iCs/>
          <w:sz w:val="18"/>
          <w:szCs w:val="18"/>
        </w:rPr>
        <w:t>Keywords</w:t>
      </w:r>
      <w:r w:rsidRPr="004B6185">
        <w:rPr>
          <w:rFonts w:ascii="Times New Roman" w:hAnsi="Times New Roman"/>
          <w:b/>
          <w:iCs/>
          <w:sz w:val="18"/>
          <w:szCs w:val="18"/>
        </w:rPr>
        <w:t>:</w:t>
      </w:r>
      <w:r>
        <w:rPr>
          <w:rFonts w:ascii="Times New Roman" w:hAnsi="Times New Roman"/>
          <w:b/>
          <w:iCs/>
          <w:sz w:val="18"/>
          <w:szCs w:val="18"/>
        </w:rPr>
        <w:t xml:space="preserve"> </w:t>
      </w:r>
      <w:r w:rsidRPr="004B6185">
        <w:rPr>
          <w:rFonts w:ascii="Times New Roman" w:hAnsi="Times New Roman"/>
          <w:iCs/>
          <w:sz w:val="18"/>
          <w:szCs w:val="18"/>
        </w:rPr>
        <w:t xml:space="preserve"> cortisol, cortisone, serum, </w:t>
      </w:r>
      <w:r w:rsidRPr="004B6185">
        <w:rPr>
          <w:rFonts w:ascii="Times New Roman" w:hAnsi="Times New Roman"/>
          <w:sz w:val="18"/>
          <w:szCs w:val="18"/>
        </w:rPr>
        <w:t xml:space="preserve">ultra-high performance liquid </w:t>
      </w:r>
      <w:r w:rsidRPr="004B6185">
        <w:rPr>
          <w:rFonts w:ascii="Times New Roman" w:hAnsi="Times New Roman"/>
          <w:noProof/>
          <w:sz w:val="18"/>
          <w:szCs w:val="18"/>
        </w:rPr>
        <w:t>chromatography-tandem mass</w:t>
      </w:r>
      <w:r w:rsidRPr="004B6185">
        <w:rPr>
          <w:rFonts w:ascii="Times New Roman" w:hAnsi="Times New Roman"/>
          <w:sz w:val="18"/>
          <w:szCs w:val="18"/>
        </w:rPr>
        <w:t xml:space="preserve"> spectrometry</w:t>
      </w: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iCs/>
          <w:sz w:val="18"/>
          <w:szCs w:val="18"/>
        </w:rPr>
      </w:pPr>
    </w:p>
    <w:p w:rsidR="00177124" w:rsidRPr="004B6185" w:rsidRDefault="00177124" w:rsidP="00177124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  <w:lang w:val="ms-MY"/>
        </w:rPr>
      </w:pPr>
      <w:r w:rsidRPr="004B6185">
        <w:rPr>
          <w:rFonts w:ascii="Times New Roman" w:hAnsi="Times New Roman"/>
          <w:b/>
          <w:bCs/>
          <w:sz w:val="18"/>
          <w:szCs w:val="18"/>
          <w:lang w:val="ms-MY"/>
        </w:rPr>
        <w:t>Abstrak</w:t>
      </w:r>
    </w:p>
    <w:p w:rsidR="00177124" w:rsidRPr="004B6185" w:rsidRDefault="00177124" w:rsidP="00177124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ms-MY"/>
        </w:rPr>
      </w:pPr>
      <w:r w:rsidRPr="004B6185">
        <w:rPr>
          <w:rFonts w:ascii="Times New Roman" w:hAnsi="Times New Roman"/>
          <w:sz w:val="18"/>
          <w:szCs w:val="18"/>
          <w:lang w:val="ms-MY"/>
        </w:rPr>
        <w:t xml:space="preserve">Kortisol dan metabolitnya kortison telah digunakan sebagai penanda </w:t>
      </w:r>
      <w:r>
        <w:rPr>
          <w:rFonts w:ascii="Times New Roman" w:hAnsi="Times New Roman"/>
          <w:sz w:val="18"/>
          <w:szCs w:val="18"/>
          <w:lang w:val="ms-MY"/>
        </w:rPr>
        <w:t xml:space="preserve">tekanan </w:t>
      </w:r>
      <w:r w:rsidRPr="004B6185">
        <w:rPr>
          <w:rFonts w:ascii="Times New Roman" w:hAnsi="Times New Roman"/>
          <w:sz w:val="18"/>
          <w:szCs w:val="18"/>
          <w:lang w:val="ms-MY"/>
        </w:rPr>
        <w:t>biologi  untuk mengkaji psikobiologi manusia. Pengkuantitian kortisol dan kortison boleh membantu untuk menilai tindak balas fisologi terhadap tekanan.</w:t>
      </w:r>
      <w:r>
        <w:rPr>
          <w:rFonts w:ascii="Times New Roman" w:hAnsi="Times New Roman"/>
          <w:sz w:val="18"/>
          <w:szCs w:val="18"/>
          <w:lang w:val="ms-MY"/>
        </w:rPr>
        <w:t xml:space="preserve"> 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Kaedah kromatografi cecair berprestasi ultra tinggi -spektrometri jisim </w:t>
      </w:r>
      <w:r>
        <w:rPr>
          <w:rFonts w:ascii="Times New Roman" w:hAnsi="Times New Roman"/>
          <w:sz w:val="18"/>
          <w:szCs w:val="18"/>
          <w:lang w:val="ms-MY"/>
        </w:rPr>
        <w:t>gabungan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 yang sangat sensitif dan selektif telah dibangunkan untuk pengkuantitian kortisol dan kortison secara serentak di dalam serum manusia. Kedua-dua sebatian ini telah dipisahkan secara kromatografi menggunakan turus Agilent ZORBAX Eclipse Plus C</w:t>
      </w:r>
      <w:r w:rsidRPr="004B6185">
        <w:rPr>
          <w:rFonts w:ascii="Times New Roman" w:hAnsi="Times New Roman"/>
          <w:sz w:val="18"/>
          <w:szCs w:val="18"/>
          <w:vertAlign w:val="subscript"/>
          <w:lang w:val="ms-MY"/>
        </w:rPr>
        <w:t>18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 Resolusi Pantas HD (2.1 mm × 50 mm, 1.8 μm) dengan campuran fasa bergerak (A) 0.1% asid formik dalam air dan (B) metanol. Jumlah suntikan sampel adalah 2 μ</w:t>
      </w:r>
      <w:r>
        <w:rPr>
          <w:rFonts w:ascii="Times New Roman" w:hAnsi="Times New Roman"/>
          <w:sz w:val="18"/>
          <w:szCs w:val="18"/>
          <w:lang w:val="ms-MY"/>
        </w:rPr>
        <w:t>L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 dan kadar aliran ditetapkan pada 0.3 mL/min. Analisis ini telah ditentukan dalam mod pengionan positif dan dikira oleh mod pemantauan pelbagai tindak balas. Kaedah ini adalah linear dari 7.8 hingga 500 ng/mL untuk kortisol (r</w:t>
      </w:r>
      <w:r w:rsidRPr="004B6185">
        <w:rPr>
          <w:rFonts w:ascii="Times New Roman" w:hAnsi="Times New Roman"/>
          <w:sz w:val="18"/>
          <w:szCs w:val="18"/>
          <w:vertAlign w:val="superscript"/>
          <w:lang w:val="ms-MY"/>
        </w:rPr>
        <w:t>2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 = 0.986) dan kortison (r</w:t>
      </w:r>
      <w:r w:rsidRPr="004B6185">
        <w:rPr>
          <w:rFonts w:ascii="Times New Roman" w:hAnsi="Times New Roman"/>
          <w:sz w:val="18"/>
          <w:szCs w:val="18"/>
          <w:vertAlign w:val="superscript"/>
          <w:lang w:val="ms-MY"/>
        </w:rPr>
        <w:t>2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 = 0.990). Ketepatan, kejituan dan kadar pemulihan untuk kortisol adalah antara 1.98-10.46%, 90.68-91.94%, 90.38-93.88%, dan kortison terdiri daripada 1.01-11.36%, 93.12-94.79% dan 90.48-95.90%. Kaedah yang dibangunkan telah memenuhi piawaian kualiti </w:t>
      </w:r>
      <w:r>
        <w:rPr>
          <w:rFonts w:ascii="Times New Roman" w:hAnsi="Times New Roman"/>
          <w:sz w:val="18"/>
          <w:szCs w:val="18"/>
          <w:lang w:val="ms-MY"/>
        </w:rPr>
        <w:t>agensi perubatan eropah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 (EMA).</w:t>
      </w:r>
    </w:p>
    <w:p w:rsidR="00177124" w:rsidRPr="004B6185" w:rsidRDefault="00177124" w:rsidP="00177124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ms-MY"/>
        </w:rPr>
      </w:pPr>
    </w:p>
    <w:p w:rsidR="007148D7" w:rsidRDefault="00177124" w:rsidP="00177124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ms-MY"/>
        </w:rPr>
      </w:pPr>
      <w:r w:rsidRPr="004B6185">
        <w:rPr>
          <w:rFonts w:ascii="Times New Roman" w:hAnsi="Times New Roman"/>
          <w:b/>
          <w:bCs/>
          <w:iCs/>
          <w:sz w:val="18"/>
          <w:szCs w:val="18"/>
          <w:lang w:val="ms-MY"/>
        </w:rPr>
        <w:t xml:space="preserve">Kata </w:t>
      </w:r>
      <w:r w:rsidRPr="004B6185">
        <w:rPr>
          <w:rFonts w:ascii="Times New Roman" w:hAnsi="Times New Roman"/>
          <w:b/>
          <w:bCs/>
          <w:iCs/>
          <w:noProof/>
          <w:sz w:val="18"/>
          <w:szCs w:val="18"/>
          <w:lang w:val="ms-MY"/>
        </w:rPr>
        <w:t>kunci</w:t>
      </w:r>
      <w:r w:rsidRPr="004B6185">
        <w:rPr>
          <w:rFonts w:ascii="Times New Roman" w:hAnsi="Times New Roman"/>
          <w:b/>
          <w:iCs/>
          <w:sz w:val="18"/>
          <w:szCs w:val="18"/>
          <w:lang w:val="ms-MY"/>
        </w:rPr>
        <w:t>:</w:t>
      </w:r>
      <w:r w:rsidRPr="004B6185">
        <w:rPr>
          <w:rFonts w:ascii="Times New Roman" w:hAnsi="Times New Roman"/>
          <w:iCs/>
          <w:sz w:val="18"/>
          <w:szCs w:val="18"/>
          <w:lang w:val="ms-MY"/>
        </w:rPr>
        <w:t xml:space="preserve"> </w:t>
      </w:r>
      <w:r>
        <w:rPr>
          <w:rFonts w:ascii="Times New Roman" w:hAnsi="Times New Roman"/>
          <w:iCs/>
          <w:sz w:val="18"/>
          <w:szCs w:val="18"/>
          <w:lang w:val="ms-MY"/>
        </w:rPr>
        <w:t xml:space="preserve"> </w:t>
      </w:r>
      <w:r w:rsidRPr="004B6185">
        <w:rPr>
          <w:rFonts w:ascii="Times New Roman" w:hAnsi="Times New Roman"/>
          <w:iCs/>
          <w:noProof/>
          <w:sz w:val="18"/>
          <w:szCs w:val="18"/>
          <w:lang w:val="ms-MY"/>
        </w:rPr>
        <w:t>kortisol</w:t>
      </w:r>
      <w:r w:rsidRPr="004B6185">
        <w:rPr>
          <w:rFonts w:ascii="Times New Roman" w:hAnsi="Times New Roman"/>
          <w:iCs/>
          <w:sz w:val="18"/>
          <w:szCs w:val="18"/>
          <w:lang w:val="ms-MY"/>
        </w:rPr>
        <w:t xml:space="preserve">, </w:t>
      </w:r>
      <w:r w:rsidRPr="004B6185">
        <w:rPr>
          <w:rFonts w:ascii="Times New Roman" w:hAnsi="Times New Roman"/>
          <w:iCs/>
          <w:noProof/>
          <w:sz w:val="18"/>
          <w:szCs w:val="18"/>
          <w:lang w:val="ms-MY"/>
        </w:rPr>
        <w:t>kortison</w:t>
      </w:r>
      <w:r w:rsidRPr="004B6185">
        <w:rPr>
          <w:rFonts w:ascii="Times New Roman" w:hAnsi="Times New Roman"/>
          <w:iCs/>
          <w:sz w:val="18"/>
          <w:szCs w:val="18"/>
          <w:lang w:val="ms-MY"/>
        </w:rPr>
        <w:t xml:space="preserve">, serum, </w:t>
      </w:r>
      <w:r w:rsidRPr="004B6185">
        <w:rPr>
          <w:rFonts w:ascii="Times New Roman" w:hAnsi="Times New Roman"/>
          <w:sz w:val="18"/>
          <w:szCs w:val="18"/>
          <w:lang w:val="ms-MY"/>
        </w:rPr>
        <w:t xml:space="preserve">kromatografi cecair berprestasi ultra tinggi - spektrometri jisim </w:t>
      </w:r>
      <w:r>
        <w:rPr>
          <w:rFonts w:ascii="Times New Roman" w:hAnsi="Times New Roman"/>
          <w:sz w:val="18"/>
          <w:szCs w:val="18"/>
          <w:lang w:val="ms-MY"/>
        </w:rPr>
        <w:t>gabungan</w:t>
      </w:r>
    </w:p>
    <w:p w:rsidR="00177124" w:rsidRDefault="00177124" w:rsidP="00177124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ms-MY"/>
        </w:rPr>
      </w:pPr>
    </w:p>
    <w:p w:rsidR="00177124" w:rsidRPr="00F447A7" w:rsidRDefault="00177124" w:rsidP="00177124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>Knutson, U., Dahlgren, J., Marcus, C., Rosberg, S., Bronnegard, M., Stierna, P. and Albertsson-Wikland, K. (1997). Circadian cortisol rhythms in healthy boys and girls</w:t>
      </w:r>
      <w:r w:rsidRPr="004B4B56">
        <w:rPr>
          <w:rFonts w:ascii="Times New Roman" w:hAnsi="Times New Roman"/>
          <w:noProof/>
          <w:sz w:val="20"/>
          <w:szCs w:val="20"/>
        </w:rPr>
        <w:t>: Relationship</w:t>
      </w:r>
      <w:r w:rsidRPr="004B4B56">
        <w:rPr>
          <w:rFonts w:ascii="Times New Roman" w:hAnsi="Times New Roman"/>
          <w:sz w:val="20"/>
          <w:szCs w:val="20"/>
        </w:rPr>
        <w:t xml:space="preserve"> with age, growth, body composition, and pubertal development. </w:t>
      </w:r>
      <w:r w:rsidRPr="004B4B56">
        <w:rPr>
          <w:rFonts w:ascii="Times New Roman" w:hAnsi="Times New Roman"/>
          <w:i/>
          <w:iCs/>
          <w:sz w:val="20"/>
          <w:szCs w:val="20"/>
        </w:rPr>
        <w:t>Journal of Clinical Endocrinology and Metabolism</w:t>
      </w:r>
      <w:r w:rsidRPr="004B4B56">
        <w:rPr>
          <w:rFonts w:ascii="Times New Roman" w:hAnsi="Times New Roman"/>
          <w:sz w:val="20"/>
          <w:szCs w:val="20"/>
        </w:rPr>
        <w:t>, 82(2): 536.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>Aube, B. L. L., Cu</w:t>
      </w:r>
      <w:r w:rsidRPr="004B4B56">
        <w:rPr>
          <w:rFonts w:ascii="Times New Roman" w:hAnsi="Times New Roman"/>
          <w:noProof/>
          <w:sz w:val="20"/>
          <w:szCs w:val="20"/>
        </w:rPr>
        <w:t xml:space="preserve">rbow, </w:t>
      </w:r>
      <w:r w:rsidRPr="004B4B56">
        <w:rPr>
          <w:rFonts w:ascii="Times New Roman" w:hAnsi="Times New Roman"/>
          <w:sz w:val="20"/>
          <w:szCs w:val="20"/>
        </w:rPr>
        <w:t>B. A., Ostello, R. W. and Fi</w:t>
      </w:r>
      <w:r w:rsidRPr="004B4B56">
        <w:rPr>
          <w:rFonts w:ascii="Times New Roman" w:hAnsi="Times New Roman"/>
          <w:noProof/>
          <w:sz w:val="20"/>
          <w:szCs w:val="20"/>
        </w:rPr>
        <w:t>tzgerald, S. T.</w:t>
      </w:r>
      <w:r w:rsidRPr="004B4B56">
        <w:rPr>
          <w:rFonts w:ascii="Times New Roman" w:hAnsi="Times New Roman"/>
          <w:sz w:val="20"/>
          <w:szCs w:val="20"/>
        </w:rPr>
        <w:t xml:space="preserve"> (2002). A pilot study examining the relationship between stress and serum cortisol concentrations in women with asthma. </w:t>
      </w:r>
      <w:r w:rsidRPr="004B4B56">
        <w:rPr>
          <w:rFonts w:ascii="Times New Roman" w:hAnsi="Times New Roman"/>
          <w:i/>
          <w:iCs/>
          <w:sz w:val="20"/>
          <w:szCs w:val="20"/>
        </w:rPr>
        <w:t>Respiratory Medicine</w:t>
      </w:r>
      <w:r w:rsidRPr="004B4B56">
        <w:rPr>
          <w:rFonts w:ascii="Times New Roman" w:hAnsi="Times New Roman"/>
          <w:sz w:val="20"/>
          <w:szCs w:val="20"/>
        </w:rPr>
        <w:t>, 96: 823 – 828.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Lee, S., Lim, H. S., Shin, H. J., Kim, S. A., Park, J., Kim, H.C., Kim, H., Kim, H. J., Kim, Y.T., Lee, K. R. and Kim, Y. J. (2014). Simultaneous determination of cortisol and cortisone from human serum by liquid chromatography-tandem mass spectrometry. </w:t>
      </w:r>
      <w:r w:rsidRPr="004B4B56">
        <w:rPr>
          <w:rFonts w:ascii="Times New Roman" w:hAnsi="Times New Roman"/>
          <w:i/>
          <w:iCs/>
          <w:sz w:val="20"/>
          <w:szCs w:val="20"/>
        </w:rPr>
        <w:t>Journal of Analytical Methods in Chemistry</w:t>
      </w:r>
      <w:r w:rsidRPr="004B4B56">
        <w:rPr>
          <w:rFonts w:ascii="Times New Roman" w:hAnsi="Times New Roman"/>
          <w:sz w:val="20"/>
          <w:szCs w:val="20"/>
        </w:rPr>
        <w:t>, 2014: 787483.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De Palo, E. F., Antonelli, G., Benetazzo, A., Prearo, M. and Gatti, R. (2009). Human saliva cortisone and cortisol simultaneous analysis using reverse phase HPLC technique.  </w:t>
      </w:r>
      <w:r w:rsidRPr="004B4B56">
        <w:rPr>
          <w:rFonts w:ascii="Times New Roman" w:hAnsi="Times New Roman"/>
          <w:i/>
          <w:iCs/>
          <w:sz w:val="20"/>
          <w:szCs w:val="20"/>
        </w:rPr>
        <w:t>Clinica Chimica Acta</w:t>
      </w:r>
      <w:r w:rsidRPr="004B4B56">
        <w:rPr>
          <w:rFonts w:ascii="Times New Roman" w:hAnsi="Times New Roman"/>
          <w:sz w:val="20"/>
          <w:szCs w:val="20"/>
        </w:rPr>
        <w:t>, 405: 60 – 65.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Ray, J. A., Kushnir, M. M., Rockwood, A. L. and Meikle, A. W. (2011). Analysis of cortisol, cortisone and dexamethasone in human serum using liquid </w:t>
      </w:r>
      <w:r w:rsidRPr="004B4B56">
        <w:rPr>
          <w:rFonts w:ascii="Times New Roman" w:hAnsi="Times New Roman"/>
          <w:noProof/>
          <w:sz w:val="20"/>
          <w:szCs w:val="20"/>
        </w:rPr>
        <w:t>chromatography-tandem</w:t>
      </w:r>
      <w:r w:rsidRPr="004B4B56">
        <w:rPr>
          <w:rFonts w:ascii="Times New Roman" w:hAnsi="Times New Roman"/>
          <w:sz w:val="20"/>
          <w:szCs w:val="20"/>
        </w:rPr>
        <w:t xml:space="preserve"> mass spectrometry and assessment of cortisol: Cortisone ratios in patients with impaired kidney function. </w:t>
      </w:r>
      <w:r w:rsidRPr="004B4B56">
        <w:rPr>
          <w:rFonts w:ascii="Times New Roman" w:hAnsi="Times New Roman"/>
          <w:i/>
          <w:iCs/>
          <w:noProof/>
          <w:sz w:val="20"/>
          <w:szCs w:val="20"/>
        </w:rPr>
        <w:t>Clinica</w:t>
      </w:r>
      <w:r w:rsidRPr="004B4B56">
        <w:rPr>
          <w:rFonts w:ascii="Times New Roman" w:hAnsi="Times New Roman"/>
          <w:i/>
          <w:iCs/>
          <w:sz w:val="20"/>
          <w:szCs w:val="20"/>
        </w:rPr>
        <w:t xml:space="preserve"> Chimica Acta</w:t>
      </w:r>
      <w:r w:rsidRPr="004B4B56">
        <w:rPr>
          <w:rFonts w:ascii="Times New Roman" w:hAnsi="Times New Roman"/>
          <w:sz w:val="20"/>
          <w:szCs w:val="20"/>
        </w:rPr>
        <w:t>, 412: 1221 – 1228.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Lee, S., Kwon, S., Shin, H. J., Lim, H. S., Singh, R. J., Lee, K. R. and Kim. Y. J. (2010). Simultaneous quantitative analysis of salivary cortisol and cortisone in Korean adults using LC-MS/MS. </w:t>
      </w:r>
      <w:r w:rsidRPr="004B4B56">
        <w:rPr>
          <w:rFonts w:ascii="Times New Roman" w:hAnsi="Times New Roman"/>
          <w:i/>
          <w:iCs/>
          <w:sz w:val="20"/>
          <w:szCs w:val="20"/>
        </w:rPr>
        <w:t>BMB Reports</w:t>
      </w:r>
      <w:r w:rsidRPr="004B4B56">
        <w:rPr>
          <w:rFonts w:ascii="Times New Roman" w:hAnsi="Times New Roman"/>
          <w:sz w:val="20"/>
          <w:szCs w:val="20"/>
        </w:rPr>
        <w:t>, 43(7): 506 – 511.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Zhai, X., Chen, F., Zhu, C. and Lu. Y. (2015). </w:t>
      </w:r>
      <w:bookmarkStart w:id="2" w:name="OLE_LINK1"/>
      <w:bookmarkStart w:id="3" w:name="OLE_LINK2"/>
      <w:r w:rsidRPr="004B4B56">
        <w:rPr>
          <w:rFonts w:ascii="Times New Roman" w:hAnsi="Times New Roman"/>
          <w:sz w:val="20"/>
          <w:szCs w:val="20"/>
        </w:rPr>
        <w:t xml:space="preserve">A simple LC-MS/MS method for the determination of cortisol, cortisone and tetrahydro-metabolites in human urine: Assay development, validation and application in depression patients. </w:t>
      </w:r>
      <w:r w:rsidRPr="004B4B56">
        <w:rPr>
          <w:rFonts w:ascii="Times New Roman" w:hAnsi="Times New Roman"/>
          <w:i/>
          <w:iCs/>
          <w:sz w:val="20"/>
          <w:szCs w:val="20"/>
        </w:rPr>
        <w:t>Journal of Pharmaceutical and Biomedical Analysis</w:t>
      </w:r>
      <w:bookmarkEnd w:id="2"/>
      <w:bookmarkEnd w:id="3"/>
      <w:r w:rsidRPr="004B4B56">
        <w:rPr>
          <w:rFonts w:ascii="Times New Roman" w:hAnsi="Times New Roman"/>
          <w:sz w:val="20"/>
          <w:szCs w:val="20"/>
        </w:rPr>
        <w:t>, 107: 450 – 455.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Levine, A., Zagoory-Sharon, O., Feldman, R., Lewis, J. G., and Weller. A. (2007). Measuring cortisol in human psychobiological studies. </w:t>
      </w:r>
      <w:r w:rsidRPr="004B4B56">
        <w:rPr>
          <w:rFonts w:ascii="Times New Roman" w:hAnsi="Times New Roman"/>
          <w:i/>
          <w:iCs/>
          <w:sz w:val="20"/>
          <w:szCs w:val="20"/>
        </w:rPr>
        <w:t>Physiology and Behavior</w:t>
      </w:r>
      <w:r w:rsidRPr="004B4B56">
        <w:rPr>
          <w:rFonts w:ascii="Times New Roman" w:hAnsi="Times New Roman"/>
          <w:sz w:val="20"/>
          <w:szCs w:val="20"/>
        </w:rPr>
        <w:t>, 90(1): 43 – 53.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Milam, J., Slaughter, R., Verma, G. and McConnell. R. (2014). Hair cortisol, perceived stress and dispositional optimism: a pilot study among adolescents. </w:t>
      </w:r>
      <w:r w:rsidRPr="004B4B56">
        <w:rPr>
          <w:rFonts w:ascii="Times New Roman" w:hAnsi="Times New Roman"/>
          <w:i/>
          <w:iCs/>
          <w:sz w:val="20"/>
          <w:szCs w:val="20"/>
        </w:rPr>
        <w:t>Journal of Traumatic Stress Disorders &amp; Treatment</w:t>
      </w:r>
      <w:r w:rsidRPr="004B4B56">
        <w:rPr>
          <w:rFonts w:ascii="Times New Roman" w:hAnsi="Times New Roman"/>
          <w:sz w:val="20"/>
          <w:szCs w:val="20"/>
        </w:rPr>
        <w:t>, 3(3): 1 – 13.</w:t>
      </w:r>
    </w:p>
    <w:p w:rsidR="00177124" w:rsidRPr="004B4B56" w:rsidRDefault="00177124" w:rsidP="001771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noProof/>
          <w:sz w:val="20"/>
          <w:szCs w:val="20"/>
        </w:rPr>
        <w:t>Herane</w:t>
      </w:r>
      <w:r w:rsidRPr="004B4B56">
        <w:rPr>
          <w:rFonts w:ascii="Times New Roman" w:hAnsi="Times New Roman"/>
          <w:sz w:val="20"/>
          <w:szCs w:val="20"/>
        </w:rPr>
        <w:t xml:space="preserve"> Vives, A., De Angel, V., Papadopoulos, A., Strawbridge, R., Wise, T., Young, A. H., Arnone, D. and Cleare. A. J. (2015). The relationship between cortisol, stress and psychiatric illness: New insights using hair analysis</w:t>
      </w:r>
      <w:r w:rsidRPr="004B4B56">
        <w:rPr>
          <w:rFonts w:ascii="Times New Roman" w:hAnsi="Times New Roman"/>
          <w:i/>
          <w:iCs/>
          <w:sz w:val="20"/>
          <w:szCs w:val="20"/>
        </w:rPr>
        <w:t>. Journal of Psychiatric Research</w:t>
      </w:r>
      <w:r w:rsidRPr="004B4B56">
        <w:rPr>
          <w:rFonts w:ascii="Times New Roman" w:hAnsi="Times New Roman"/>
          <w:sz w:val="20"/>
          <w:szCs w:val="20"/>
        </w:rPr>
        <w:t>, 70: 38 – 49.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Pani, S. C., Al Askar, A. M., Al </w:t>
      </w:r>
      <w:r w:rsidRPr="004B4B56">
        <w:rPr>
          <w:rFonts w:ascii="Times New Roman" w:hAnsi="Times New Roman"/>
          <w:noProof/>
          <w:sz w:val="20"/>
          <w:szCs w:val="20"/>
        </w:rPr>
        <w:t>Mohrij</w:t>
      </w:r>
      <w:r w:rsidRPr="004B4B56">
        <w:rPr>
          <w:rFonts w:ascii="Times New Roman" w:hAnsi="Times New Roman"/>
          <w:sz w:val="20"/>
          <w:szCs w:val="20"/>
        </w:rPr>
        <w:t>, S. I. and Al Ohali, T. A. (2011). Evaluation of stress in final-year Saudi dental students using salivary cortisol as a biomarker</w:t>
      </w:r>
      <w:r w:rsidRPr="004B4B56">
        <w:rPr>
          <w:rFonts w:ascii="Times New Roman" w:hAnsi="Times New Roman"/>
          <w:i/>
          <w:iCs/>
          <w:sz w:val="20"/>
          <w:szCs w:val="20"/>
        </w:rPr>
        <w:t>. Journal of Dental Education</w:t>
      </w:r>
      <w:r w:rsidRPr="004B4B56">
        <w:rPr>
          <w:rFonts w:ascii="Times New Roman" w:hAnsi="Times New Roman"/>
          <w:sz w:val="20"/>
          <w:szCs w:val="20"/>
        </w:rPr>
        <w:t>, 75(3): 377 – 384.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>Lundberg</w:t>
      </w:r>
      <w:r w:rsidRPr="004B4B56">
        <w:rPr>
          <w:rFonts w:ascii="Times New Roman" w:hAnsi="Times New Roman"/>
          <w:noProof/>
          <w:sz w:val="20"/>
          <w:szCs w:val="20"/>
        </w:rPr>
        <w:t xml:space="preserve">, </w:t>
      </w:r>
      <w:r w:rsidRPr="004B4B56">
        <w:rPr>
          <w:rFonts w:ascii="Times New Roman" w:hAnsi="Times New Roman"/>
          <w:sz w:val="20"/>
          <w:szCs w:val="20"/>
        </w:rPr>
        <w:t xml:space="preserve">U. (2005). Stress hormones in health and illness: The roles of work and gender. </w:t>
      </w:r>
      <w:r w:rsidRPr="004B4B56">
        <w:rPr>
          <w:rFonts w:ascii="Times New Roman" w:hAnsi="Times New Roman"/>
          <w:i/>
          <w:iCs/>
          <w:sz w:val="20"/>
          <w:szCs w:val="20"/>
        </w:rPr>
        <w:t>Psychoneuroendocrinology</w:t>
      </w:r>
      <w:r w:rsidRPr="004B4B56">
        <w:rPr>
          <w:rFonts w:ascii="Times New Roman" w:hAnsi="Times New Roman"/>
          <w:sz w:val="20"/>
          <w:szCs w:val="20"/>
        </w:rPr>
        <w:t xml:space="preserve">, 30(10): 1017 – 1021. 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Institute for Public Health (2015). </w:t>
      </w:r>
      <w:r w:rsidRPr="004B4B56">
        <w:rPr>
          <w:rFonts w:ascii="Times New Roman" w:hAnsi="Times New Roman"/>
          <w:iCs/>
          <w:sz w:val="20"/>
          <w:szCs w:val="20"/>
        </w:rPr>
        <w:t>National Health and Morbidity Survey 2015 (NHMS 2015): Non-Communicable Diseases</w:t>
      </w:r>
      <w:r w:rsidRPr="004B4B56">
        <w:rPr>
          <w:rFonts w:ascii="Times New Roman" w:hAnsi="Times New Roman"/>
          <w:sz w:val="20"/>
          <w:szCs w:val="20"/>
        </w:rPr>
        <w:t>, Vol. II. San Diego, California.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Armitage, C. J., </w:t>
      </w:r>
      <w:r w:rsidRPr="004B4B56">
        <w:rPr>
          <w:rFonts w:ascii="Times New Roman" w:hAnsi="Times New Roman"/>
          <w:noProof/>
          <w:sz w:val="20"/>
          <w:szCs w:val="20"/>
        </w:rPr>
        <w:t>Panagioti</w:t>
      </w:r>
      <w:r w:rsidRPr="004B4B56">
        <w:rPr>
          <w:rFonts w:ascii="Times New Roman" w:hAnsi="Times New Roman"/>
          <w:sz w:val="20"/>
          <w:szCs w:val="20"/>
        </w:rPr>
        <w:t xml:space="preserve">, M., Rahim, W. A., Rowe, R., O’Connor, R. C. (2015). Completed suicides and self-harm in Malaysia: A systematic review. </w:t>
      </w:r>
      <w:r w:rsidRPr="004B4B56">
        <w:rPr>
          <w:rFonts w:ascii="Times New Roman" w:hAnsi="Times New Roman"/>
          <w:i/>
          <w:iCs/>
          <w:sz w:val="20"/>
          <w:szCs w:val="20"/>
        </w:rPr>
        <w:t>General Hospital Psychiatry</w:t>
      </w:r>
      <w:r w:rsidRPr="004B4B56">
        <w:rPr>
          <w:rFonts w:ascii="Times New Roman" w:hAnsi="Times New Roman"/>
          <w:sz w:val="20"/>
          <w:szCs w:val="20"/>
        </w:rPr>
        <w:t>, 37(2): 153 – 165.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Singh, R., Goyal, M., Tiwari, S., Ghildiyal, A., Nattu, S. M. and Das, S. (2012). Effect of examination stress on mood, performance and cortisol levels in medical students. </w:t>
      </w:r>
      <w:r w:rsidRPr="004B4B56">
        <w:rPr>
          <w:rFonts w:ascii="Times New Roman" w:hAnsi="Times New Roman"/>
          <w:i/>
          <w:iCs/>
          <w:sz w:val="20"/>
          <w:szCs w:val="20"/>
        </w:rPr>
        <w:t>Indian Journal of Physiology and Pharmacology</w:t>
      </w:r>
      <w:r w:rsidRPr="004B4B56">
        <w:rPr>
          <w:rFonts w:ascii="Times New Roman" w:hAnsi="Times New Roman"/>
          <w:sz w:val="20"/>
          <w:szCs w:val="20"/>
        </w:rPr>
        <w:t>, 56(1): 48 – 55.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Owen, L. J., Adaway, J. E., Davies, S., Neale, S., El-Farhan, N., Ducroq, D., Evans, C., Rees, D. A., Mackenzie, F. and Keevil, B. G. (2013). Development of a rapid assay for the analysis of serum cortisol and its implementation into a routine service laboratory. </w:t>
      </w:r>
      <w:r w:rsidRPr="004B4B56">
        <w:rPr>
          <w:rFonts w:ascii="Times New Roman" w:hAnsi="Times New Roman"/>
          <w:i/>
          <w:iCs/>
          <w:sz w:val="20"/>
          <w:szCs w:val="20"/>
        </w:rPr>
        <w:t>Annals of Clinical Biochemistry</w:t>
      </w:r>
      <w:r w:rsidRPr="004B4B56">
        <w:rPr>
          <w:rFonts w:ascii="Times New Roman" w:hAnsi="Times New Roman"/>
          <w:sz w:val="20"/>
          <w:szCs w:val="20"/>
        </w:rPr>
        <w:t>, 50(4): 345 –352.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Turpeinen, U. and Hämäläinen, E. (2013). Determination of cortisol in serum, saliva and urine. </w:t>
      </w:r>
      <w:r w:rsidRPr="004B4B56">
        <w:rPr>
          <w:rFonts w:ascii="Times New Roman" w:hAnsi="Times New Roman"/>
          <w:i/>
          <w:iCs/>
          <w:sz w:val="20"/>
          <w:szCs w:val="20"/>
        </w:rPr>
        <w:t>Best Practice and Research: Clinical Endocrinology and Metabolism</w:t>
      </w:r>
      <w:r w:rsidRPr="004B4B56">
        <w:rPr>
          <w:rFonts w:ascii="Times New Roman" w:hAnsi="Times New Roman"/>
          <w:sz w:val="20"/>
          <w:szCs w:val="20"/>
        </w:rPr>
        <w:t>, 27(6): 795 – 801.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Monaghan, P. J., Keevil, B. G. and Trainer, P. J. (2013). The use of mass spectrometry to improve the diagnosis and the management of the HPA axis. </w:t>
      </w:r>
      <w:r w:rsidRPr="004B4B56">
        <w:rPr>
          <w:rFonts w:ascii="Times New Roman" w:hAnsi="Times New Roman"/>
          <w:i/>
          <w:iCs/>
          <w:sz w:val="20"/>
          <w:szCs w:val="20"/>
        </w:rPr>
        <w:t>Reviews in Endocrine &amp; Metabolic Disorder</w:t>
      </w:r>
      <w:r w:rsidRPr="004B4B56">
        <w:rPr>
          <w:rFonts w:ascii="Times New Roman" w:hAnsi="Times New Roman"/>
          <w:sz w:val="20"/>
          <w:szCs w:val="20"/>
        </w:rPr>
        <w:t>, 14(2): 143 – 157.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Lopes Alves, A. N., Mendonca, B. B. and </w:t>
      </w:r>
      <w:r w:rsidRPr="004B4B56">
        <w:rPr>
          <w:rFonts w:ascii="Times New Roman" w:hAnsi="Times New Roman"/>
          <w:noProof/>
          <w:sz w:val="20"/>
          <w:szCs w:val="20"/>
        </w:rPr>
        <w:t xml:space="preserve">Valassi, </w:t>
      </w:r>
      <w:r w:rsidRPr="004B4B56">
        <w:rPr>
          <w:rFonts w:ascii="Times New Roman" w:hAnsi="Times New Roman"/>
          <w:sz w:val="20"/>
          <w:szCs w:val="20"/>
        </w:rPr>
        <w:t xml:space="preserve">H. P. L. (2015). Analytical performance of LC-MS/MS method for simultaneous determination of five steroids in serum. </w:t>
      </w:r>
      <w:r w:rsidRPr="004B4B56">
        <w:rPr>
          <w:rFonts w:ascii="Times New Roman" w:hAnsi="Times New Roman"/>
          <w:i/>
          <w:iCs/>
          <w:sz w:val="20"/>
          <w:szCs w:val="20"/>
        </w:rPr>
        <w:t>Mass Spectrometry &amp; Purification Techniques</w:t>
      </w:r>
      <w:r w:rsidRPr="004B4B56">
        <w:rPr>
          <w:rFonts w:ascii="Times New Roman" w:hAnsi="Times New Roman"/>
          <w:sz w:val="20"/>
          <w:szCs w:val="20"/>
        </w:rPr>
        <w:t>, 1(2): 1 – 5.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Huang, W., Kalhorn, T. F., Baillie, M., Shen, D. D. and Thummel, K. E. (2007). Determination of free and total cortisol in plasma and urine by liquid chromatography-tandem mass spectrometry. </w:t>
      </w:r>
      <w:r w:rsidRPr="004B4B56">
        <w:rPr>
          <w:rFonts w:ascii="Times New Roman" w:hAnsi="Times New Roman"/>
          <w:i/>
          <w:iCs/>
          <w:sz w:val="20"/>
          <w:szCs w:val="20"/>
        </w:rPr>
        <w:t>Therapeutic Drug Monitoring</w:t>
      </w:r>
      <w:r w:rsidRPr="004B4B56">
        <w:rPr>
          <w:rFonts w:ascii="Times New Roman" w:hAnsi="Times New Roman"/>
          <w:sz w:val="20"/>
          <w:szCs w:val="20"/>
        </w:rPr>
        <w:t>, 29 (2): 215 – 224.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lastRenderedPageBreak/>
        <w:t xml:space="preserve">Kushnir, M. M., Rockwood, A. L., Roberts, W. L., Yue, B., Bergquist, J. and Meikle, A. W. (2011). Liquid </w:t>
      </w:r>
      <w:r w:rsidRPr="004B4B56">
        <w:rPr>
          <w:rFonts w:ascii="Times New Roman" w:hAnsi="Times New Roman"/>
          <w:noProof/>
          <w:sz w:val="20"/>
          <w:szCs w:val="20"/>
        </w:rPr>
        <w:t>chromatography-tandem</w:t>
      </w:r>
      <w:r w:rsidRPr="004B4B56">
        <w:rPr>
          <w:rFonts w:ascii="Times New Roman" w:hAnsi="Times New Roman"/>
          <w:sz w:val="20"/>
          <w:szCs w:val="20"/>
        </w:rPr>
        <w:t xml:space="preserve"> mass spectrometry for analysis of steroids in clinical laboratories. </w:t>
      </w:r>
      <w:r w:rsidRPr="004B4B56">
        <w:rPr>
          <w:rFonts w:ascii="Times New Roman" w:hAnsi="Times New Roman"/>
          <w:i/>
          <w:iCs/>
          <w:sz w:val="20"/>
          <w:szCs w:val="20"/>
        </w:rPr>
        <w:t>Clinical Biochemistry</w:t>
      </w:r>
      <w:r w:rsidRPr="004B4B56">
        <w:rPr>
          <w:rFonts w:ascii="Times New Roman" w:hAnsi="Times New Roman"/>
          <w:sz w:val="20"/>
          <w:szCs w:val="20"/>
        </w:rPr>
        <w:t>, 44(1): 77 – 88.</w:t>
      </w:r>
    </w:p>
    <w:p w:rsidR="00177124" w:rsidRPr="004B4B56" w:rsidRDefault="00177124" w:rsidP="0017712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4B4B56">
        <w:rPr>
          <w:rFonts w:ascii="Times New Roman" w:hAnsi="Times New Roman"/>
          <w:noProof/>
          <w:sz w:val="20"/>
          <w:szCs w:val="20"/>
        </w:rPr>
        <w:t>Cao, Z., West, C., Norton-Wenzel, C. and Rej, R. (2009). Effects of resin or charcoal treatment on fetal bovine serum and bovine calf serum</w:t>
      </w:r>
      <w:r w:rsidRPr="004B4B56">
        <w:rPr>
          <w:rFonts w:ascii="Times New Roman" w:hAnsi="Times New Roman"/>
          <w:i/>
          <w:iCs/>
          <w:noProof/>
          <w:sz w:val="20"/>
          <w:szCs w:val="20"/>
        </w:rPr>
        <w:t>. Endocrine Research</w:t>
      </w:r>
      <w:r w:rsidRPr="004B4B56">
        <w:rPr>
          <w:rFonts w:ascii="Times New Roman" w:hAnsi="Times New Roman"/>
          <w:noProof/>
          <w:sz w:val="20"/>
          <w:szCs w:val="20"/>
        </w:rPr>
        <w:t>, 34(4): 101 – 108.</w:t>
      </w:r>
    </w:p>
    <w:p w:rsidR="00177124" w:rsidRPr="004B4B56" w:rsidRDefault="00177124" w:rsidP="0017712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4B4B56">
        <w:rPr>
          <w:rFonts w:ascii="Times New Roman" w:hAnsi="Times New Roman"/>
          <w:noProof/>
          <w:sz w:val="20"/>
          <w:szCs w:val="20"/>
        </w:rPr>
        <w:t xml:space="preserve">Ifelebuegu, A. O. (2012). Removal of steroid hormones by activated carbon adsorption—kinetic and thermodynamic studies. </w:t>
      </w:r>
      <w:r w:rsidRPr="004B4B56">
        <w:rPr>
          <w:rFonts w:ascii="Times New Roman" w:hAnsi="Times New Roman"/>
          <w:i/>
          <w:iCs/>
          <w:noProof/>
          <w:sz w:val="20"/>
          <w:szCs w:val="20"/>
        </w:rPr>
        <w:t>Journal of Environmental Protection</w:t>
      </w:r>
      <w:r w:rsidRPr="004B4B56">
        <w:rPr>
          <w:rFonts w:ascii="Times New Roman" w:hAnsi="Times New Roman"/>
          <w:noProof/>
          <w:sz w:val="20"/>
          <w:szCs w:val="20"/>
        </w:rPr>
        <w:t xml:space="preserve">, 3(6): 469 – 475. </w:t>
      </w:r>
    </w:p>
    <w:p w:rsidR="00177124" w:rsidRPr="004B4B56" w:rsidRDefault="00177124" w:rsidP="0017712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4B4B56">
        <w:rPr>
          <w:rFonts w:ascii="Times New Roman" w:hAnsi="Times New Roman"/>
          <w:noProof/>
          <w:sz w:val="20"/>
          <w:szCs w:val="20"/>
        </w:rPr>
        <w:t xml:space="preserve">Cooper, N., Khosravan, R., Erdmann, C., Fiene, J. and Lee, J. W. (2006). Quantification of uric acid, xanthine and hypoxanthine in human serum by HPLC for pharmacodynamic studies. </w:t>
      </w:r>
      <w:r w:rsidRPr="004B4B56">
        <w:rPr>
          <w:rFonts w:ascii="Times New Roman" w:hAnsi="Times New Roman"/>
          <w:i/>
          <w:iCs/>
          <w:noProof/>
          <w:sz w:val="20"/>
          <w:szCs w:val="20"/>
        </w:rPr>
        <w:t>Journal of Chromatography B: Analytical Technologies in the Biomedical and Life Sciences</w:t>
      </w:r>
      <w:r w:rsidRPr="004B4B56">
        <w:rPr>
          <w:rFonts w:ascii="Times New Roman" w:hAnsi="Times New Roman"/>
          <w:noProof/>
          <w:sz w:val="20"/>
          <w:szCs w:val="20"/>
        </w:rPr>
        <w:t>, 837: 1 – 10.</w:t>
      </w:r>
    </w:p>
    <w:p w:rsidR="00177124" w:rsidRPr="004B4B56" w:rsidRDefault="00177124" w:rsidP="0017712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4B4B56">
        <w:rPr>
          <w:rFonts w:ascii="Times New Roman" w:hAnsi="Times New Roman"/>
          <w:noProof/>
          <w:sz w:val="20"/>
          <w:szCs w:val="20"/>
        </w:rPr>
        <w:t xml:space="preserve">Ke, Y., Bertin, J., Gonthier, R., Simard, J. N. and Labrie, F. (2014). A sensitive, simple and robust LC-MS/MS method for the simultaneous quantification of seven androgen- and estrogen-related steroids in postmenopausal serum. </w:t>
      </w:r>
      <w:r w:rsidRPr="004B4B56">
        <w:rPr>
          <w:rFonts w:ascii="Times New Roman" w:hAnsi="Times New Roman"/>
          <w:i/>
          <w:iCs/>
          <w:noProof/>
          <w:sz w:val="20"/>
          <w:szCs w:val="20"/>
        </w:rPr>
        <w:t>Journal of Steroid Biochemistry and Molecular Biology</w:t>
      </w:r>
      <w:r w:rsidRPr="004B4B56">
        <w:rPr>
          <w:rFonts w:ascii="Times New Roman" w:hAnsi="Times New Roman"/>
          <w:noProof/>
          <w:sz w:val="20"/>
          <w:szCs w:val="20"/>
        </w:rPr>
        <w:t xml:space="preserve">, 144: 523 – 534. </w:t>
      </w:r>
    </w:p>
    <w:p w:rsidR="00177124" w:rsidRPr="004B4B56" w:rsidRDefault="00177124" w:rsidP="0017712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4B4B56">
        <w:rPr>
          <w:rFonts w:ascii="Times New Roman" w:hAnsi="Times New Roman"/>
          <w:noProof/>
          <w:sz w:val="20"/>
          <w:szCs w:val="20"/>
        </w:rPr>
        <w:t xml:space="preserve">Sánchez-Guijo, A., Oji, V., Hartmann, M. F., Traupe, H. and Wudy, S. A. (2015). Simultaneous quantification of cholesterol sulfate, androgen sulfates, and progestagen sulfates in human serum by LC-MS/MS. </w:t>
      </w:r>
      <w:r w:rsidRPr="004B4B56">
        <w:rPr>
          <w:rFonts w:ascii="Times New Roman" w:hAnsi="Times New Roman"/>
          <w:i/>
          <w:iCs/>
          <w:noProof/>
          <w:sz w:val="20"/>
          <w:szCs w:val="20"/>
        </w:rPr>
        <w:t>Journal of Lipid Research</w:t>
      </w:r>
      <w:r w:rsidRPr="004B4B56">
        <w:rPr>
          <w:rFonts w:ascii="Times New Roman" w:hAnsi="Times New Roman"/>
          <w:noProof/>
          <w:sz w:val="20"/>
          <w:szCs w:val="20"/>
        </w:rPr>
        <w:t xml:space="preserve">, 56(9): 1843 – 1851. </w:t>
      </w:r>
    </w:p>
    <w:p w:rsidR="00177124" w:rsidRPr="004B4B56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European Medicines Agency (2011). Guideline on bioanalytical method validation.  Access from </w:t>
      </w:r>
      <w:r w:rsidRPr="00F86988">
        <w:rPr>
          <w:rFonts w:ascii="Times New Roman" w:hAnsi="Times New Roman"/>
          <w:sz w:val="20"/>
          <w:szCs w:val="20"/>
        </w:rPr>
        <w:t>http://www.ema.europa.eu/docs/en_GB/document_library/Scientific_guideline/2011/08/WC500109686.pdf</w:t>
      </w:r>
      <w:r w:rsidRPr="004B4B56">
        <w:rPr>
          <w:rFonts w:ascii="Times New Roman" w:hAnsi="Times New Roman"/>
          <w:sz w:val="20"/>
          <w:szCs w:val="20"/>
        </w:rPr>
        <w:t xml:space="preserve"> </w:t>
      </w:r>
    </w:p>
    <w:p w:rsidR="00177124" w:rsidRDefault="00177124" w:rsidP="00177124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B4B56">
        <w:rPr>
          <w:rFonts w:ascii="Times New Roman" w:hAnsi="Times New Roman"/>
          <w:sz w:val="20"/>
          <w:szCs w:val="20"/>
        </w:rPr>
        <w:t xml:space="preserve">Tai, S. S.-C. and Welch, M. J. (2004). Development and evaluation of a candidate reference method for the determination of total cortisol in human serum using isotope dilution liquid chromatography/mass spectrometry and liquid chromatography/tandem mass spectrometry. </w:t>
      </w:r>
      <w:r w:rsidRPr="004B4B56">
        <w:rPr>
          <w:rFonts w:ascii="Times New Roman" w:hAnsi="Times New Roman"/>
          <w:i/>
          <w:iCs/>
          <w:sz w:val="20"/>
          <w:szCs w:val="20"/>
        </w:rPr>
        <w:t>Analytical Chemistry</w:t>
      </w:r>
      <w:r w:rsidRPr="004B4B56">
        <w:rPr>
          <w:rFonts w:ascii="Times New Roman" w:hAnsi="Times New Roman"/>
          <w:sz w:val="20"/>
          <w:szCs w:val="20"/>
        </w:rPr>
        <w:t xml:space="preserve">, 76 (4): 1008 – 1014. </w:t>
      </w:r>
    </w:p>
    <w:p w:rsidR="00177124" w:rsidRPr="00177124" w:rsidRDefault="00177124" w:rsidP="00177124">
      <w:pPr>
        <w:pStyle w:val="ListParagraph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</w:p>
    <w:sectPr w:rsidR="00177124" w:rsidRPr="00177124" w:rsidSect="00177124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15CCC"/>
    <w:multiLevelType w:val="hybridMultilevel"/>
    <w:tmpl w:val="6512BA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124"/>
    <w:rsid w:val="00177124"/>
    <w:rsid w:val="00337880"/>
    <w:rsid w:val="007148D7"/>
    <w:rsid w:val="00845DAB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124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1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124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1513</Words>
  <Characters>8782</Characters>
  <Application>Microsoft Office Word</Application>
  <DocSecurity>0</DocSecurity>
  <Lines>199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3</cp:revision>
  <dcterms:created xsi:type="dcterms:W3CDTF">2019-04-15T02:00:00Z</dcterms:created>
  <dcterms:modified xsi:type="dcterms:W3CDTF">2019-04-22T03:36:00Z</dcterms:modified>
</cp:coreProperties>
</file>