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161" w:rsidRDefault="00317161" w:rsidP="00317161">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23 No 2 (2019): 229 - 236</w:t>
      </w:r>
    </w:p>
    <w:p w:rsidR="00317161" w:rsidRDefault="00317161" w:rsidP="00317161">
      <w:pPr>
        <w:spacing w:after="0" w:line="240" w:lineRule="auto"/>
        <w:outlineLvl w:val="0"/>
        <w:rPr>
          <w:rFonts w:ascii="Times New Roman" w:hAnsi="Times New Roman"/>
          <w:sz w:val="24"/>
          <w:szCs w:val="24"/>
        </w:rPr>
      </w:pPr>
    </w:p>
    <w:p w:rsidR="00317161" w:rsidRDefault="00317161" w:rsidP="00317161">
      <w:pPr>
        <w:spacing w:after="0" w:line="240" w:lineRule="auto"/>
        <w:outlineLvl w:val="0"/>
        <w:rPr>
          <w:rFonts w:ascii="Times New Roman" w:hAnsi="Times New Roman"/>
          <w:sz w:val="24"/>
          <w:szCs w:val="24"/>
        </w:rPr>
      </w:pPr>
    </w:p>
    <w:p w:rsidR="00317161" w:rsidRPr="00317161" w:rsidRDefault="00317161" w:rsidP="00317161">
      <w:pPr>
        <w:spacing w:after="0" w:line="240" w:lineRule="auto"/>
        <w:outlineLvl w:val="0"/>
        <w:rPr>
          <w:rFonts w:ascii="Times New Roman" w:hAnsi="Times New Roman"/>
          <w:sz w:val="24"/>
          <w:szCs w:val="24"/>
        </w:rPr>
      </w:pPr>
    </w:p>
    <w:p w:rsidR="00317161" w:rsidRPr="00C90F1C" w:rsidRDefault="00317161" w:rsidP="00317161">
      <w:pPr>
        <w:spacing w:after="0" w:line="240" w:lineRule="auto"/>
        <w:jc w:val="center"/>
        <w:outlineLvl w:val="0"/>
        <w:rPr>
          <w:rFonts w:ascii="Times New Roman" w:hAnsi="Times New Roman"/>
          <w:sz w:val="28"/>
        </w:rPr>
      </w:pPr>
      <w:r w:rsidRPr="00C90F1C">
        <w:rPr>
          <w:rFonts w:ascii="Times New Roman" w:hAnsi="Times New Roman"/>
          <w:sz w:val="28"/>
        </w:rPr>
        <w:t xml:space="preserve">COLOURIMETRIC BASED DETECTION OF GUNSHOT RESIDUE ON GLOVES WORN DURING SHOOTING </w:t>
      </w:r>
    </w:p>
    <w:p w:rsidR="00317161" w:rsidRPr="00C90F1C" w:rsidRDefault="00317161" w:rsidP="00317161">
      <w:pPr>
        <w:spacing w:after="0" w:line="240" w:lineRule="auto"/>
        <w:jc w:val="center"/>
        <w:outlineLvl w:val="0"/>
        <w:rPr>
          <w:rFonts w:ascii="Times New Roman" w:hAnsi="Times New Roman"/>
          <w:b/>
          <w:sz w:val="24"/>
          <w:szCs w:val="20"/>
        </w:rPr>
      </w:pPr>
    </w:p>
    <w:p w:rsidR="00317161" w:rsidRPr="00600854" w:rsidRDefault="00317161" w:rsidP="00317161">
      <w:pPr>
        <w:spacing w:after="0" w:line="240" w:lineRule="auto"/>
        <w:jc w:val="center"/>
        <w:outlineLvl w:val="0"/>
        <w:rPr>
          <w:rFonts w:ascii="Times New Roman" w:hAnsi="Times New Roman"/>
          <w:sz w:val="24"/>
          <w:lang w:val="ms-MY"/>
        </w:rPr>
      </w:pPr>
      <w:r w:rsidRPr="00C90F1C">
        <w:rPr>
          <w:rFonts w:ascii="Times New Roman" w:hAnsi="Times New Roman"/>
          <w:sz w:val="24"/>
        </w:rPr>
        <w:t>(</w:t>
      </w:r>
      <w:r w:rsidRPr="00C90F1C">
        <w:rPr>
          <w:rFonts w:ascii="Times New Roman" w:hAnsi="Times New Roman"/>
          <w:sz w:val="24"/>
          <w:lang w:val="ms-MY"/>
        </w:rPr>
        <w:t xml:space="preserve">Pengesanan Sisa Tembakan Berasaskan Kolorimetrik pada Sarung Tangan </w:t>
      </w:r>
      <w:r>
        <w:rPr>
          <w:rFonts w:ascii="Times New Roman" w:hAnsi="Times New Roman"/>
          <w:sz w:val="24"/>
          <w:lang w:val="ms-MY"/>
        </w:rPr>
        <w:t xml:space="preserve">Semasa </w:t>
      </w:r>
      <w:r w:rsidRPr="00C90F1C">
        <w:rPr>
          <w:rFonts w:ascii="Times New Roman" w:hAnsi="Times New Roman"/>
          <w:sz w:val="24"/>
          <w:lang w:val="ms-MY"/>
        </w:rPr>
        <w:t>Menembak</w:t>
      </w:r>
      <w:r w:rsidRPr="00C90F1C">
        <w:rPr>
          <w:rFonts w:ascii="Times New Roman" w:hAnsi="Times New Roman"/>
          <w:sz w:val="24"/>
        </w:rPr>
        <w:t>)</w:t>
      </w:r>
    </w:p>
    <w:p w:rsidR="00317161" w:rsidRPr="00600854" w:rsidRDefault="00317161" w:rsidP="00317161">
      <w:pPr>
        <w:spacing w:after="0" w:line="240" w:lineRule="auto"/>
        <w:jc w:val="center"/>
        <w:outlineLvl w:val="0"/>
        <w:rPr>
          <w:rFonts w:ascii="Times New Roman" w:hAnsi="Times New Roman"/>
          <w:b/>
          <w:sz w:val="20"/>
          <w:szCs w:val="20"/>
        </w:rPr>
      </w:pPr>
    </w:p>
    <w:p w:rsidR="00317161" w:rsidRPr="00600854" w:rsidRDefault="00317161" w:rsidP="00317161">
      <w:pPr>
        <w:spacing w:after="0" w:line="240" w:lineRule="auto"/>
        <w:jc w:val="center"/>
        <w:outlineLvl w:val="0"/>
        <w:rPr>
          <w:rFonts w:ascii="Times New Roman" w:hAnsi="Times New Roman"/>
          <w:sz w:val="20"/>
          <w:szCs w:val="20"/>
          <w:vertAlign w:val="superscript"/>
        </w:rPr>
      </w:pPr>
      <w:r w:rsidRPr="00600854">
        <w:rPr>
          <w:rFonts w:ascii="Times New Roman" w:hAnsi="Times New Roman"/>
          <w:sz w:val="20"/>
          <w:szCs w:val="20"/>
        </w:rPr>
        <w:t>Azie Azyanti Mohd Rafae</w:t>
      </w:r>
      <w:r w:rsidRPr="00600854">
        <w:rPr>
          <w:rFonts w:ascii="Times New Roman" w:hAnsi="Times New Roman"/>
          <w:sz w:val="20"/>
          <w:szCs w:val="20"/>
          <w:vertAlign w:val="superscript"/>
        </w:rPr>
        <w:t>1</w:t>
      </w:r>
      <w:r w:rsidRPr="00600854">
        <w:rPr>
          <w:rFonts w:ascii="Times New Roman" w:hAnsi="Times New Roman"/>
          <w:sz w:val="20"/>
          <w:szCs w:val="20"/>
        </w:rPr>
        <w:t>, Saiful Fazamil Mohd Ali</w:t>
      </w:r>
      <w:r w:rsidRPr="00600854">
        <w:rPr>
          <w:rFonts w:ascii="Times New Roman" w:hAnsi="Times New Roman"/>
          <w:sz w:val="20"/>
          <w:szCs w:val="20"/>
          <w:vertAlign w:val="superscript"/>
        </w:rPr>
        <w:t>2</w:t>
      </w:r>
      <w:r w:rsidRPr="00600854">
        <w:rPr>
          <w:rFonts w:ascii="Times New Roman" w:hAnsi="Times New Roman"/>
          <w:sz w:val="20"/>
          <w:szCs w:val="20"/>
        </w:rPr>
        <w:t>, Ahmad Fahmi Lim Abdullah</w:t>
      </w:r>
      <w:r w:rsidRPr="00600854">
        <w:rPr>
          <w:rFonts w:ascii="Times New Roman" w:hAnsi="Times New Roman"/>
          <w:sz w:val="20"/>
          <w:szCs w:val="20"/>
          <w:vertAlign w:val="superscript"/>
        </w:rPr>
        <w:t>1</w:t>
      </w:r>
      <w:r w:rsidRPr="00600854">
        <w:rPr>
          <w:rFonts w:ascii="Times New Roman" w:hAnsi="Times New Roman"/>
          <w:sz w:val="20"/>
          <w:szCs w:val="20"/>
        </w:rPr>
        <w:t>, Kah Haw Chang</w:t>
      </w:r>
      <w:r w:rsidRPr="00600854">
        <w:rPr>
          <w:rFonts w:ascii="Times New Roman" w:hAnsi="Times New Roman"/>
          <w:sz w:val="20"/>
          <w:szCs w:val="20"/>
          <w:vertAlign w:val="superscript"/>
        </w:rPr>
        <w:t>1</w:t>
      </w:r>
      <w:r w:rsidRPr="00600854">
        <w:rPr>
          <w:rFonts w:ascii="Times New Roman" w:hAnsi="Times New Roman"/>
          <w:sz w:val="20"/>
          <w:szCs w:val="20"/>
        </w:rPr>
        <w:t>*</w:t>
      </w:r>
    </w:p>
    <w:p w:rsidR="00317161" w:rsidRPr="00317161" w:rsidRDefault="00317161" w:rsidP="00317161">
      <w:pPr>
        <w:spacing w:after="0" w:line="240" w:lineRule="auto"/>
        <w:jc w:val="center"/>
        <w:outlineLvl w:val="0"/>
        <w:rPr>
          <w:rFonts w:ascii="Times New Roman" w:hAnsi="Times New Roman"/>
          <w:b/>
          <w:sz w:val="20"/>
          <w:szCs w:val="20"/>
        </w:rPr>
      </w:pP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vertAlign w:val="superscript"/>
        </w:rPr>
        <w:t>1</w:t>
      </w:r>
      <w:r w:rsidRPr="00317161">
        <w:rPr>
          <w:rFonts w:ascii="Times New Roman" w:hAnsi="Times New Roman"/>
          <w:i/>
          <w:sz w:val="20"/>
          <w:szCs w:val="20"/>
        </w:rPr>
        <w:t xml:space="preserve">Forensic Science Programme, </w:t>
      </w: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rPr>
        <w:t xml:space="preserve">School of Health Sciences, </w:t>
      </w: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rPr>
        <w:t xml:space="preserve">Universiti Sains Malaysia, 16150 Kubang Kerian, Kelantan, Malaysia </w:t>
      </w: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vertAlign w:val="superscript"/>
        </w:rPr>
        <w:t>2</w:t>
      </w:r>
      <w:r w:rsidRPr="00317161">
        <w:rPr>
          <w:rFonts w:ascii="Times New Roman" w:hAnsi="Times New Roman"/>
          <w:i/>
          <w:sz w:val="20"/>
          <w:szCs w:val="20"/>
        </w:rPr>
        <w:t xml:space="preserve">Criminalistic Section, Forensic Division, </w:t>
      </w: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rPr>
        <w:t xml:space="preserve">Department of Chemistry, Jalan Sultan, 46661 Petaling Jaya, Malaysia </w:t>
      </w:r>
    </w:p>
    <w:p w:rsidR="00317161" w:rsidRPr="00317161" w:rsidRDefault="00317161" w:rsidP="00317161">
      <w:pPr>
        <w:spacing w:after="0" w:line="240" w:lineRule="auto"/>
        <w:jc w:val="center"/>
        <w:outlineLvl w:val="0"/>
        <w:rPr>
          <w:rFonts w:ascii="Times New Roman" w:hAnsi="Times New Roman"/>
          <w:b/>
          <w:sz w:val="20"/>
          <w:szCs w:val="20"/>
        </w:rPr>
      </w:pPr>
    </w:p>
    <w:p w:rsidR="00317161" w:rsidRPr="00317161" w:rsidRDefault="00317161" w:rsidP="00317161">
      <w:pPr>
        <w:spacing w:after="0" w:line="240" w:lineRule="auto"/>
        <w:jc w:val="center"/>
        <w:outlineLvl w:val="0"/>
        <w:rPr>
          <w:rFonts w:ascii="Times New Roman" w:hAnsi="Times New Roman"/>
          <w:i/>
          <w:sz w:val="20"/>
          <w:szCs w:val="20"/>
        </w:rPr>
      </w:pPr>
      <w:r w:rsidRPr="00317161">
        <w:rPr>
          <w:rFonts w:ascii="Times New Roman" w:hAnsi="Times New Roman"/>
          <w:i/>
          <w:sz w:val="20"/>
          <w:szCs w:val="20"/>
        </w:rPr>
        <w:t>*Corresponding author:  changkh@usm.my</w:t>
      </w:r>
    </w:p>
    <w:p w:rsidR="00317161" w:rsidRPr="00317161" w:rsidRDefault="00317161" w:rsidP="00317161">
      <w:pPr>
        <w:spacing w:after="0" w:line="240" w:lineRule="auto"/>
        <w:jc w:val="center"/>
        <w:rPr>
          <w:rFonts w:ascii="Times New Roman" w:hAnsi="Times New Roman"/>
          <w:noProof/>
          <w:sz w:val="20"/>
          <w:szCs w:val="20"/>
          <w:lang w:bidi="ar-SA"/>
        </w:rPr>
      </w:pPr>
    </w:p>
    <w:p w:rsidR="00317161" w:rsidRPr="00317161" w:rsidRDefault="00317161" w:rsidP="00317161">
      <w:pPr>
        <w:spacing w:after="0" w:line="240" w:lineRule="auto"/>
        <w:jc w:val="center"/>
        <w:rPr>
          <w:rFonts w:ascii="Times New Roman" w:hAnsi="Times New Roman"/>
          <w:noProof/>
          <w:sz w:val="20"/>
          <w:szCs w:val="20"/>
          <w:lang w:bidi="ar-SA"/>
        </w:rPr>
      </w:pPr>
    </w:p>
    <w:p w:rsidR="00317161" w:rsidRPr="00317161" w:rsidRDefault="00317161" w:rsidP="00317161">
      <w:pPr>
        <w:spacing w:after="0" w:line="240" w:lineRule="auto"/>
        <w:jc w:val="center"/>
        <w:rPr>
          <w:rFonts w:ascii="Times New Roman" w:hAnsi="Times New Roman"/>
          <w:noProof/>
          <w:sz w:val="20"/>
          <w:szCs w:val="20"/>
          <w:lang w:bidi="ar-SA"/>
        </w:rPr>
      </w:pPr>
      <w:r w:rsidRPr="00317161">
        <w:rPr>
          <w:rFonts w:ascii="Times New Roman" w:hAnsi="Times New Roman"/>
          <w:noProof/>
          <w:sz w:val="20"/>
          <w:szCs w:val="20"/>
          <w:lang w:bidi="ar-SA"/>
        </w:rPr>
        <w:t>Received: 5 February 2018; Accepted: 16 February 2019</w:t>
      </w:r>
    </w:p>
    <w:p w:rsidR="00317161" w:rsidRPr="00317161" w:rsidRDefault="00317161" w:rsidP="00317161">
      <w:pPr>
        <w:spacing w:after="0" w:line="240" w:lineRule="auto"/>
        <w:jc w:val="center"/>
        <w:rPr>
          <w:rFonts w:ascii="Times New Roman" w:hAnsi="Times New Roman"/>
          <w:noProof/>
          <w:sz w:val="20"/>
          <w:szCs w:val="20"/>
          <w:lang w:bidi="ar-SA"/>
        </w:rPr>
      </w:pPr>
    </w:p>
    <w:p w:rsidR="00317161" w:rsidRPr="00317161" w:rsidRDefault="00317161" w:rsidP="00317161">
      <w:pPr>
        <w:spacing w:after="0" w:line="240" w:lineRule="auto"/>
        <w:jc w:val="center"/>
        <w:rPr>
          <w:rFonts w:ascii="Times New Roman" w:hAnsi="Times New Roman"/>
          <w:noProof/>
          <w:sz w:val="20"/>
          <w:szCs w:val="20"/>
          <w:lang w:bidi="ar-SA"/>
        </w:rPr>
      </w:pPr>
    </w:p>
    <w:p w:rsidR="00317161" w:rsidRPr="00317161" w:rsidRDefault="00317161" w:rsidP="00317161">
      <w:pPr>
        <w:spacing w:after="0" w:line="240" w:lineRule="auto"/>
        <w:jc w:val="center"/>
        <w:rPr>
          <w:rFonts w:ascii="Times New Roman" w:hAnsi="Times New Roman"/>
          <w:b/>
          <w:noProof/>
          <w:sz w:val="20"/>
          <w:szCs w:val="20"/>
          <w:lang w:bidi="ar-SA"/>
        </w:rPr>
      </w:pPr>
      <w:r w:rsidRPr="00317161">
        <w:rPr>
          <w:rFonts w:ascii="Times New Roman" w:hAnsi="Times New Roman"/>
          <w:b/>
          <w:noProof/>
          <w:sz w:val="20"/>
          <w:szCs w:val="20"/>
          <w:lang w:bidi="ar-SA"/>
        </w:rPr>
        <w:t>Abstract</w:t>
      </w:r>
    </w:p>
    <w:p w:rsidR="00317161" w:rsidRPr="00317161" w:rsidRDefault="00317161" w:rsidP="00317161">
      <w:pPr>
        <w:spacing w:after="0" w:line="240" w:lineRule="auto"/>
        <w:jc w:val="both"/>
        <w:outlineLvl w:val="0"/>
        <w:rPr>
          <w:rFonts w:ascii="Times New Roman" w:hAnsi="Times New Roman"/>
          <w:sz w:val="20"/>
          <w:szCs w:val="20"/>
        </w:rPr>
      </w:pPr>
      <w:r w:rsidRPr="00317161">
        <w:rPr>
          <w:rFonts w:ascii="Times New Roman" w:hAnsi="Times New Roman"/>
          <w:sz w:val="20"/>
          <w:szCs w:val="20"/>
        </w:rPr>
        <w:t>Determining the shooter is an important element during investigation of firearm related offences, particularly through the detection of gunshot residue (GSR) as forensic evidence on shooter’s hand. However, such detection could be restrained if it is obstructed by the wearing of gloves by a shooter. Hence, it is worth investigating the presence of GSR on gloves, aiming to suggest an individual’s contact with a weapon. In this study, Modified Griess Reagent (MGT) commonly available in forensic laboratory was utilised to screen GSR on individual gloves of different materials worn by a shooter during a shooting training session. The experimental results revealed that both the palm and back of gloves equally allows the detection of GSR by MGT (</w:t>
      </w:r>
      <w:r w:rsidRPr="00317161">
        <w:rPr>
          <w:rFonts w:ascii="Times New Roman" w:hAnsi="Times New Roman"/>
          <w:i/>
          <w:sz w:val="20"/>
          <w:szCs w:val="20"/>
        </w:rPr>
        <w:t xml:space="preserve">p </w:t>
      </w:r>
      <w:r w:rsidRPr="00317161">
        <w:rPr>
          <w:rFonts w:ascii="Times New Roman" w:hAnsi="Times New Roman"/>
          <w:sz w:val="20"/>
          <w:szCs w:val="20"/>
        </w:rPr>
        <w:t>= 0.083). No statistically significant association was evident between the types of gloves and positive indication of MGT (</w:t>
      </w:r>
      <w:r w:rsidRPr="00317161">
        <w:rPr>
          <w:rFonts w:ascii="Times New Roman" w:hAnsi="Times New Roman"/>
          <w:i/>
          <w:sz w:val="20"/>
          <w:szCs w:val="20"/>
        </w:rPr>
        <w:t xml:space="preserve">p </w:t>
      </w:r>
      <w:r w:rsidRPr="00317161">
        <w:rPr>
          <w:rFonts w:ascii="Times New Roman" w:hAnsi="Times New Roman"/>
          <w:sz w:val="20"/>
          <w:szCs w:val="20"/>
        </w:rPr>
        <w:t>= 0.122). The types of firearms, neither revolver nor semi-automatic pistol showed significant association with the detection of GSR on the gloves (</w:t>
      </w:r>
      <w:r w:rsidRPr="00317161">
        <w:rPr>
          <w:rFonts w:ascii="Times New Roman" w:hAnsi="Times New Roman"/>
          <w:i/>
          <w:sz w:val="20"/>
          <w:szCs w:val="20"/>
        </w:rPr>
        <w:t xml:space="preserve">p </w:t>
      </w:r>
      <w:r w:rsidRPr="00317161">
        <w:rPr>
          <w:rFonts w:ascii="Times New Roman" w:hAnsi="Times New Roman"/>
          <w:sz w:val="20"/>
          <w:szCs w:val="20"/>
        </w:rPr>
        <w:t>= 0.248). When two-hand shooting was performed, glove samples worn on left and right hands gave almost similar testing results (</w:t>
      </w:r>
      <w:r w:rsidRPr="00317161">
        <w:rPr>
          <w:rFonts w:ascii="Times New Roman" w:hAnsi="Times New Roman"/>
          <w:i/>
          <w:sz w:val="20"/>
          <w:szCs w:val="20"/>
        </w:rPr>
        <w:t xml:space="preserve">p </w:t>
      </w:r>
      <w:r w:rsidRPr="00317161">
        <w:rPr>
          <w:rFonts w:ascii="Times New Roman" w:hAnsi="Times New Roman"/>
          <w:sz w:val="20"/>
          <w:szCs w:val="20"/>
        </w:rPr>
        <w:t xml:space="preserve">= 0.626). Although the presence of GSR on a glove after a shooting could be relatively low, the study has demonstrated that applying MGT, a simple test could assist crime scene investigation in determining the presence of GSR, in cases when gloves were used. </w:t>
      </w:r>
    </w:p>
    <w:p w:rsidR="00317161" w:rsidRPr="00317161" w:rsidRDefault="00317161" w:rsidP="00317161">
      <w:pPr>
        <w:spacing w:after="0" w:line="240" w:lineRule="auto"/>
        <w:jc w:val="both"/>
        <w:outlineLvl w:val="0"/>
        <w:rPr>
          <w:rFonts w:ascii="Times New Roman" w:hAnsi="Times New Roman"/>
          <w:sz w:val="20"/>
          <w:szCs w:val="20"/>
        </w:rPr>
      </w:pPr>
    </w:p>
    <w:p w:rsidR="00317161" w:rsidRPr="00317161" w:rsidRDefault="00317161" w:rsidP="00317161">
      <w:pPr>
        <w:spacing w:after="0" w:line="240" w:lineRule="auto"/>
        <w:jc w:val="both"/>
        <w:outlineLvl w:val="0"/>
        <w:rPr>
          <w:rFonts w:ascii="Times New Roman" w:hAnsi="Times New Roman"/>
          <w:sz w:val="20"/>
          <w:szCs w:val="20"/>
        </w:rPr>
      </w:pPr>
      <w:r w:rsidRPr="00317161">
        <w:rPr>
          <w:rFonts w:ascii="Times New Roman" w:hAnsi="Times New Roman"/>
          <w:b/>
          <w:sz w:val="20"/>
          <w:szCs w:val="20"/>
        </w:rPr>
        <w:t>Keywords:</w:t>
      </w:r>
      <w:r w:rsidRPr="00317161">
        <w:rPr>
          <w:rFonts w:ascii="Times New Roman" w:hAnsi="Times New Roman"/>
          <w:sz w:val="20"/>
          <w:szCs w:val="20"/>
        </w:rPr>
        <w:t xml:space="preserve">  forensic science, gunshot residue, colourimetric test, Modified Griess Reagent, glove</w:t>
      </w:r>
    </w:p>
    <w:p w:rsidR="00317161" w:rsidRPr="00317161" w:rsidRDefault="00317161" w:rsidP="00317161">
      <w:pPr>
        <w:spacing w:after="0" w:line="240" w:lineRule="auto"/>
        <w:jc w:val="center"/>
        <w:outlineLvl w:val="0"/>
        <w:rPr>
          <w:rFonts w:ascii="Times New Roman" w:hAnsi="Times New Roman"/>
          <w:b/>
          <w:sz w:val="20"/>
          <w:szCs w:val="20"/>
        </w:rPr>
      </w:pPr>
    </w:p>
    <w:p w:rsidR="00317161" w:rsidRPr="00317161" w:rsidRDefault="00317161" w:rsidP="00317161">
      <w:pPr>
        <w:spacing w:after="0" w:line="240" w:lineRule="auto"/>
        <w:jc w:val="center"/>
        <w:outlineLvl w:val="0"/>
        <w:rPr>
          <w:rFonts w:ascii="Times New Roman" w:hAnsi="Times New Roman"/>
          <w:b/>
          <w:sz w:val="20"/>
          <w:szCs w:val="20"/>
          <w:lang w:val="ms-MY"/>
        </w:rPr>
      </w:pPr>
      <w:r w:rsidRPr="00317161">
        <w:rPr>
          <w:rFonts w:ascii="Times New Roman" w:hAnsi="Times New Roman"/>
          <w:b/>
          <w:sz w:val="20"/>
          <w:szCs w:val="20"/>
          <w:lang w:val="ms-MY"/>
        </w:rPr>
        <w:t>Abstrak</w:t>
      </w:r>
    </w:p>
    <w:p w:rsidR="00317161" w:rsidRPr="00317161" w:rsidRDefault="00317161" w:rsidP="00317161">
      <w:pPr>
        <w:spacing w:after="0" w:line="240" w:lineRule="auto"/>
        <w:jc w:val="both"/>
        <w:outlineLvl w:val="0"/>
        <w:rPr>
          <w:rFonts w:ascii="Times New Roman" w:hAnsi="Times New Roman"/>
          <w:sz w:val="20"/>
          <w:szCs w:val="20"/>
          <w:lang w:val="ms-MY"/>
        </w:rPr>
      </w:pPr>
      <w:r w:rsidRPr="00317161">
        <w:rPr>
          <w:rFonts w:ascii="Times New Roman" w:hAnsi="Times New Roman"/>
          <w:sz w:val="20"/>
          <w:szCs w:val="20"/>
          <w:lang w:val="ms-MY"/>
        </w:rPr>
        <w:t>Pengenalpastian seseorang penembak adalah unsur yang penting ketika penyiasatan kesalahan yang berkaitan dengan senjata api terutamanya melalui pengesanan sisa tembakan (GSR) sebagai bukti forensik pada tangan penembak. Walau bagaimanapun, pengesanan sedemikian boleh dihalang sekiranya bahan-bahan tersebut terhalang oleh pemakaian sarung tangan oleh seseorang penembak. Justeru, adalah bernilai untuk menyiasat kehadiran GSR pada sarung tangan yang bertujuan untuk mencadangkan perhubungan seseorang individu dengan suatu senjata api. Dalam kajian ini, reagen Griess terubahsuai (MGT) yang lazimnya boleh didapati di makmal forensik telah digunakan untuk menyaring GSR pada setiap sarung tangan yang diperbuat daripada pelbagai bahan yang berbeza dan dipakai oleh penembak ketik</w:t>
      </w:r>
      <w:r w:rsidR="00BB3497">
        <w:rPr>
          <w:rFonts w:ascii="Times New Roman" w:hAnsi="Times New Roman"/>
          <w:sz w:val="20"/>
          <w:szCs w:val="20"/>
          <w:lang w:val="ms-MY"/>
        </w:rPr>
        <w:t xml:space="preserve">a suatu sesi latihan tembakan. </w:t>
      </w:r>
      <w:bookmarkStart w:id="0" w:name="_GoBack"/>
      <w:bookmarkEnd w:id="0"/>
      <w:r w:rsidRPr="00317161">
        <w:rPr>
          <w:rFonts w:ascii="Times New Roman" w:hAnsi="Times New Roman"/>
          <w:sz w:val="20"/>
          <w:szCs w:val="20"/>
          <w:lang w:val="ms-MY"/>
        </w:rPr>
        <w:t>Keputusan eksperimen menunjukkan bahawa kedua-dua permukaan tapak and belakang sarung tangan sama-sama membenarkan pengesanan GSR oleh MGT (</w:t>
      </w:r>
      <w:r w:rsidRPr="00317161">
        <w:rPr>
          <w:rFonts w:ascii="Times New Roman" w:hAnsi="Times New Roman"/>
          <w:i/>
          <w:sz w:val="20"/>
          <w:szCs w:val="20"/>
          <w:lang w:val="ms-MY"/>
        </w:rPr>
        <w:t xml:space="preserve">p </w:t>
      </w:r>
      <w:r w:rsidRPr="00317161">
        <w:rPr>
          <w:rFonts w:ascii="Times New Roman" w:hAnsi="Times New Roman"/>
          <w:sz w:val="20"/>
          <w:szCs w:val="20"/>
          <w:lang w:val="ms-MY"/>
        </w:rPr>
        <w:t>= 0.083). Tiada perkiatan statistik bererti terbukti antara jenis sarung tangan dan penentuan positif MGT (</w:t>
      </w:r>
      <w:r w:rsidRPr="00317161">
        <w:rPr>
          <w:rFonts w:ascii="Times New Roman" w:hAnsi="Times New Roman"/>
          <w:i/>
          <w:sz w:val="20"/>
          <w:szCs w:val="20"/>
          <w:lang w:val="ms-MY"/>
        </w:rPr>
        <w:t xml:space="preserve">p </w:t>
      </w:r>
      <w:r w:rsidRPr="00317161">
        <w:rPr>
          <w:rFonts w:ascii="Times New Roman" w:hAnsi="Times New Roman"/>
          <w:sz w:val="20"/>
          <w:szCs w:val="20"/>
          <w:lang w:val="ms-MY"/>
        </w:rPr>
        <w:t xml:space="preserve">= 0.122). </w:t>
      </w:r>
      <w:r w:rsidRPr="00317161">
        <w:rPr>
          <w:rFonts w:ascii="Times New Roman" w:hAnsi="Times New Roman"/>
          <w:sz w:val="20"/>
          <w:szCs w:val="20"/>
          <w:lang w:val="ms-MY"/>
        </w:rPr>
        <w:lastRenderedPageBreak/>
        <w:t>Jenis senjata sama ada revolver atau pistol separa automatik tidak menunjukkan perkaitan bererti dengan pengesanan GSR pada sarung tangan (</w:t>
      </w:r>
      <w:r w:rsidRPr="00317161">
        <w:rPr>
          <w:rFonts w:ascii="Times New Roman" w:hAnsi="Times New Roman"/>
          <w:i/>
          <w:sz w:val="20"/>
          <w:szCs w:val="20"/>
          <w:lang w:val="ms-MY"/>
        </w:rPr>
        <w:t xml:space="preserve">p </w:t>
      </w:r>
      <w:r w:rsidRPr="00317161">
        <w:rPr>
          <w:rFonts w:ascii="Times New Roman" w:hAnsi="Times New Roman"/>
          <w:sz w:val="20"/>
          <w:szCs w:val="20"/>
          <w:lang w:val="ms-MY"/>
        </w:rPr>
        <w:t>= 0.248). Apabila penembakan dua belah tangan dijalankan, sampel sarung tangan dipakai pada tangan kiri dan tangan kanan memberikan keputusan ujian yang hampir sama (</w:t>
      </w:r>
      <w:r w:rsidRPr="00317161">
        <w:rPr>
          <w:rFonts w:ascii="Times New Roman" w:hAnsi="Times New Roman"/>
          <w:i/>
          <w:sz w:val="20"/>
          <w:szCs w:val="20"/>
          <w:lang w:val="ms-MY"/>
        </w:rPr>
        <w:t xml:space="preserve">p </w:t>
      </w:r>
      <w:r w:rsidRPr="00317161">
        <w:rPr>
          <w:rFonts w:ascii="Times New Roman" w:hAnsi="Times New Roman"/>
          <w:sz w:val="20"/>
          <w:szCs w:val="20"/>
          <w:lang w:val="ms-MY"/>
        </w:rPr>
        <w:t>= 0.626). Walaupun kehadiran GSR pada suatu sarung tangan selepas suatu tembakan berkemungkinan agak rendah, kajian ini telah menunjukkan bahawa penggunaan MGT yang merupakan suatu ujian yang mudah dapat membantu penyiasatan tempat jenayah dalam penentuan kehadiran GSR, terutamanya dalam kes-kes apabila sarung tangan telah digunakan.</w:t>
      </w:r>
    </w:p>
    <w:p w:rsidR="00317161" w:rsidRPr="00317161" w:rsidRDefault="00317161" w:rsidP="00317161">
      <w:pPr>
        <w:spacing w:after="0" w:line="240" w:lineRule="auto"/>
        <w:jc w:val="both"/>
        <w:outlineLvl w:val="0"/>
        <w:rPr>
          <w:rFonts w:ascii="Times New Roman" w:hAnsi="Times New Roman"/>
          <w:sz w:val="20"/>
          <w:szCs w:val="20"/>
          <w:lang w:val="ms-MY"/>
        </w:rPr>
      </w:pPr>
    </w:p>
    <w:p w:rsidR="009C0A03" w:rsidRDefault="00317161" w:rsidP="00317161">
      <w:pPr>
        <w:spacing w:after="0" w:line="240" w:lineRule="auto"/>
        <w:jc w:val="both"/>
        <w:outlineLvl w:val="0"/>
        <w:rPr>
          <w:rFonts w:ascii="Times New Roman" w:hAnsi="Times New Roman"/>
          <w:sz w:val="20"/>
          <w:szCs w:val="20"/>
          <w:lang w:val="ms-MY"/>
        </w:rPr>
      </w:pPr>
      <w:r w:rsidRPr="00317161">
        <w:rPr>
          <w:rFonts w:ascii="Times New Roman" w:hAnsi="Times New Roman"/>
          <w:b/>
          <w:sz w:val="20"/>
          <w:szCs w:val="20"/>
          <w:lang w:val="ms-MY"/>
        </w:rPr>
        <w:t xml:space="preserve">Kata kunci:  </w:t>
      </w:r>
      <w:r w:rsidRPr="00317161">
        <w:rPr>
          <w:rFonts w:ascii="Times New Roman" w:hAnsi="Times New Roman"/>
          <w:sz w:val="20"/>
          <w:szCs w:val="20"/>
          <w:lang w:val="ms-MY"/>
        </w:rPr>
        <w:t>sains forensik, sisa tembakan, ujian kolorimetrik, reagen Griess terubahsuai, sarung tangan</w:t>
      </w:r>
    </w:p>
    <w:p w:rsidR="00317161" w:rsidRDefault="00317161" w:rsidP="00317161">
      <w:pPr>
        <w:spacing w:after="0" w:line="240" w:lineRule="auto"/>
        <w:jc w:val="both"/>
        <w:outlineLvl w:val="0"/>
        <w:rPr>
          <w:rFonts w:ascii="Times New Roman" w:hAnsi="Times New Roman"/>
          <w:sz w:val="20"/>
          <w:szCs w:val="20"/>
          <w:lang w:val="ms-MY"/>
        </w:rPr>
      </w:pPr>
    </w:p>
    <w:p w:rsidR="00317161" w:rsidRPr="00F447A7" w:rsidRDefault="00317161" w:rsidP="0031716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Chang, K. H., Jayaprakash, P. T., Yew, C. H. and Abdullah, A. F. L. (2013). Gunshot residue analysis and its evidential values: A review. </w:t>
      </w:r>
      <w:r w:rsidRPr="00954060">
        <w:rPr>
          <w:rFonts w:ascii="Times New Roman" w:hAnsi="Times New Roman"/>
          <w:i/>
          <w:sz w:val="20"/>
          <w:szCs w:val="20"/>
        </w:rPr>
        <w:t>Australian Journal of Forensic Sciences</w:t>
      </w:r>
      <w:r w:rsidRPr="00954060">
        <w:rPr>
          <w:rFonts w:ascii="Times New Roman" w:hAnsi="Times New Roman"/>
          <w:sz w:val="20"/>
          <w:szCs w:val="20"/>
        </w:rPr>
        <w:t xml:space="preserve">, 45(1): 3 – 23.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Costa, R. A., Motta, L. C., Destefani, C. A., Rodrigues, R. R. T., do Espirito Santo, K. S., Aquije, G. M. F. V., Boldrini, R., Athayde, G. P. B., Carneiro, M. T. W. D. and Ramao, W. (2016). Gunshot residue (GSR) analysis of clean range ammunition using SEM/EDX, colorimetric test and ICP-MS: A comparative approach between the analytical techniques. </w:t>
      </w:r>
      <w:r w:rsidRPr="00954060">
        <w:rPr>
          <w:rFonts w:ascii="Times New Roman" w:hAnsi="Times New Roman"/>
          <w:i/>
          <w:sz w:val="20"/>
          <w:szCs w:val="20"/>
        </w:rPr>
        <w:t>Microchemical Journal</w:t>
      </w:r>
      <w:r w:rsidRPr="00954060">
        <w:rPr>
          <w:rFonts w:ascii="Times New Roman" w:hAnsi="Times New Roman"/>
          <w:sz w:val="20"/>
          <w:szCs w:val="20"/>
        </w:rPr>
        <w:t xml:space="preserve">, 129: 339 – 347.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Dalby, O., Butler, D. and Birkett, J. W. (2010). Analysis of gunshot residue and associated materials – A review. </w:t>
      </w:r>
      <w:r w:rsidRPr="00954060">
        <w:rPr>
          <w:rFonts w:ascii="Times New Roman" w:hAnsi="Times New Roman"/>
          <w:i/>
          <w:sz w:val="20"/>
          <w:szCs w:val="20"/>
        </w:rPr>
        <w:t>Journal of Forensic Sciences</w:t>
      </w:r>
      <w:r w:rsidRPr="00954060">
        <w:rPr>
          <w:rFonts w:ascii="Times New Roman" w:hAnsi="Times New Roman"/>
          <w:sz w:val="20"/>
          <w:szCs w:val="20"/>
        </w:rPr>
        <w:t>, 55(4): 924 – 943.</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Barnum, C. A. and Klasey, D. R. (1997). Factors affecting the recovery of latent prints on firearms. </w:t>
      </w:r>
      <w:r w:rsidRPr="00954060">
        <w:rPr>
          <w:rFonts w:ascii="Times New Roman" w:hAnsi="Times New Roman"/>
          <w:i/>
          <w:sz w:val="20"/>
          <w:szCs w:val="20"/>
        </w:rPr>
        <w:t>Journal of Forensic Identification</w:t>
      </w:r>
      <w:r w:rsidRPr="00954060">
        <w:rPr>
          <w:rFonts w:ascii="Times New Roman" w:hAnsi="Times New Roman"/>
          <w:sz w:val="20"/>
          <w:szCs w:val="20"/>
        </w:rPr>
        <w:t xml:space="preserve">, 47(2): 141 – 149.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Amata, B., Aprea, G. M., Chiuri, A. and Zampa, F. (2015). Fingerprint on Trigger: A real case. </w:t>
      </w:r>
      <w:r w:rsidRPr="00954060">
        <w:rPr>
          <w:rFonts w:ascii="Times New Roman" w:hAnsi="Times New Roman"/>
          <w:i/>
          <w:sz w:val="20"/>
          <w:szCs w:val="20"/>
        </w:rPr>
        <w:t>Forensic Science International</w:t>
      </w:r>
      <w:r w:rsidRPr="00954060">
        <w:rPr>
          <w:rFonts w:ascii="Times New Roman" w:hAnsi="Times New Roman"/>
          <w:sz w:val="20"/>
          <w:szCs w:val="20"/>
        </w:rPr>
        <w:t xml:space="preserve">, 253: e25 – e27.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Polley, D., Mickiewicz, P., Vaughn, M., Miller, T., Warburton, R., Komonski, D., Kantautas, C., Reid, B., Frappier, R. and Newman, J. (2006). An investigation of DNA recovery from firearms and cartridge cases. </w:t>
      </w:r>
      <w:r w:rsidRPr="00954060">
        <w:rPr>
          <w:rFonts w:ascii="Times New Roman" w:hAnsi="Times New Roman"/>
          <w:i/>
          <w:sz w:val="20"/>
          <w:szCs w:val="20"/>
        </w:rPr>
        <w:t>Canadian Society of Forensic Science Journal</w:t>
      </w:r>
      <w:r w:rsidRPr="00954060">
        <w:rPr>
          <w:rFonts w:ascii="Times New Roman" w:hAnsi="Times New Roman"/>
          <w:sz w:val="20"/>
          <w:szCs w:val="20"/>
        </w:rPr>
        <w:t xml:space="preserve">, 39(4): 217 – 228.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Bille, T. W. (2007). Guns and the DNA left behind. Gun violence prosecution program. Virginia: National District Attorneys Association. </w:t>
      </w:r>
    </w:p>
    <w:p w:rsidR="00317161" w:rsidRPr="00954060" w:rsidRDefault="00317161" w:rsidP="00317161">
      <w:pPr>
        <w:pStyle w:val="ListParagraph"/>
        <w:widowControl w:val="0"/>
        <w:numPr>
          <w:ilvl w:val="0"/>
          <w:numId w:val="1"/>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Richert, N. J. (2011). Swabbing firearm for handler’s DNA. </w:t>
      </w:r>
      <w:r w:rsidRPr="00954060">
        <w:rPr>
          <w:rFonts w:ascii="Times New Roman" w:hAnsi="Times New Roman"/>
          <w:i/>
          <w:sz w:val="20"/>
          <w:szCs w:val="20"/>
        </w:rPr>
        <w:t>Journal of Forensic Sciences</w:t>
      </w:r>
      <w:r w:rsidRPr="00954060">
        <w:rPr>
          <w:rFonts w:ascii="Times New Roman" w:hAnsi="Times New Roman"/>
          <w:sz w:val="20"/>
          <w:szCs w:val="20"/>
        </w:rPr>
        <w:t>, 56(4): 972 –</w:t>
      </w:r>
      <w:r>
        <w:rPr>
          <w:rFonts w:ascii="Times New Roman" w:hAnsi="Times New Roman"/>
          <w:sz w:val="20"/>
          <w:szCs w:val="20"/>
        </w:rPr>
        <w:t xml:space="preserve"> </w:t>
      </w:r>
      <w:r w:rsidRPr="00954060">
        <w:rPr>
          <w:rFonts w:ascii="Times New Roman" w:hAnsi="Times New Roman"/>
          <w:sz w:val="20"/>
          <w:szCs w:val="20"/>
        </w:rPr>
        <w:t>975.</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9.</w:t>
      </w:r>
      <w:r w:rsidRPr="00954060">
        <w:rPr>
          <w:rFonts w:ascii="Times New Roman" w:hAnsi="Times New Roman"/>
          <w:sz w:val="20"/>
          <w:szCs w:val="20"/>
        </w:rPr>
        <w:tab/>
        <w:t xml:space="preserve">Nunn, S. (2013). Touch DNA collection versus firearm fingerprinting: Comparing evidence production and identification outcome. </w:t>
      </w:r>
      <w:r w:rsidRPr="00954060">
        <w:rPr>
          <w:rFonts w:ascii="Times New Roman" w:hAnsi="Times New Roman"/>
          <w:i/>
          <w:sz w:val="20"/>
          <w:szCs w:val="20"/>
        </w:rPr>
        <w:t>Journal of Forensic Sciences</w:t>
      </w:r>
      <w:r w:rsidRPr="00954060">
        <w:rPr>
          <w:rFonts w:ascii="Times New Roman" w:hAnsi="Times New Roman"/>
          <w:sz w:val="20"/>
          <w:szCs w:val="20"/>
        </w:rPr>
        <w:t xml:space="preserve">, 58 (3): 601 – 608. </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10.</w:t>
      </w:r>
      <w:r w:rsidRPr="00954060">
        <w:rPr>
          <w:rFonts w:ascii="Times New Roman" w:hAnsi="Times New Roman"/>
          <w:sz w:val="20"/>
          <w:szCs w:val="20"/>
        </w:rPr>
        <w:tab/>
        <w:t>ASTM (2008). Standard guide for gunshot residue analysis by scanning electron microscopy/energy dispersive X-ray spectrometry E1588-08. Pennsylvania: American Society for Testing and Materials International.</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11.</w:t>
      </w:r>
      <w:r w:rsidRPr="00954060">
        <w:rPr>
          <w:rFonts w:ascii="Times New Roman" w:hAnsi="Times New Roman"/>
          <w:sz w:val="20"/>
          <w:szCs w:val="20"/>
        </w:rPr>
        <w:tab/>
        <w:t xml:space="preserve">Goudsmits, E., Sharples, G. P. and Birkett, J. W. (2015). Recent trends in organic gunshot residues analysis. </w:t>
      </w:r>
      <w:r w:rsidRPr="00954060">
        <w:rPr>
          <w:rFonts w:ascii="Times New Roman" w:hAnsi="Times New Roman"/>
          <w:i/>
          <w:sz w:val="20"/>
          <w:szCs w:val="20"/>
        </w:rPr>
        <w:t>Trends in Analytical Chemistry</w:t>
      </w:r>
      <w:r w:rsidRPr="00954060">
        <w:rPr>
          <w:rFonts w:ascii="Times New Roman" w:hAnsi="Times New Roman"/>
          <w:sz w:val="20"/>
          <w:szCs w:val="20"/>
        </w:rPr>
        <w:t xml:space="preserve">, 74: 46 – 57. </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 xml:space="preserve">12. </w:t>
      </w:r>
      <w:r w:rsidRPr="00954060">
        <w:rPr>
          <w:rFonts w:ascii="Times New Roman" w:hAnsi="Times New Roman"/>
          <w:sz w:val="20"/>
          <w:szCs w:val="20"/>
        </w:rPr>
        <w:tab/>
        <w:t xml:space="preserve">Zeichner, A. and Glattstein, B. (1986). Improved reagents for firing distance determination. </w:t>
      </w:r>
      <w:r w:rsidRPr="00954060">
        <w:rPr>
          <w:rFonts w:ascii="Times New Roman" w:hAnsi="Times New Roman"/>
          <w:i/>
          <w:sz w:val="20"/>
          <w:szCs w:val="20"/>
        </w:rPr>
        <w:t xml:space="preserve">Journal of Energetic Materials, </w:t>
      </w:r>
      <w:r w:rsidRPr="00954060">
        <w:rPr>
          <w:rFonts w:ascii="Times New Roman" w:hAnsi="Times New Roman"/>
          <w:sz w:val="20"/>
          <w:szCs w:val="20"/>
        </w:rPr>
        <w:t xml:space="preserve">4(1): 187 – 197. </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13.</w:t>
      </w:r>
      <w:r w:rsidRPr="00954060">
        <w:rPr>
          <w:rFonts w:ascii="Times New Roman" w:hAnsi="Times New Roman"/>
          <w:sz w:val="20"/>
          <w:szCs w:val="20"/>
        </w:rPr>
        <w:tab/>
        <w:t xml:space="preserve">Glattstein, B., Vinokurov, A., Levin, N. and Zeichner, A. (2000). Improved method for shooting distance estimation. Part 1. bullet holes in clothing items </w:t>
      </w:r>
      <w:r w:rsidRPr="00954060">
        <w:rPr>
          <w:rFonts w:ascii="Times New Roman" w:hAnsi="Times New Roman"/>
          <w:i/>
          <w:sz w:val="20"/>
          <w:szCs w:val="20"/>
        </w:rPr>
        <w:t>Journal of Forensic Sciences</w:t>
      </w:r>
      <w:r w:rsidRPr="00954060">
        <w:rPr>
          <w:rFonts w:ascii="Times New Roman" w:hAnsi="Times New Roman"/>
          <w:sz w:val="20"/>
          <w:szCs w:val="20"/>
        </w:rPr>
        <w:t xml:space="preserve">, 45(4): 80 – 806. </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14.</w:t>
      </w:r>
      <w:r w:rsidRPr="00954060">
        <w:rPr>
          <w:rFonts w:ascii="Times New Roman" w:hAnsi="Times New Roman"/>
          <w:sz w:val="20"/>
          <w:szCs w:val="20"/>
        </w:rPr>
        <w:tab/>
        <w:t xml:space="preserve">Dillon, J. H. (1990). A protocol for gunshot examination in muzzle to target distance determination. </w:t>
      </w:r>
      <w:r w:rsidRPr="00954060">
        <w:rPr>
          <w:rFonts w:ascii="Times New Roman" w:hAnsi="Times New Roman"/>
          <w:i/>
          <w:sz w:val="20"/>
          <w:szCs w:val="20"/>
        </w:rPr>
        <w:t>AFTE Journal</w:t>
      </w:r>
      <w:r w:rsidRPr="00954060">
        <w:rPr>
          <w:rFonts w:ascii="Times New Roman" w:hAnsi="Times New Roman"/>
          <w:sz w:val="20"/>
          <w:szCs w:val="20"/>
        </w:rPr>
        <w:t xml:space="preserve">, 22(3): 257 – 274. </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15.</w:t>
      </w:r>
      <w:r w:rsidRPr="00954060">
        <w:rPr>
          <w:rFonts w:ascii="Times New Roman" w:hAnsi="Times New Roman"/>
          <w:sz w:val="20"/>
          <w:szCs w:val="20"/>
        </w:rPr>
        <w:tab/>
        <w:t xml:space="preserve">Dillon, J. H. (1990). The modified Griess test: A chemically specific chromophoric test for nitrite compounds in gunshot residues. </w:t>
      </w:r>
      <w:r w:rsidRPr="00954060">
        <w:rPr>
          <w:rFonts w:ascii="Times New Roman" w:hAnsi="Times New Roman"/>
          <w:i/>
          <w:sz w:val="20"/>
          <w:szCs w:val="20"/>
        </w:rPr>
        <w:t>AFTE Journal</w:t>
      </w:r>
      <w:r w:rsidRPr="00954060">
        <w:rPr>
          <w:rFonts w:ascii="Times New Roman" w:hAnsi="Times New Roman"/>
          <w:sz w:val="20"/>
          <w:szCs w:val="20"/>
        </w:rPr>
        <w:t>, 22(3): 243 – 250.</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16.</w:t>
      </w:r>
      <w:r w:rsidRPr="00954060">
        <w:rPr>
          <w:rFonts w:ascii="Times New Roman" w:hAnsi="Times New Roman"/>
          <w:sz w:val="20"/>
          <w:szCs w:val="20"/>
        </w:rPr>
        <w:tab/>
        <w:t xml:space="preserve">Lau, L. (2007). Modified Griess test as part of the examination protocol in shooting range determination. </w:t>
      </w:r>
      <w:r w:rsidRPr="00954060">
        <w:rPr>
          <w:rFonts w:ascii="Times New Roman" w:hAnsi="Times New Roman"/>
          <w:i/>
          <w:sz w:val="20"/>
          <w:szCs w:val="20"/>
        </w:rPr>
        <w:t>AFTE Journal</w:t>
      </w:r>
      <w:r w:rsidRPr="00954060">
        <w:rPr>
          <w:rFonts w:ascii="Times New Roman" w:hAnsi="Times New Roman"/>
          <w:sz w:val="20"/>
          <w:szCs w:val="20"/>
        </w:rPr>
        <w:t>, 39(4): 281 – 287.</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17.</w:t>
      </w:r>
      <w:r w:rsidRPr="00954060">
        <w:rPr>
          <w:rFonts w:ascii="Times New Roman" w:hAnsi="Times New Roman"/>
          <w:sz w:val="20"/>
          <w:szCs w:val="20"/>
        </w:rPr>
        <w:tab/>
        <w:t xml:space="preserve">Chang, K. H. and Abdullah, A. F. L. (2012). Macroscopic examination of morphological features of propellant powders prevalence in Malaysia. </w:t>
      </w:r>
      <w:r w:rsidRPr="00954060">
        <w:rPr>
          <w:rFonts w:ascii="Times New Roman" w:hAnsi="Times New Roman"/>
          <w:i/>
          <w:sz w:val="20"/>
          <w:szCs w:val="20"/>
        </w:rPr>
        <w:t>Malaysian Journal of Forensic Sciences</w:t>
      </w:r>
      <w:r w:rsidRPr="00954060">
        <w:rPr>
          <w:rFonts w:ascii="Times New Roman" w:hAnsi="Times New Roman"/>
          <w:sz w:val="20"/>
          <w:szCs w:val="20"/>
        </w:rPr>
        <w:t>, 3(1): 46 – 51.</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18.</w:t>
      </w:r>
      <w:r w:rsidRPr="00954060">
        <w:rPr>
          <w:rFonts w:ascii="Times New Roman" w:hAnsi="Times New Roman"/>
          <w:sz w:val="20"/>
          <w:szCs w:val="20"/>
        </w:rPr>
        <w:tab/>
        <w:t xml:space="preserve">Jalanti, T., Henchoz, P., Gallusser, A. and Bonfanti, M. S. (1999). The persistence of gunshot residue on shooters’ hands. </w:t>
      </w:r>
      <w:r w:rsidRPr="00954060">
        <w:rPr>
          <w:rFonts w:ascii="Times New Roman" w:hAnsi="Times New Roman"/>
          <w:i/>
          <w:sz w:val="20"/>
          <w:szCs w:val="20"/>
        </w:rPr>
        <w:t>Science &amp; Justice</w:t>
      </w:r>
      <w:r w:rsidRPr="00954060">
        <w:rPr>
          <w:rFonts w:ascii="Times New Roman" w:hAnsi="Times New Roman"/>
          <w:sz w:val="20"/>
          <w:szCs w:val="20"/>
        </w:rPr>
        <w:t>, 39(1): 48 – 52.</w:t>
      </w:r>
    </w:p>
    <w:p w:rsidR="00317161" w:rsidRPr="00954060"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19.</w:t>
      </w:r>
      <w:r w:rsidRPr="00954060">
        <w:rPr>
          <w:rFonts w:ascii="Times New Roman" w:hAnsi="Times New Roman"/>
          <w:sz w:val="20"/>
          <w:szCs w:val="20"/>
        </w:rPr>
        <w:tab/>
        <w:t xml:space="preserve">Zeichner, A. and Levin, N. (1995). Casework experience of GSR detection in Israel, on samples from hands, hair, and clothing using an autosearch SEM-EDX System. </w:t>
      </w:r>
      <w:r w:rsidRPr="00954060">
        <w:rPr>
          <w:rFonts w:ascii="Times New Roman" w:hAnsi="Times New Roman"/>
          <w:i/>
          <w:sz w:val="20"/>
          <w:szCs w:val="20"/>
        </w:rPr>
        <w:t>Journal of Forensic Sciences</w:t>
      </w:r>
      <w:r w:rsidRPr="00954060">
        <w:rPr>
          <w:rFonts w:ascii="Times New Roman" w:hAnsi="Times New Roman"/>
          <w:sz w:val="20"/>
          <w:szCs w:val="20"/>
        </w:rPr>
        <w:t xml:space="preserve">, 22(2): 288 – 322. </w:t>
      </w:r>
    </w:p>
    <w:p w:rsidR="00317161" w:rsidRPr="00317161" w:rsidRDefault="00317161" w:rsidP="00317161">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20.</w:t>
      </w:r>
      <w:r w:rsidRPr="00954060">
        <w:rPr>
          <w:rFonts w:ascii="Times New Roman" w:hAnsi="Times New Roman"/>
          <w:sz w:val="20"/>
          <w:szCs w:val="20"/>
        </w:rPr>
        <w:tab/>
        <w:t xml:space="preserve">Ditrich, H. (2012). Distribution of gunshot residue – the influence of weapon type. </w:t>
      </w:r>
      <w:r w:rsidRPr="00954060">
        <w:rPr>
          <w:rFonts w:ascii="Times New Roman" w:hAnsi="Times New Roman"/>
          <w:i/>
          <w:sz w:val="20"/>
          <w:szCs w:val="20"/>
        </w:rPr>
        <w:t>Forensic Science International</w:t>
      </w:r>
      <w:r w:rsidRPr="00954060">
        <w:rPr>
          <w:rFonts w:ascii="Times New Roman" w:hAnsi="Times New Roman"/>
          <w:sz w:val="20"/>
          <w:szCs w:val="20"/>
        </w:rPr>
        <w:t>, 220: 85 – 90.</w:t>
      </w:r>
    </w:p>
    <w:sectPr w:rsidR="00317161" w:rsidRPr="00317161" w:rsidSect="00317161">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161"/>
    <w:rsid w:val="00317161"/>
    <w:rsid w:val="009C0A03"/>
    <w:rsid w:val="00BB3497"/>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1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1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1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1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1208</Words>
  <Characters>6467</Characters>
  <Application>Microsoft Office Word</Application>
  <DocSecurity>0</DocSecurity>
  <Lines>117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2019-04-02T01:55:00Z</dcterms:created>
  <dcterms:modified xsi:type="dcterms:W3CDTF">2019-04-18T15:36:00Z</dcterms:modified>
</cp:coreProperties>
</file>