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987E68" w:rsidRPr="00987E68" w:rsidRDefault="00987E68" w:rsidP="00987E68">
      <w:pPr>
        <w:spacing w:after="0" w:line="240" w:lineRule="auto"/>
        <w:jc w:val="center"/>
        <w:outlineLvl w:val="0"/>
        <w:rPr>
          <w:rFonts w:ascii="Times New Roman" w:hAnsi="Times New Roman"/>
          <w:sz w:val="28"/>
          <w:szCs w:val="28"/>
        </w:rPr>
      </w:pPr>
      <w:bookmarkStart w:id="0" w:name="_Hlk34833785"/>
      <w:r w:rsidRPr="00987E68">
        <w:rPr>
          <w:rFonts w:ascii="Times New Roman" w:hAnsi="Times New Roman"/>
          <w:sz w:val="28"/>
          <w:szCs w:val="28"/>
        </w:rPr>
        <w:t>SOURCE DETERMI</w:t>
      </w:r>
      <w:r>
        <w:rPr>
          <w:rFonts w:ascii="Times New Roman" w:hAnsi="Times New Roman"/>
          <w:sz w:val="28"/>
          <w:szCs w:val="28"/>
        </w:rPr>
        <w:t xml:space="preserve">NATION OF PSEUDOEPHEDRINE USING </w:t>
      </w:r>
      <w:r w:rsidRPr="00987E68">
        <w:rPr>
          <w:rFonts w:ascii="Times New Roman" w:hAnsi="Times New Roman"/>
          <w:sz w:val="28"/>
          <w:szCs w:val="28"/>
        </w:rPr>
        <w:t>ATTENUATED TOTAL REFLECTANCE FOURIER TRANSFORM</w:t>
      </w:r>
      <w:r>
        <w:rPr>
          <w:rFonts w:ascii="Times New Roman" w:hAnsi="Times New Roman"/>
          <w:sz w:val="28"/>
          <w:szCs w:val="28"/>
        </w:rPr>
        <w:t xml:space="preserve"> </w:t>
      </w:r>
      <w:r w:rsidRPr="00987E68">
        <w:rPr>
          <w:rFonts w:ascii="Times New Roman" w:hAnsi="Times New Roman"/>
          <w:sz w:val="28"/>
          <w:szCs w:val="28"/>
        </w:rPr>
        <w:t>INFRARED SPECTROSCOPY COMBINED WITH</w:t>
      </w:r>
      <w:r>
        <w:rPr>
          <w:rFonts w:ascii="Times New Roman" w:hAnsi="Times New Roman"/>
          <w:sz w:val="28"/>
          <w:szCs w:val="28"/>
        </w:rPr>
        <w:t xml:space="preserve"> </w:t>
      </w:r>
      <w:r w:rsidRPr="00987E68">
        <w:rPr>
          <w:rFonts w:ascii="Times New Roman" w:hAnsi="Times New Roman"/>
          <w:sz w:val="28"/>
          <w:szCs w:val="28"/>
        </w:rPr>
        <w:t>CHEMOMETRIC ANALYSIS</w:t>
      </w:r>
    </w:p>
    <w:bookmarkEnd w:id="0"/>
    <w:p w:rsidR="00987E68" w:rsidRPr="00987E68" w:rsidRDefault="00987E68" w:rsidP="00987E68">
      <w:pPr>
        <w:spacing w:after="0" w:line="240" w:lineRule="auto"/>
        <w:jc w:val="center"/>
        <w:outlineLvl w:val="0"/>
        <w:rPr>
          <w:rFonts w:ascii="Times New Roman" w:hAnsi="Times New Roman"/>
          <w:sz w:val="24"/>
          <w:szCs w:val="24"/>
        </w:rPr>
      </w:pPr>
    </w:p>
    <w:p w:rsidR="00987E68" w:rsidRPr="00987E68" w:rsidRDefault="00987E68" w:rsidP="00987E68">
      <w:pPr>
        <w:spacing w:after="0" w:line="240" w:lineRule="auto"/>
        <w:jc w:val="center"/>
        <w:outlineLvl w:val="0"/>
        <w:rPr>
          <w:rFonts w:ascii="Times New Roman" w:hAnsi="Times New Roman"/>
          <w:noProof/>
          <w:sz w:val="24"/>
        </w:rPr>
      </w:pPr>
      <w:r w:rsidRPr="00987E68">
        <w:rPr>
          <w:rFonts w:ascii="Times New Roman" w:hAnsi="Times New Roman"/>
          <w:noProof/>
          <w:sz w:val="24"/>
        </w:rPr>
        <w:t>(Penentuan Sumber Pseudoephederin Menggunakan S</w:t>
      </w:r>
      <w:r>
        <w:rPr>
          <w:rFonts w:ascii="Times New Roman" w:hAnsi="Times New Roman"/>
          <w:noProof/>
          <w:sz w:val="24"/>
        </w:rPr>
        <w:t xml:space="preserve">pektroskopi Atenuasi Pembalikan </w:t>
      </w:r>
      <w:r w:rsidRPr="00987E68">
        <w:rPr>
          <w:rFonts w:ascii="Times New Roman" w:hAnsi="Times New Roman"/>
          <w:noProof/>
          <w:sz w:val="24"/>
        </w:rPr>
        <w:t>Transformasi Fourier Digabungkan Dengan Analisis Kemometrik)</w:t>
      </w:r>
    </w:p>
    <w:p w:rsidR="00987E68" w:rsidRPr="00987E68" w:rsidRDefault="00987E68" w:rsidP="00987E68">
      <w:pPr>
        <w:spacing w:after="0" w:line="240" w:lineRule="auto"/>
        <w:jc w:val="center"/>
        <w:outlineLvl w:val="0"/>
        <w:rPr>
          <w:rFonts w:ascii="Times New Roman" w:hAnsi="Times New Roman"/>
          <w:b/>
          <w:sz w:val="20"/>
          <w:szCs w:val="20"/>
        </w:rPr>
      </w:pPr>
    </w:p>
    <w:p w:rsidR="00987E68" w:rsidRPr="00987E68" w:rsidRDefault="00987E68" w:rsidP="00987E68">
      <w:pPr>
        <w:spacing w:after="0" w:line="240" w:lineRule="auto"/>
        <w:jc w:val="center"/>
        <w:outlineLvl w:val="0"/>
        <w:rPr>
          <w:rFonts w:ascii="Times New Roman" w:hAnsi="Times New Roman"/>
          <w:noProof/>
          <w:sz w:val="20"/>
          <w:szCs w:val="20"/>
        </w:rPr>
      </w:pPr>
      <w:bookmarkStart w:id="1" w:name="_Hlk34833711"/>
      <w:r w:rsidRPr="00987E68">
        <w:rPr>
          <w:rFonts w:ascii="Times New Roman" w:hAnsi="Times New Roman"/>
          <w:noProof/>
          <w:sz w:val="20"/>
          <w:szCs w:val="20"/>
        </w:rPr>
        <w:t>Ainol Hayah Ahmad Nadzri</w:t>
      </w:r>
      <w:r w:rsidRPr="00987E68">
        <w:rPr>
          <w:rFonts w:ascii="Times New Roman" w:hAnsi="Times New Roman"/>
          <w:noProof/>
          <w:sz w:val="20"/>
          <w:szCs w:val="20"/>
          <w:vertAlign w:val="superscript"/>
        </w:rPr>
        <w:t>1</w:t>
      </w:r>
      <w:r w:rsidRPr="00987E68">
        <w:rPr>
          <w:rFonts w:ascii="Times New Roman" w:hAnsi="Times New Roman"/>
          <w:noProof/>
          <w:sz w:val="20"/>
          <w:szCs w:val="20"/>
        </w:rPr>
        <w:t>, Saravana Kumar Jayaram</w:t>
      </w:r>
      <w:r w:rsidRPr="00987E68">
        <w:rPr>
          <w:rFonts w:ascii="Times New Roman" w:hAnsi="Times New Roman"/>
          <w:noProof/>
          <w:sz w:val="20"/>
          <w:szCs w:val="20"/>
          <w:vertAlign w:val="superscript"/>
        </w:rPr>
        <w:t>2</w:t>
      </w:r>
      <w:r w:rsidRPr="00987E68">
        <w:rPr>
          <w:rFonts w:ascii="Times New Roman" w:hAnsi="Times New Roman"/>
          <w:noProof/>
          <w:sz w:val="20"/>
          <w:szCs w:val="20"/>
        </w:rPr>
        <w:t>, Puteri Nurul Hassanah Anuar</w:t>
      </w:r>
      <w:r w:rsidRPr="00987E68">
        <w:rPr>
          <w:rFonts w:ascii="Times New Roman" w:hAnsi="Times New Roman"/>
          <w:noProof/>
          <w:sz w:val="20"/>
          <w:szCs w:val="20"/>
          <w:vertAlign w:val="superscript"/>
        </w:rPr>
        <w:t>1</w:t>
      </w:r>
      <w:r w:rsidRPr="00987E68">
        <w:rPr>
          <w:rFonts w:ascii="Times New Roman" w:hAnsi="Times New Roman"/>
          <w:noProof/>
          <w:sz w:val="20"/>
          <w:szCs w:val="20"/>
        </w:rPr>
        <w:t xml:space="preserve">, </w:t>
      </w:r>
    </w:p>
    <w:p w:rsidR="00987E68" w:rsidRPr="00987E68" w:rsidRDefault="00987E68" w:rsidP="00987E68">
      <w:pPr>
        <w:spacing w:after="0" w:line="240" w:lineRule="auto"/>
        <w:jc w:val="center"/>
        <w:outlineLvl w:val="0"/>
        <w:rPr>
          <w:rFonts w:ascii="Times New Roman" w:hAnsi="Times New Roman"/>
          <w:noProof/>
          <w:sz w:val="20"/>
          <w:szCs w:val="20"/>
          <w:vertAlign w:val="superscript"/>
        </w:rPr>
      </w:pPr>
      <w:r w:rsidRPr="00987E68">
        <w:rPr>
          <w:rFonts w:ascii="Times New Roman" w:hAnsi="Times New Roman"/>
          <w:noProof/>
          <w:sz w:val="20"/>
          <w:szCs w:val="20"/>
        </w:rPr>
        <w:t>Noor Zuhartini Md Muslim</w:t>
      </w:r>
      <w:r w:rsidRPr="00987E68">
        <w:rPr>
          <w:rFonts w:ascii="Times New Roman" w:hAnsi="Times New Roman"/>
          <w:noProof/>
          <w:sz w:val="20"/>
          <w:szCs w:val="20"/>
          <w:vertAlign w:val="superscript"/>
        </w:rPr>
        <w:t>1</w:t>
      </w:r>
      <w:r w:rsidRPr="00987E68">
        <w:rPr>
          <w:rFonts w:ascii="Times New Roman" w:hAnsi="Times New Roman"/>
          <w:noProof/>
          <w:sz w:val="20"/>
          <w:szCs w:val="20"/>
        </w:rPr>
        <w:t>, Dzulkiflee Ismail</w:t>
      </w:r>
      <w:r w:rsidRPr="00987E68">
        <w:rPr>
          <w:rFonts w:ascii="Times New Roman" w:hAnsi="Times New Roman"/>
          <w:noProof/>
          <w:sz w:val="20"/>
          <w:szCs w:val="20"/>
          <w:vertAlign w:val="superscript"/>
        </w:rPr>
        <w:t>1</w:t>
      </w:r>
      <w:r w:rsidRPr="00987E68">
        <w:rPr>
          <w:rFonts w:ascii="Times New Roman" w:hAnsi="Times New Roman"/>
          <w:noProof/>
          <w:sz w:val="20"/>
          <w:szCs w:val="20"/>
        </w:rPr>
        <w:t>,</w:t>
      </w:r>
      <w:r w:rsidRPr="00987E68">
        <w:rPr>
          <w:rFonts w:ascii="Times New Roman" w:hAnsi="Times New Roman"/>
          <w:noProof/>
          <w:sz w:val="20"/>
          <w:szCs w:val="20"/>
          <w:vertAlign w:val="superscript"/>
        </w:rPr>
        <w:t xml:space="preserve"> </w:t>
      </w:r>
      <w:r w:rsidRPr="00987E68">
        <w:rPr>
          <w:rFonts w:ascii="Times New Roman" w:hAnsi="Times New Roman"/>
          <w:noProof/>
          <w:sz w:val="20"/>
          <w:szCs w:val="20"/>
        </w:rPr>
        <w:t>Wan Nur Syuhaila Mat Desa</w:t>
      </w:r>
      <w:r>
        <w:rPr>
          <w:rFonts w:ascii="Times New Roman" w:hAnsi="Times New Roman"/>
          <w:noProof/>
          <w:sz w:val="20"/>
          <w:szCs w:val="20"/>
          <w:vertAlign w:val="superscript"/>
        </w:rPr>
        <w:t>1</w:t>
      </w:r>
      <w:r w:rsidRPr="00987E68">
        <w:rPr>
          <w:rFonts w:ascii="Times New Roman" w:hAnsi="Times New Roman"/>
          <w:noProof/>
          <w:sz w:val="20"/>
          <w:szCs w:val="20"/>
        </w:rPr>
        <w:t>*</w:t>
      </w:r>
      <w:bookmarkEnd w:id="1"/>
    </w:p>
    <w:p w:rsidR="00987E68" w:rsidRPr="00987E68" w:rsidRDefault="00987E68" w:rsidP="00987E68">
      <w:pPr>
        <w:spacing w:after="0" w:line="240" w:lineRule="auto"/>
        <w:jc w:val="center"/>
        <w:outlineLvl w:val="0"/>
        <w:rPr>
          <w:rFonts w:ascii="Times New Roman" w:hAnsi="Times New Roman"/>
          <w:b/>
          <w:sz w:val="18"/>
          <w:szCs w:val="18"/>
        </w:rPr>
      </w:pPr>
    </w:p>
    <w:p w:rsidR="00987E68" w:rsidRPr="00987E68" w:rsidRDefault="00987E68" w:rsidP="00987E68">
      <w:pPr>
        <w:pStyle w:val="NoSpacing"/>
        <w:jc w:val="center"/>
        <w:rPr>
          <w:rFonts w:ascii="Times New Roman" w:hAnsi="Times New Roman"/>
          <w:i/>
          <w:sz w:val="18"/>
          <w:szCs w:val="18"/>
        </w:rPr>
      </w:pPr>
      <w:r w:rsidRPr="00987E68">
        <w:rPr>
          <w:rFonts w:ascii="Times New Roman" w:hAnsi="Times New Roman"/>
          <w:i/>
          <w:sz w:val="18"/>
          <w:szCs w:val="18"/>
          <w:vertAlign w:val="superscript"/>
        </w:rPr>
        <w:t>1</w:t>
      </w:r>
      <w:r w:rsidRPr="00987E68">
        <w:rPr>
          <w:rFonts w:ascii="Times New Roman" w:hAnsi="Times New Roman"/>
          <w:i/>
          <w:sz w:val="18"/>
          <w:szCs w:val="18"/>
        </w:rPr>
        <w:t xml:space="preserve">Forensic Science Programme, School of Health Sciences, </w:t>
      </w:r>
    </w:p>
    <w:p w:rsidR="00987E68" w:rsidRPr="00987E68" w:rsidRDefault="00987E68" w:rsidP="00987E68">
      <w:pPr>
        <w:pStyle w:val="NoSpacing"/>
        <w:jc w:val="center"/>
        <w:rPr>
          <w:rFonts w:ascii="Times New Roman" w:hAnsi="Times New Roman"/>
          <w:i/>
          <w:sz w:val="18"/>
          <w:szCs w:val="18"/>
        </w:rPr>
      </w:pPr>
      <w:r w:rsidRPr="00987E68">
        <w:rPr>
          <w:rFonts w:ascii="Times New Roman" w:hAnsi="Times New Roman"/>
          <w:i/>
          <w:sz w:val="18"/>
          <w:szCs w:val="18"/>
        </w:rPr>
        <w:t>Universiti Sains Malaysia, 16150 Kubang Kerian, Kelantan, Malaysia</w:t>
      </w:r>
    </w:p>
    <w:p w:rsidR="00987E68" w:rsidRPr="00987E68" w:rsidRDefault="00987E68" w:rsidP="00987E68">
      <w:pPr>
        <w:pStyle w:val="NoSpacing"/>
        <w:jc w:val="center"/>
        <w:rPr>
          <w:rFonts w:ascii="Times New Roman" w:hAnsi="Times New Roman"/>
          <w:i/>
          <w:sz w:val="18"/>
          <w:szCs w:val="18"/>
        </w:rPr>
      </w:pPr>
      <w:r w:rsidRPr="00987E68">
        <w:rPr>
          <w:rFonts w:ascii="Times New Roman" w:hAnsi="Times New Roman"/>
          <w:i/>
          <w:sz w:val="18"/>
          <w:szCs w:val="18"/>
          <w:vertAlign w:val="superscript"/>
        </w:rPr>
        <w:t>2</w:t>
      </w:r>
      <w:r w:rsidRPr="00987E68">
        <w:rPr>
          <w:rFonts w:ascii="Times New Roman" w:hAnsi="Times New Roman"/>
          <w:i/>
          <w:sz w:val="18"/>
          <w:szCs w:val="18"/>
        </w:rPr>
        <w:t xml:space="preserve"> Narcotic Section, Forensic Science Unit, </w:t>
      </w:r>
    </w:p>
    <w:p w:rsidR="00987E68" w:rsidRPr="00987E68" w:rsidRDefault="00987E68" w:rsidP="00987E68">
      <w:pPr>
        <w:pStyle w:val="NoSpacing"/>
        <w:jc w:val="center"/>
        <w:rPr>
          <w:rFonts w:ascii="Times New Roman" w:hAnsi="Times New Roman"/>
          <w:i/>
          <w:sz w:val="18"/>
          <w:szCs w:val="18"/>
        </w:rPr>
      </w:pPr>
      <w:r w:rsidRPr="00987E68">
        <w:rPr>
          <w:rFonts w:ascii="Times New Roman" w:hAnsi="Times New Roman"/>
          <w:i/>
          <w:sz w:val="18"/>
          <w:szCs w:val="18"/>
        </w:rPr>
        <w:t>Chemistry Department, Jalan Sultan 46661 Petaling Jaya, Selangor</w:t>
      </w:r>
    </w:p>
    <w:p w:rsidR="00987E68" w:rsidRPr="00987E68" w:rsidRDefault="00987E68" w:rsidP="00987E68">
      <w:pPr>
        <w:spacing w:after="0" w:line="240" w:lineRule="auto"/>
        <w:jc w:val="center"/>
        <w:outlineLvl w:val="0"/>
        <w:rPr>
          <w:rFonts w:ascii="Times New Roman" w:hAnsi="Times New Roman"/>
          <w:i/>
          <w:sz w:val="18"/>
          <w:szCs w:val="18"/>
        </w:rPr>
      </w:pPr>
    </w:p>
    <w:p w:rsidR="00987E68" w:rsidRPr="00987E68" w:rsidRDefault="00987E68" w:rsidP="00987E68">
      <w:pPr>
        <w:spacing w:after="0" w:line="240" w:lineRule="auto"/>
        <w:jc w:val="center"/>
        <w:outlineLvl w:val="0"/>
        <w:rPr>
          <w:rStyle w:val="Hyperlink"/>
          <w:rFonts w:ascii="Times New Roman" w:hAnsi="Times New Roman"/>
          <w:i/>
          <w:sz w:val="18"/>
          <w:szCs w:val="18"/>
          <w:shd w:val="clear" w:color="auto" w:fill="FFFFFF"/>
        </w:rPr>
      </w:pPr>
      <w:r w:rsidRPr="00987E68">
        <w:rPr>
          <w:rFonts w:ascii="Times New Roman" w:hAnsi="Times New Roman"/>
          <w:i/>
          <w:sz w:val="18"/>
          <w:szCs w:val="18"/>
        </w:rPr>
        <w:t>*Corresponding author:</w:t>
      </w:r>
      <w:r w:rsidRPr="00987E68">
        <w:rPr>
          <w:rStyle w:val="HeaderChar"/>
          <w:rFonts w:ascii="Times New Roman" w:hAnsi="Times New Roman"/>
          <w:sz w:val="18"/>
          <w:szCs w:val="18"/>
          <w:shd w:val="clear" w:color="auto" w:fill="FFFFFF"/>
        </w:rPr>
        <w:t xml:space="preserve"> </w:t>
      </w:r>
      <w:r>
        <w:rPr>
          <w:rStyle w:val="HeaderChar"/>
          <w:rFonts w:ascii="Times New Roman" w:hAnsi="Times New Roman"/>
          <w:sz w:val="18"/>
          <w:szCs w:val="18"/>
          <w:shd w:val="clear" w:color="auto" w:fill="FFFFFF"/>
        </w:rPr>
        <w:t xml:space="preserve"> </w:t>
      </w:r>
      <w:r w:rsidRPr="00987E68">
        <w:rPr>
          <w:rFonts w:ascii="Times New Roman" w:hAnsi="Times New Roman"/>
          <w:i/>
          <w:sz w:val="18"/>
          <w:szCs w:val="18"/>
          <w:shd w:val="clear" w:color="auto" w:fill="FFFFFF"/>
        </w:rPr>
        <w:t>wannurs@usm.my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7266E">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07266E">
        <w:rPr>
          <w:rFonts w:ascii="Times New Roman" w:hAnsi="Times New Roman"/>
          <w:noProof/>
          <w:sz w:val="18"/>
          <w:szCs w:val="18"/>
          <w:lang w:bidi="ar-SA"/>
        </w:rPr>
        <w:t>27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87E68" w:rsidRPr="00FF7035" w:rsidRDefault="00987E68" w:rsidP="00987E68">
      <w:pPr>
        <w:spacing w:after="0" w:line="240" w:lineRule="auto"/>
        <w:jc w:val="both"/>
        <w:rPr>
          <w:rFonts w:ascii="Times New Roman" w:hAnsi="Times New Roman"/>
          <w:sz w:val="18"/>
          <w:szCs w:val="18"/>
        </w:rPr>
      </w:pPr>
      <w:r w:rsidRPr="00FF7035">
        <w:rPr>
          <w:rFonts w:ascii="Times New Roman" w:hAnsi="Times New Roman"/>
          <w:sz w:val="18"/>
          <w:szCs w:val="18"/>
        </w:rPr>
        <w:t xml:space="preserve">Seizures of pseudoephedrine compound pertaining to clandestine drug laboratories were widely reported since it is abused for illicit amphetamine-type stimulant (ATS) production. In small scale clandestine laboratory, a commercial decongestant tablet is always encountered despite having properties claimed to deter pseudoephedrine extraction as pharmaceutical means to prevent the misuse of the compound. This study aims to investigate the feasibility of discriminating extracted pseudoephedrine powder based on its origin. In this study, five different types in varying strengths and sizes of pseudoephedrine-based tablets samples were extracted with direct and acid-base extraction methods. Identification of extracted pseudoephedrine was done by simple attenuated total reflection Fourier transform infrared spectroscopy (ATR-FTIR). In total, 90 spectra were obtained from 15 batches of samples </w:t>
      </w:r>
      <w:r>
        <w:rPr>
          <w:rFonts w:ascii="Times New Roman" w:hAnsi="Times New Roman"/>
          <w:sz w:val="18"/>
          <w:szCs w:val="18"/>
        </w:rPr>
        <w:t xml:space="preserve">at </w:t>
      </w:r>
      <w:r w:rsidRPr="00FF7035">
        <w:rPr>
          <w:rFonts w:ascii="Times New Roman" w:hAnsi="Times New Roman"/>
          <w:sz w:val="18"/>
          <w:szCs w:val="18"/>
        </w:rPr>
        <w:t>six repetitive scans. Spectral selection on characteristic fingerprint regions was performed and subsequently subjected to hierarchical cluster analysis (HCA) and principal component analysis (PCA). In HCA, discrimination among samples was evident at around 77-86% similarity while in PCA, discrimination is presented at 80-93% total variation. Groupings and linkages based on their origin were established. A simple and direct method for identification and source determination of chemically processed pseudoephedrine compounds is demonstrated. This information can be a valuable intelligent tool for forensics and law enforcers to understand precursor material sources hence would be beneficial to disrupt the supply of the compound intended for clandestine operations.</w:t>
      </w:r>
    </w:p>
    <w:p w:rsidR="00987E68" w:rsidRPr="00FF7035" w:rsidRDefault="00987E68" w:rsidP="00987E68">
      <w:pPr>
        <w:spacing w:after="0" w:line="240" w:lineRule="auto"/>
        <w:jc w:val="both"/>
        <w:rPr>
          <w:rFonts w:ascii="Times New Roman" w:hAnsi="Times New Roman"/>
          <w:sz w:val="18"/>
          <w:szCs w:val="18"/>
        </w:rPr>
      </w:pPr>
    </w:p>
    <w:p w:rsidR="00987E68" w:rsidRDefault="00987E68" w:rsidP="00987E68">
      <w:pPr>
        <w:spacing w:after="0" w:line="240" w:lineRule="auto"/>
        <w:jc w:val="both"/>
        <w:rPr>
          <w:rFonts w:ascii="Times New Roman" w:hAnsi="Times New Roman"/>
          <w:sz w:val="24"/>
          <w:szCs w:val="24"/>
        </w:rPr>
      </w:pPr>
      <w:r w:rsidRPr="00FF7035">
        <w:rPr>
          <w:rFonts w:ascii="Times New Roman" w:hAnsi="Times New Roman"/>
          <w:b/>
          <w:sz w:val="18"/>
          <w:szCs w:val="18"/>
        </w:rPr>
        <w:t>Keywords</w:t>
      </w:r>
      <w:r w:rsidRPr="00FF7035">
        <w:rPr>
          <w:rFonts w:ascii="Times New Roman" w:hAnsi="Times New Roman"/>
          <w:b/>
          <w:bCs/>
          <w:sz w:val="18"/>
          <w:szCs w:val="18"/>
        </w:rPr>
        <w:t>:</w:t>
      </w:r>
      <w:r w:rsidRPr="00FF7035">
        <w:rPr>
          <w:rFonts w:ascii="Times New Roman" w:hAnsi="Times New Roman"/>
        </w:rPr>
        <w:t xml:space="preserve"> </w:t>
      </w:r>
      <w:r>
        <w:rPr>
          <w:rFonts w:ascii="Times New Roman" w:hAnsi="Times New Roman"/>
        </w:rPr>
        <w:t xml:space="preserve"> </w:t>
      </w:r>
      <w:r w:rsidRPr="00FF7035">
        <w:rPr>
          <w:rFonts w:ascii="Times New Roman" w:hAnsi="Times New Roman"/>
          <w:sz w:val="18"/>
          <w:szCs w:val="18"/>
        </w:rPr>
        <w:t>pseudoephedrine, clandestine drug laboratory, forensic intelligence</w:t>
      </w:r>
    </w:p>
    <w:p w:rsidR="00987E68" w:rsidRPr="00FF7035" w:rsidRDefault="00987E68" w:rsidP="00987E68">
      <w:pPr>
        <w:spacing w:after="0" w:line="240" w:lineRule="auto"/>
        <w:jc w:val="center"/>
        <w:rPr>
          <w:rFonts w:ascii="Times New Roman" w:hAnsi="Times New Roman"/>
          <w:sz w:val="24"/>
          <w:szCs w:val="24"/>
        </w:rPr>
      </w:pPr>
    </w:p>
    <w:p w:rsidR="00987E68" w:rsidRPr="00FF7035" w:rsidRDefault="00987E68" w:rsidP="00987E68">
      <w:pPr>
        <w:spacing w:after="0" w:line="240" w:lineRule="auto"/>
        <w:jc w:val="center"/>
        <w:outlineLvl w:val="0"/>
        <w:rPr>
          <w:rFonts w:ascii="Times New Roman" w:hAnsi="Times New Roman"/>
          <w:b/>
          <w:noProof/>
          <w:sz w:val="18"/>
          <w:szCs w:val="18"/>
          <w:lang w:val="ms-MY"/>
        </w:rPr>
      </w:pPr>
      <w:r w:rsidRPr="00FF7035">
        <w:rPr>
          <w:rFonts w:ascii="Times New Roman" w:hAnsi="Times New Roman"/>
          <w:b/>
          <w:noProof/>
          <w:sz w:val="18"/>
          <w:szCs w:val="18"/>
          <w:lang w:val="ms-MY"/>
        </w:rPr>
        <w:t>Abstrak</w:t>
      </w:r>
    </w:p>
    <w:p w:rsidR="00987E68" w:rsidRPr="00FF7035" w:rsidRDefault="00987E68" w:rsidP="00987E68">
      <w:pPr>
        <w:spacing w:after="0" w:line="240" w:lineRule="auto"/>
        <w:jc w:val="both"/>
        <w:outlineLvl w:val="0"/>
        <w:rPr>
          <w:rFonts w:ascii="Times New Roman" w:hAnsi="Times New Roman"/>
          <w:noProof/>
          <w:sz w:val="18"/>
          <w:szCs w:val="18"/>
          <w:lang w:val="ms-MY"/>
        </w:rPr>
      </w:pPr>
      <w:bookmarkStart w:id="2" w:name="_Hlk34914100"/>
      <w:r w:rsidRPr="00FF7035">
        <w:rPr>
          <w:rFonts w:ascii="Times New Roman" w:hAnsi="Times New Roman"/>
          <w:noProof/>
          <w:sz w:val="18"/>
          <w:szCs w:val="18"/>
          <w:lang w:val="ms-MY"/>
        </w:rPr>
        <w:t xml:space="preserve">Rampasan sebatian pseudoephedrin daripada makmal dadah haram semakin meluas dilaporkan kerana sebatian tersebut telah disalahgunakan dalam menghasilkan dadah perangsang jenis amfetamin (ATS). Dalam makmal dadah haram berskala kecil, pil dekongestan komersial yang mengandungi pseudoephedrin sering ditemui sebagai bahan prekursor alternatif walaupun formulasinya telah diubahsuai untuk menghalang proses </w:t>
      </w:r>
      <w:r>
        <w:rPr>
          <w:rFonts w:ascii="Times New Roman" w:hAnsi="Times New Roman"/>
          <w:noProof/>
          <w:sz w:val="18"/>
          <w:szCs w:val="18"/>
          <w:lang w:val="ms-MY"/>
        </w:rPr>
        <w:t>pengekstrakan</w:t>
      </w:r>
      <w:r w:rsidRPr="00FF7035">
        <w:rPr>
          <w:rFonts w:ascii="Times New Roman" w:hAnsi="Times New Roman"/>
          <w:noProof/>
          <w:sz w:val="18"/>
          <w:szCs w:val="18"/>
          <w:lang w:val="ms-MY"/>
        </w:rPr>
        <w:t xml:space="preserve"> pseudoephedrin dan seterusnya mencegah daripada penyalahgunaan sebatian tersebut. </w:t>
      </w:r>
      <w:bookmarkEnd w:id="2"/>
      <w:r w:rsidRPr="00FF7035">
        <w:rPr>
          <w:rFonts w:ascii="Times New Roman" w:hAnsi="Times New Roman"/>
          <w:noProof/>
          <w:sz w:val="18"/>
          <w:szCs w:val="18"/>
          <w:lang w:val="ms-MY"/>
        </w:rPr>
        <w:t xml:space="preserve">Kajian ini bertujuan untuk menyiasat kebolehlaksanaan untuk mendiskriminasi serbuk pseudoephedrin yang diekstrak berdasarkan kepada </w:t>
      </w:r>
      <w:r>
        <w:rPr>
          <w:rFonts w:ascii="Times New Roman" w:hAnsi="Times New Roman"/>
          <w:noProof/>
          <w:sz w:val="18"/>
          <w:szCs w:val="18"/>
          <w:lang w:val="ms-MY"/>
        </w:rPr>
        <w:t>sumber</w:t>
      </w:r>
      <w:r w:rsidRPr="00FF7035">
        <w:rPr>
          <w:rFonts w:ascii="Times New Roman" w:hAnsi="Times New Roman"/>
          <w:noProof/>
          <w:sz w:val="18"/>
          <w:szCs w:val="18"/>
          <w:lang w:val="ms-MY"/>
        </w:rPr>
        <w:t>nya. Dalam kajian ini, lima jenis tablet yang mengandungi pseudoephedrin dengan pelbagai saiz dan kekuatan telah diekstrak melalui kaedah pengekstrakan secara langsung dan asid-b</w:t>
      </w:r>
      <w:r>
        <w:rPr>
          <w:rFonts w:ascii="Times New Roman" w:hAnsi="Times New Roman"/>
          <w:noProof/>
          <w:sz w:val="18"/>
          <w:szCs w:val="18"/>
          <w:lang w:val="ms-MY"/>
        </w:rPr>
        <w:t>es</w:t>
      </w:r>
      <w:r w:rsidRPr="00FF7035">
        <w:rPr>
          <w:rFonts w:ascii="Times New Roman" w:hAnsi="Times New Roman"/>
          <w:noProof/>
          <w:sz w:val="18"/>
          <w:szCs w:val="18"/>
          <w:lang w:val="ms-MY"/>
        </w:rPr>
        <w:t xml:space="preserve">. Pengenalpastian sebatian pseudoephedrin yang diekstrak telah dilakukan melalui spektroskopi atenuasi pembalikan dan </w:t>
      </w:r>
      <w:r w:rsidRPr="00FF7035">
        <w:rPr>
          <w:rFonts w:ascii="Times New Roman" w:hAnsi="Times New Roman"/>
          <w:noProof/>
          <w:sz w:val="18"/>
          <w:szCs w:val="18"/>
          <w:lang w:val="ms-MY"/>
        </w:rPr>
        <w:lastRenderedPageBreak/>
        <w:t>transformasi Fourier (ATR-FTIR). Secara keseluruhan, 90 spektra telah diperolehi daripada 15 kelompok sampel pada enam imbasan berulang. Pengujian spektra pada kawasan tertentu telah dilakukan dan spektra daripada kawasan terpilih kemudiannya tertakluk kepada analisis kluster hierarki (HCA) dan analisis komponen prinsipal (PCA). Dalam HCA, diskriminasi di antara sampel telah dibuktikan pada sekitar 77-86% persamaan manakala di PCA, diskriminasi dibentangkan pada 80-93% jumlah variasi. Kajian ini menunjukkan penggunaan kaedah secara langsung dan mudah dalam pengenalpastian dan penentuan asal-usul sebatian pseudoephedrin yang telah diproses secara kimia. Maklumat yang diperolehi melalui kajian ini adalah sangat bernilai sebagai alat perisikan kepada penguasa perundangan dan forensik untuk memahami sumber bahan prekursor dengan itu dapat memberi manfaat dalam mengganggu bekalan pseudoephedrine untuk operasi haram.</w:t>
      </w:r>
    </w:p>
    <w:p w:rsidR="00987E68" w:rsidRPr="00FF7035" w:rsidRDefault="00987E68" w:rsidP="00987E68">
      <w:pPr>
        <w:spacing w:after="0" w:line="240" w:lineRule="auto"/>
        <w:jc w:val="both"/>
        <w:outlineLvl w:val="0"/>
        <w:rPr>
          <w:rFonts w:ascii="Times New Roman" w:hAnsi="Times New Roman"/>
          <w:noProof/>
          <w:sz w:val="18"/>
          <w:szCs w:val="18"/>
          <w:lang w:val="ms-MY"/>
        </w:rPr>
      </w:pPr>
    </w:p>
    <w:p w:rsidR="00987E68" w:rsidRPr="00FF7035" w:rsidRDefault="00987E68" w:rsidP="00987E68">
      <w:pPr>
        <w:spacing w:after="0" w:line="240" w:lineRule="auto"/>
        <w:jc w:val="both"/>
        <w:outlineLvl w:val="0"/>
        <w:rPr>
          <w:rFonts w:ascii="Times New Roman" w:hAnsi="Times New Roman"/>
          <w:b/>
          <w:noProof/>
          <w:lang w:val="ms-MY"/>
        </w:rPr>
      </w:pPr>
      <w:r w:rsidRPr="00FF7035">
        <w:rPr>
          <w:rFonts w:ascii="Times New Roman" w:hAnsi="Times New Roman"/>
          <w:b/>
          <w:noProof/>
          <w:sz w:val="18"/>
          <w:szCs w:val="18"/>
          <w:lang w:val="ms-MY"/>
        </w:rPr>
        <w:t>Kata kunci:</w:t>
      </w:r>
      <w:r w:rsidRPr="00FF7035">
        <w:rPr>
          <w:rFonts w:ascii="Times New Roman" w:hAnsi="Times New Roman"/>
          <w:b/>
          <w:noProof/>
          <w:lang w:val="ms-MY"/>
        </w:rPr>
        <w:t xml:space="preserve"> </w:t>
      </w:r>
      <w:r>
        <w:rPr>
          <w:rFonts w:ascii="Times New Roman" w:hAnsi="Times New Roman"/>
          <w:b/>
          <w:noProof/>
          <w:lang w:val="ms-MY"/>
        </w:rPr>
        <w:t xml:space="preserve"> </w:t>
      </w:r>
      <w:r>
        <w:rPr>
          <w:rFonts w:ascii="Times New Roman" w:hAnsi="Times New Roman"/>
          <w:noProof/>
          <w:sz w:val="18"/>
          <w:szCs w:val="18"/>
          <w:lang w:val="ms-MY"/>
        </w:rPr>
        <w:t>p</w:t>
      </w:r>
      <w:r w:rsidRPr="00FF7035">
        <w:rPr>
          <w:rFonts w:ascii="Times New Roman" w:hAnsi="Times New Roman"/>
          <w:noProof/>
          <w:sz w:val="18"/>
          <w:szCs w:val="18"/>
          <w:lang w:val="ms-MY"/>
        </w:rPr>
        <w:t>seudoephedrine, makmal dadah haram, perisikan forensik</w:t>
      </w:r>
    </w:p>
    <w:p w:rsidR="006768E9" w:rsidRDefault="006768E9" w:rsidP="00987E68">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Ephedrine and its enantiomer, pseudoephedrine (C</w:t>
      </w:r>
      <w:r w:rsidRPr="00987E68">
        <w:rPr>
          <w:rFonts w:ascii="Times New Roman" w:hAnsi="Times New Roman"/>
          <w:sz w:val="20"/>
          <w:szCs w:val="20"/>
          <w:vertAlign w:val="subscript"/>
        </w:rPr>
        <w:t>10</w:t>
      </w:r>
      <w:r w:rsidRPr="00987E68">
        <w:rPr>
          <w:rFonts w:ascii="Times New Roman" w:hAnsi="Times New Roman"/>
          <w:sz w:val="20"/>
          <w:szCs w:val="20"/>
        </w:rPr>
        <w:t>H</w:t>
      </w:r>
      <w:r w:rsidRPr="00987E68">
        <w:rPr>
          <w:rFonts w:ascii="Times New Roman" w:hAnsi="Times New Roman"/>
          <w:sz w:val="20"/>
          <w:szCs w:val="20"/>
          <w:vertAlign w:val="subscript"/>
        </w:rPr>
        <w:t>15</w:t>
      </w:r>
      <w:r w:rsidRPr="00987E68">
        <w:rPr>
          <w:rFonts w:ascii="Times New Roman" w:hAnsi="Times New Roman"/>
          <w:sz w:val="20"/>
          <w:szCs w:val="20"/>
        </w:rPr>
        <w:t xml:space="preserve">NO, mwt. 165.23g/mol), are sympathomimetic drugs regulated for medical use [1]. This medication is a known nasal decongestant readily obtained over the counter for temporary relief of stuffy nose and sinus pain/pressure caused by infection (such as the common cold, flu) or other breathing illness such as allergies, bronchitis and hay fever [1]. Pseudoephedrine salts are common active pharmaceutical ingredients (APIs) in numerous cold medications, commonly sold in a fixed-dose combination with additional active ingredients such as acetaminophen, antihistamines, guaifenesin, dextromethorphan and/or ibuprofen [2]. </w:t>
      </w:r>
    </w:p>
    <w:p w:rsidR="00987E68" w:rsidRPr="00987E68" w:rsidRDefault="00987E68" w:rsidP="00987E68">
      <w:pPr>
        <w:spacing w:after="0" w:line="240" w:lineRule="auto"/>
        <w:jc w:val="both"/>
        <w:rPr>
          <w:rFonts w:ascii="Times New Roman" w:hAnsi="Times New Roman"/>
          <w:strike/>
          <w:sz w:val="20"/>
          <w:szCs w:val="20"/>
        </w:rPr>
      </w:pP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 xml:space="preserve">Either in bulk form or chemical preparations, pseudoephedrine is strictly regulated for use in chemical, medical and pharmaceutical industries. Legitimate use, however, is diverted by drug trafficking organizations which utilize the compound as the main precursor for clandestine drug production, therefore has captured forensic investigation interest. This diversion has contributed to the continual increase in the use and seizures of a pharmaceutical preparation containing ephedrine/pseudoephedrine worldwide. Despite being listed under 1988 United Nations Convention Against Illicit Traffic in Narcotic Drugs and Psychotropic Substances [3] which enforces strict regulation in import, export, consumer purchase restriction and behind the counter safe-keeping of pseudoephedrine powder or products, illicit diversion of these precursors is extremely difficult to control. The compound is clandestinely isolated and purified from retail goods to improve batch sizes, yield and purity [4]. </w:t>
      </w:r>
    </w:p>
    <w:p w:rsidR="00987E68" w:rsidRPr="00987E68" w:rsidRDefault="00987E68" w:rsidP="00987E68">
      <w:pPr>
        <w:spacing w:after="0" w:line="240" w:lineRule="auto"/>
        <w:jc w:val="both"/>
        <w:rPr>
          <w:rFonts w:ascii="Times New Roman" w:hAnsi="Times New Roman"/>
          <w:sz w:val="20"/>
          <w:szCs w:val="20"/>
        </w:rPr>
      </w:pPr>
    </w:p>
    <w:p w:rsidR="00987E68" w:rsidRPr="00987E68" w:rsidRDefault="00987E68" w:rsidP="00987E68">
      <w:pPr>
        <w:spacing w:after="0" w:line="240" w:lineRule="auto"/>
        <w:jc w:val="both"/>
        <w:rPr>
          <w:rFonts w:ascii="Times New Roman" w:hAnsi="Times New Roman"/>
          <w:strike/>
          <w:sz w:val="20"/>
          <w:szCs w:val="20"/>
        </w:rPr>
      </w:pPr>
      <w:r w:rsidRPr="00987E68">
        <w:rPr>
          <w:rFonts w:ascii="Times New Roman" w:hAnsi="Times New Roman"/>
          <w:sz w:val="20"/>
          <w:szCs w:val="20"/>
        </w:rPr>
        <w:t xml:space="preserve">Over 65 million tablets were reported to have been seized around the world between to have been seized 2009-2013 [3]. Significant increase within South-East Asia countries is reported. Malaysia is among the countries within this region that have reported significant cases in Malaysia includes ephedrine and pseudoephedrine seizure of 287 kg raw material form originating from India, the seizure of 112 kg in clandestine methamphetamine laboratory in the form of pharmaceutical preparations of unknown origin and 33 kg of ephedrine preparations were also seized in another illicit laboratory [3]. As a precursor, the compound is highly coveted to produce some amphetamine-type stimulants (ATS) through reduction and/or oxidation reactions [5]. </w:t>
      </w:r>
    </w:p>
    <w:p w:rsidR="00987E68" w:rsidRPr="00987E68" w:rsidRDefault="00987E68" w:rsidP="00987E68">
      <w:pPr>
        <w:spacing w:after="0" w:line="240" w:lineRule="auto"/>
        <w:jc w:val="both"/>
        <w:rPr>
          <w:rFonts w:ascii="Times New Roman" w:hAnsi="Times New Roman"/>
          <w:sz w:val="20"/>
          <w:szCs w:val="20"/>
        </w:rPr>
      </w:pPr>
    </w:p>
    <w:p w:rsidR="00987E68" w:rsidRPr="00987E68" w:rsidRDefault="00987E68" w:rsidP="00987E68">
      <w:pPr>
        <w:spacing w:after="0" w:line="240" w:lineRule="auto"/>
        <w:jc w:val="both"/>
        <w:rPr>
          <w:rStyle w:val="A7"/>
          <w:rFonts w:ascii="Times New Roman" w:hAnsi="Times New Roman" w:cs="Times New Roman"/>
          <w:sz w:val="20"/>
          <w:szCs w:val="20"/>
        </w:rPr>
      </w:pPr>
      <w:r w:rsidRPr="00987E68">
        <w:rPr>
          <w:rFonts w:ascii="Times New Roman" w:hAnsi="Times New Roman"/>
          <w:sz w:val="20"/>
          <w:szCs w:val="20"/>
        </w:rPr>
        <w:t>Applications of Fourier transform infrared spectroscopy (FTIR) for quality control and identification of solids samples has been established for pharmaceutical sample characterization but has limited application for illicit drug quantitative study [6, 7]. Nonetheless, rapid, direct, non-destructive and on-site detection of chemical evidence is highly warranted in forensic investigation and enforcement intelligence purposes. Several studies [8, 9] have reported the use of FTIR as a conventional approach for comparison and classification of illicit drug substances. Several works have utilized attenuated total reflection Fourier transform infrared spectroscopy (ATR</w:t>
      </w:r>
      <w:r w:rsidRPr="00987E68">
        <w:rPr>
          <w:rFonts w:ascii="Times New Roman" w:hAnsi="Times New Roman"/>
          <w:sz w:val="20"/>
          <w:szCs w:val="20"/>
        </w:rPr>
        <w:noBreakHyphen/>
        <w:t>FTIR) and diffuse reflectance near infrared spectroscopy (NIRS) for quantitative analysis of imitated samples of methylamphetamine and diacetylmorphine (heroin), respectively [</w:t>
      </w:r>
      <w:r w:rsidRPr="00987E68">
        <w:rPr>
          <w:rStyle w:val="A7"/>
          <w:rFonts w:ascii="Times New Roman" w:hAnsi="Times New Roman" w:cs="Times New Roman"/>
          <w:sz w:val="20"/>
          <w:szCs w:val="20"/>
        </w:rPr>
        <w:t xml:space="preserve">10, 11]. </w:t>
      </w:r>
    </w:p>
    <w:p w:rsidR="00987E68" w:rsidRPr="00987E68" w:rsidRDefault="00987E68" w:rsidP="00987E68">
      <w:pPr>
        <w:spacing w:after="0" w:line="240" w:lineRule="auto"/>
        <w:jc w:val="both"/>
        <w:rPr>
          <w:rStyle w:val="A7"/>
          <w:rFonts w:ascii="Times New Roman" w:hAnsi="Times New Roman" w:cs="Times New Roman"/>
          <w:sz w:val="20"/>
          <w:szCs w:val="20"/>
        </w:rPr>
      </w:pP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 xml:space="preserve">Additionally, works on the analysis of real seized samples also were done by applying the vibrational techniques jointly with chemometric analysis. While structural information is most useful for compound identification, spectral fingerprint information could be utilized for determination of sample origin although it may pose challenges for polymorph or mixed samples. Challenges were also observed for non–homogenous mixtures samples. Although FTIR is a very useful technique for extracting structural information from pure substances, IR spectra of complex real matrices that contain a wide range of contaminant/adulterants cannot be satisfactorily analyzed only by simple </w:t>
      </w:r>
      <w:r w:rsidRPr="00987E68">
        <w:rPr>
          <w:rFonts w:ascii="Times New Roman" w:hAnsi="Times New Roman"/>
          <w:sz w:val="20"/>
          <w:szCs w:val="20"/>
        </w:rPr>
        <w:lastRenderedPageBreak/>
        <w:t xml:space="preserve">spectral </w:t>
      </w:r>
      <w:r>
        <w:rPr>
          <w:rFonts w:ascii="Times New Roman" w:hAnsi="Times New Roman"/>
          <w:sz w:val="20"/>
          <w:szCs w:val="20"/>
        </w:rPr>
        <w:t xml:space="preserve"> </w:t>
      </w:r>
      <w:r w:rsidRPr="00987E68">
        <w:rPr>
          <w:rFonts w:ascii="Times New Roman" w:hAnsi="Times New Roman"/>
          <w:sz w:val="20"/>
          <w:szCs w:val="20"/>
        </w:rPr>
        <w:t xml:space="preserve">matching </w:t>
      </w:r>
      <w:r>
        <w:rPr>
          <w:rFonts w:ascii="Times New Roman" w:hAnsi="Times New Roman"/>
          <w:sz w:val="20"/>
          <w:szCs w:val="20"/>
        </w:rPr>
        <w:t xml:space="preserve"> </w:t>
      </w:r>
      <w:r w:rsidRPr="00987E68">
        <w:rPr>
          <w:rFonts w:ascii="Times New Roman" w:hAnsi="Times New Roman"/>
          <w:sz w:val="20"/>
          <w:szCs w:val="20"/>
        </w:rPr>
        <w:t xml:space="preserve">and </w:t>
      </w:r>
      <w:r>
        <w:rPr>
          <w:rFonts w:ascii="Times New Roman" w:hAnsi="Times New Roman"/>
          <w:sz w:val="20"/>
          <w:szCs w:val="20"/>
        </w:rPr>
        <w:t xml:space="preserve"> </w:t>
      </w:r>
      <w:r w:rsidRPr="00987E68">
        <w:rPr>
          <w:rFonts w:ascii="Times New Roman" w:hAnsi="Times New Roman"/>
          <w:sz w:val="20"/>
          <w:szCs w:val="20"/>
        </w:rPr>
        <w:t xml:space="preserve">univariate </w:t>
      </w:r>
      <w:r>
        <w:rPr>
          <w:rFonts w:ascii="Times New Roman" w:hAnsi="Times New Roman"/>
          <w:sz w:val="20"/>
          <w:szCs w:val="20"/>
        </w:rPr>
        <w:t xml:space="preserve"> </w:t>
      </w:r>
      <w:r w:rsidRPr="00987E68">
        <w:rPr>
          <w:rFonts w:ascii="Times New Roman" w:hAnsi="Times New Roman"/>
          <w:sz w:val="20"/>
          <w:szCs w:val="20"/>
        </w:rPr>
        <w:t xml:space="preserve">method. </w:t>
      </w:r>
      <w:r>
        <w:rPr>
          <w:rFonts w:ascii="Times New Roman" w:hAnsi="Times New Roman"/>
          <w:sz w:val="20"/>
          <w:szCs w:val="20"/>
        </w:rPr>
        <w:t xml:space="preserve"> </w:t>
      </w:r>
      <w:r w:rsidRPr="00987E68">
        <w:rPr>
          <w:rFonts w:ascii="Times New Roman" w:hAnsi="Times New Roman"/>
          <w:sz w:val="20"/>
          <w:szCs w:val="20"/>
        </w:rPr>
        <w:t xml:space="preserve">Hence, </w:t>
      </w:r>
      <w:r>
        <w:rPr>
          <w:rFonts w:ascii="Times New Roman" w:hAnsi="Times New Roman"/>
          <w:sz w:val="20"/>
          <w:szCs w:val="20"/>
        </w:rPr>
        <w:t xml:space="preserve"> </w:t>
      </w:r>
      <w:r w:rsidRPr="00987E68">
        <w:rPr>
          <w:rFonts w:ascii="Times New Roman" w:hAnsi="Times New Roman"/>
          <w:sz w:val="20"/>
          <w:szCs w:val="20"/>
        </w:rPr>
        <w:t xml:space="preserve">the use of multivariate chemometric technique is necessary [12, 13]. </w:t>
      </w:r>
    </w:p>
    <w:p w:rsidR="00987E68" w:rsidRPr="00987E68" w:rsidRDefault="00987E68" w:rsidP="00987E68">
      <w:pPr>
        <w:pStyle w:val="Pa11"/>
        <w:spacing w:line="240" w:lineRule="auto"/>
        <w:jc w:val="both"/>
        <w:rPr>
          <w:rFonts w:ascii="Times New Roman" w:hAnsi="Times New Roman" w:cs="Times New Roman"/>
          <w:sz w:val="20"/>
          <w:szCs w:val="20"/>
        </w:rPr>
      </w:pPr>
    </w:p>
    <w:p w:rsidR="00987E68" w:rsidRPr="00987E68" w:rsidRDefault="00987E68" w:rsidP="00987E68">
      <w:pPr>
        <w:pStyle w:val="Pa11"/>
        <w:spacing w:line="240" w:lineRule="auto"/>
        <w:jc w:val="both"/>
        <w:rPr>
          <w:rFonts w:ascii="Times New Roman" w:hAnsi="Times New Roman" w:cs="Times New Roman"/>
          <w:sz w:val="20"/>
          <w:szCs w:val="20"/>
        </w:rPr>
      </w:pPr>
      <w:r w:rsidRPr="00987E68">
        <w:rPr>
          <w:rFonts w:ascii="Times New Roman" w:hAnsi="Times New Roman" w:cs="Times New Roman"/>
          <w:sz w:val="20"/>
          <w:szCs w:val="20"/>
        </w:rPr>
        <w:t>Chemometric techniques such as principal component analysis (PCA) and hierarchical component analysis (HCA) are powerful tools for compressing multidimensional chemical signal and data into a few variables and presenting them graphically for ease of classification especially when the work involves with high throughput workload. This approach is widely accepted for samples of forensic importance [14]. Despite its potential, application of chemometric methods for the analysis of drugs precursors particularly pseudoephedrine is limited although similar technique is widely applied to other samples of forensic interest [15, 16]. One related work used NIRS to perform analysis of real seized samples, with the aim of discriminating ecstasy tablets [17] while another work determined heroin by using this same analytical technique with partial least-squares (PLS) regression [18].</w:t>
      </w:r>
    </w:p>
    <w:p w:rsidR="00987E68" w:rsidRPr="00987E68" w:rsidRDefault="00987E68" w:rsidP="00987E68">
      <w:pPr>
        <w:pStyle w:val="Pa11"/>
        <w:spacing w:line="240" w:lineRule="auto"/>
        <w:jc w:val="both"/>
        <w:rPr>
          <w:rFonts w:ascii="Times New Roman" w:hAnsi="Times New Roman" w:cs="Times New Roman"/>
          <w:sz w:val="20"/>
          <w:szCs w:val="20"/>
        </w:rPr>
      </w:pP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 xml:space="preserve">From a forensic intelligence perspective, investigation on the origin of the precursor used in the manufacturing process is useful to disrupt the diversion of precursors thus may help drug law enforcement authorities obtain other information of strategic relevance. Hence, this work was done to investigate the feasibility of combining non-destructive ATR-FTIR coupled to HCA and PCA as a facile and reliable approach to distinguish among pseudoephedrine samples obtained from different marketed formulations and brands. Specifically, this work presents the benefits originating from both techniques is combined for forensic source determination of precursors. </w:t>
      </w:r>
    </w:p>
    <w:p w:rsidR="00987E68" w:rsidRPr="00987E68" w:rsidRDefault="00987E68" w:rsidP="00987E68">
      <w:pPr>
        <w:spacing w:after="0" w:line="240" w:lineRule="auto"/>
        <w:jc w:val="center"/>
        <w:outlineLvl w:val="0"/>
        <w:rPr>
          <w:rFonts w:ascii="Times New Roman" w:hAnsi="Times New Roman"/>
          <w:sz w:val="20"/>
          <w:szCs w:val="20"/>
        </w:rPr>
      </w:pPr>
    </w:p>
    <w:p w:rsidR="00987E68" w:rsidRPr="00987E68" w:rsidRDefault="00987E68" w:rsidP="00987E68">
      <w:pPr>
        <w:spacing w:after="0" w:line="240" w:lineRule="auto"/>
        <w:jc w:val="center"/>
        <w:outlineLvl w:val="0"/>
        <w:rPr>
          <w:rFonts w:ascii="Times New Roman" w:hAnsi="Times New Roman"/>
          <w:b/>
          <w:sz w:val="20"/>
          <w:szCs w:val="20"/>
        </w:rPr>
      </w:pPr>
      <w:r w:rsidRPr="00987E68">
        <w:rPr>
          <w:rFonts w:ascii="Times New Roman" w:hAnsi="Times New Roman"/>
          <w:b/>
          <w:sz w:val="20"/>
          <w:szCs w:val="20"/>
        </w:rPr>
        <w:t>Materials and Methods</w:t>
      </w:r>
    </w:p>
    <w:p w:rsidR="00987E68" w:rsidRPr="00987E68" w:rsidRDefault="00987E68" w:rsidP="00987E68">
      <w:pPr>
        <w:spacing w:after="0" w:line="240" w:lineRule="auto"/>
        <w:jc w:val="both"/>
        <w:outlineLvl w:val="0"/>
        <w:rPr>
          <w:rFonts w:ascii="Times New Roman" w:hAnsi="Times New Roman"/>
          <w:b/>
          <w:sz w:val="20"/>
          <w:szCs w:val="20"/>
        </w:rPr>
      </w:pPr>
      <w:r w:rsidRPr="00987E68">
        <w:rPr>
          <w:rFonts w:ascii="Times New Roman" w:hAnsi="Times New Roman"/>
          <w:b/>
          <w:sz w:val="20"/>
          <w:szCs w:val="20"/>
        </w:rPr>
        <w:t xml:space="preserve">Materials </w:t>
      </w:r>
    </w:p>
    <w:p w:rsidR="00987E68" w:rsidRPr="00987E68" w:rsidRDefault="00987E68" w:rsidP="00987E68">
      <w:pPr>
        <w:spacing w:after="0" w:line="240" w:lineRule="auto"/>
        <w:jc w:val="both"/>
        <w:rPr>
          <w:rFonts w:ascii="Times New Roman" w:eastAsiaTheme="minorHAnsi" w:hAnsi="Times New Roman"/>
          <w:sz w:val="20"/>
          <w:szCs w:val="20"/>
          <w:lang w:val="en-MY"/>
        </w:rPr>
      </w:pPr>
      <w:r w:rsidRPr="00987E68">
        <w:rPr>
          <w:rFonts w:ascii="Times New Roman" w:hAnsi="Times New Roman"/>
          <w:sz w:val="20"/>
          <w:szCs w:val="20"/>
        </w:rPr>
        <w:t>Sodium hydroxide pellets (NaOH) and 37% hydrochloric acid (HCl) were purchased from Friedman Schmidt, Germany USA. Diethyl ether, ethanol and sodium sulphate anhydrous were purchased from System, Malaysia. Distilled water was obtained from an in-house water purification system.</w:t>
      </w:r>
      <w:r w:rsidRPr="00987E68">
        <w:rPr>
          <w:rFonts w:ascii="Times New Roman" w:eastAsiaTheme="minorHAnsi" w:hAnsi="Times New Roman"/>
          <w:sz w:val="20"/>
          <w:szCs w:val="20"/>
          <w:lang w:val="en-MY"/>
        </w:rPr>
        <w:t xml:space="preserve"> </w:t>
      </w:r>
    </w:p>
    <w:p w:rsidR="00987E68" w:rsidRPr="00987E68" w:rsidRDefault="00987E68" w:rsidP="00987E68">
      <w:pPr>
        <w:spacing w:after="0" w:line="240" w:lineRule="auto"/>
        <w:jc w:val="both"/>
        <w:rPr>
          <w:rFonts w:ascii="Times New Roman" w:hAnsi="Times New Roman"/>
          <w:sz w:val="20"/>
          <w:szCs w:val="20"/>
        </w:rPr>
      </w:pPr>
    </w:p>
    <w:p w:rsidR="00987E68" w:rsidRPr="00987E68" w:rsidRDefault="00987E68" w:rsidP="00987E68">
      <w:pPr>
        <w:spacing w:after="0" w:line="240" w:lineRule="auto"/>
        <w:jc w:val="both"/>
        <w:outlineLvl w:val="0"/>
        <w:rPr>
          <w:rFonts w:ascii="Times New Roman" w:hAnsi="Times New Roman"/>
          <w:b/>
          <w:sz w:val="20"/>
          <w:szCs w:val="20"/>
        </w:rPr>
      </w:pPr>
      <w:r w:rsidRPr="00987E68">
        <w:rPr>
          <w:rFonts w:ascii="Times New Roman" w:hAnsi="Times New Roman"/>
          <w:b/>
          <w:sz w:val="20"/>
          <w:szCs w:val="20"/>
        </w:rPr>
        <w:t>Samples collection</w:t>
      </w: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Decongestant tablets containing pseudoephedrine active compounds at varying strengths and from various manufacturer were purchased from registered pharmacies around Kota Bharu area in Kelantan, Malaysia. Decongestant tablet encountered in pseudoephedrine hydrochloride or sulfate form is a controlled medication. Both types were collected for the discrimination study before and after pseudoephedrine extraction. For security purposes regarding the clandestine operation, the samples were anonymously coded (Table 1). Other declared APIs and excipients  of these tablets include loratadine,  povidone,  triprolidine,  paracetamol, polyethylene glycol, wax, talc powder, magnesium stearate, corn starch and calcium phosphate to name a few. Physical descriptions of the samples were noted.</w:t>
      </w:r>
    </w:p>
    <w:p w:rsidR="00987E68" w:rsidRPr="00987E68" w:rsidRDefault="00987E68" w:rsidP="00987E68">
      <w:pPr>
        <w:spacing w:after="0" w:line="240" w:lineRule="auto"/>
        <w:jc w:val="both"/>
        <w:rPr>
          <w:rFonts w:ascii="Times New Roman" w:hAnsi="Times New Roman"/>
          <w:sz w:val="20"/>
          <w:szCs w:val="20"/>
        </w:rPr>
      </w:pPr>
    </w:p>
    <w:p w:rsidR="00987E68" w:rsidRPr="00987E68" w:rsidRDefault="00987E68" w:rsidP="00987E68">
      <w:pPr>
        <w:spacing w:after="0" w:line="240" w:lineRule="auto"/>
        <w:jc w:val="both"/>
        <w:rPr>
          <w:rFonts w:ascii="Times New Roman" w:hAnsi="Times New Roman"/>
          <w:b/>
          <w:strike/>
          <w:sz w:val="20"/>
          <w:szCs w:val="20"/>
        </w:rPr>
      </w:pPr>
      <w:r w:rsidRPr="00987E68">
        <w:rPr>
          <w:rFonts w:ascii="Times New Roman" w:hAnsi="Times New Roman"/>
          <w:b/>
          <w:sz w:val="20"/>
          <w:szCs w:val="20"/>
        </w:rPr>
        <w:t>Samples preparation</w:t>
      </w: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All samples under study underwent simple preparative means prior to analytical measurement. For each brand, the tablets were divided into three equal portions. Size reduction was done by crushing the tablets using pestle and mortar and the powdered form was homogenized using square and cone technique. The homogenized sample was divided to three portions. The first portion was intended for direct analysis while the second and third portions were subjected to simple extraction and acid-base extraction respectively.</w:t>
      </w:r>
    </w:p>
    <w:p w:rsidR="00987E68" w:rsidRPr="00987E68" w:rsidRDefault="00987E68" w:rsidP="00987E68">
      <w:pPr>
        <w:spacing w:after="0" w:line="240" w:lineRule="auto"/>
        <w:jc w:val="both"/>
        <w:rPr>
          <w:rFonts w:ascii="Times New Roman" w:hAnsi="Times New Roman"/>
          <w:sz w:val="20"/>
          <w:szCs w:val="20"/>
        </w:rPr>
      </w:pP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 xml:space="preserve">Simple and direct extraction was carried out by dissolving the homogenous sample in ethanol, covered, agitated for 10 minutes and filtered by gravity filtration. The pseudoephedrine–containing solvent was evaporated and the resultant solid was collected for subsequent analysis. </w:t>
      </w:r>
    </w:p>
    <w:p w:rsidR="00987E68" w:rsidRPr="00987E68" w:rsidRDefault="00987E68" w:rsidP="00987E68">
      <w:pPr>
        <w:spacing w:after="0" w:line="240" w:lineRule="auto"/>
        <w:jc w:val="both"/>
        <w:rPr>
          <w:rFonts w:ascii="Times New Roman" w:hAnsi="Times New Roman"/>
          <w:sz w:val="20"/>
          <w:szCs w:val="20"/>
        </w:rPr>
      </w:pP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Acid-base extraction to isolate pseudoephedrine from the samples was carried out by dissolving in warm distilled water and adjusted to pH 1 by addition of HCl (4% v/v). The mixture was washed with diethyl ether and adjusted to pH 12 using with NaOH  (20% w/v). Diethyl ether (20 mL) was added into the basified mixture and shaken for 10 minutes. This process was repeated for three times. The collected diethyl ether was washed with distilled water and dried using sodium sulfate anhydrous. The pseudoephedrine–containing organic solvent was left to evaporate and the resultant solid was then collected.</w:t>
      </w:r>
      <w:bookmarkStart w:id="3" w:name="_Hlk34829633"/>
    </w:p>
    <w:p w:rsidR="00987E68" w:rsidRPr="00987E68" w:rsidRDefault="00987E68" w:rsidP="00987E68">
      <w:pPr>
        <w:spacing w:after="0" w:line="240" w:lineRule="auto"/>
        <w:jc w:val="both"/>
        <w:rPr>
          <w:rFonts w:ascii="Times New Roman" w:hAnsi="Times New Roman"/>
          <w:sz w:val="20"/>
          <w:szCs w:val="20"/>
        </w:rPr>
      </w:pP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lastRenderedPageBreak/>
        <w:t xml:space="preserve">Six replicates were performed for each sample, therefore  in  total,  90 samples were subjected to subsequent  analysis.  For ease of identification, each prepared sample were given a reference code as displayed in Table 1. </w:t>
      </w:r>
    </w:p>
    <w:p w:rsidR="00987E68" w:rsidRPr="00987E68" w:rsidRDefault="00987E68" w:rsidP="00987E68">
      <w:pPr>
        <w:spacing w:after="120" w:line="240" w:lineRule="auto"/>
        <w:jc w:val="both"/>
        <w:rPr>
          <w:rFonts w:ascii="Times New Roman" w:hAnsi="Times New Roman"/>
          <w:sz w:val="20"/>
          <w:szCs w:val="20"/>
        </w:rPr>
      </w:pPr>
    </w:p>
    <w:p w:rsidR="00987E68" w:rsidRPr="00987E68" w:rsidRDefault="00987E68" w:rsidP="00987E68">
      <w:pPr>
        <w:spacing w:after="120" w:line="240" w:lineRule="auto"/>
        <w:jc w:val="center"/>
        <w:rPr>
          <w:rFonts w:ascii="Times New Roman" w:hAnsi="Times New Roman"/>
          <w:sz w:val="20"/>
          <w:szCs w:val="20"/>
        </w:rPr>
      </w:pPr>
      <w:r w:rsidRPr="00987E68">
        <w:rPr>
          <w:rFonts w:ascii="Times New Roman" w:hAnsi="Times New Roman"/>
          <w:sz w:val="20"/>
          <w:szCs w:val="20"/>
        </w:rPr>
        <w:t xml:space="preserve">Table 1. </w:t>
      </w:r>
      <w:r>
        <w:rPr>
          <w:rFonts w:ascii="Times New Roman" w:hAnsi="Times New Roman"/>
          <w:sz w:val="20"/>
          <w:szCs w:val="20"/>
        </w:rPr>
        <w:t xml:space="preserve"> </w:t>
      </w:r>
      <w:r w:rsidRPr="00987E68">
        <w:rPr>
          <w:rFonts w:ascii="Times New Roman" w:hAnsi="Times New Roman"/>
          <w:sz w:val="20"/>
          <w:szCs w:val="20"/>
        </w:rPr>
        <w:t>Decongestant samples understudy with their respective reference code</w:t>
      </w:r>
      <w:bookmarkEnd w:id="3"/>
    </w:p>
    <w:tbl>
      <w:tblPr>
        <w:tblStyle w:val="TableGrid"/>
        <w:tblW w:w="0" w:type="auto"/>
        <w:jc w:val="center"/>
        <w:tblInd w:w="-35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7"/>
        <w:gridCol w:w="2821"/>
        <w:gridCol w:w="749"/>
        <w:gridCol w:w="1127"/>
        <w:gridCol w:w="1127"/>
      </w:tblGrid>
      <w:tr w:rsidR="00987E68" w:rsidRPr="00987E68" w:rsidTr="00987E68">
        <w:trPr>
          <w:jc w:val="center"/>
        </w:trPr>
        <w:tc>
          <w:tcPr>
            <w:tcW w:w="2797" w:type="dxa"/>
            <w:vMerge w:val="restart"/>
            <w:tcBorders>
              <w:top w:val="single" w:sz="4" w:space="0" w:color="auto"/>
              <w:bottom w:val="nil"/>
            </w:tcBorders>
          </w:tcPr>
          <w:p w:rsidR="00987E68" w:rsidRPr="00987E68" w:rsidRDefault="00987E68" w:rsidP="00987E68">
            <w:pPr>
              <w:spacing w:before="180" w:after="0" w:line="240" w:lineRule="auto"/>
              <w:rPr>
                <w:rFonts w:ascii="Times New Roman" w:hAnsi="Times New Roman" w:cs="Times New Roman"/>
                <w:b/>
                <w:sz w:val="20"/>
                <w:szCs w:val="20"/>
              </w:rPr>
            </w:pPr>
            <w:r w:rsidRPr="00987E68">
              <w:rPr>
                <w:rFonts w:ascii="Times New Roman" w:hAnsi="Times New Roman" w:cs="Times New Roman"/>
                <w:b/>
                <w:sz w:val="20"/>
                <w:szCs w:val="20"/>
              </w:rPr>
              <w:t xml:space="preserve">Tablets </w:t>
            </w:r>
          </w:p>
          <w:p w:rsidR="00987E68" w:rsidRPr="00987E68" w:rsidRDefault="00987E68" w:rsidP="00987E68">
            <w:pPr>
              <w:spacing w:after="0" w:line="240" w:lineRule="auto"/>
              <w:rPr>
                <w:rFonts w:ascii="Times New Roman" w:hAnsi="Times New Roman" w:cs="Times New Roman"/>
                <w:b/>
                <w:sz w:val="20"/>
                <w:szCs w:val="20"/>
              </w:rPr>
            </w:pPr>
            <w:r w:rsidRPr="00987E68">
              <w:rPr>
                <w:rFonts w:ascii="Times New Roman" w:hAnsi="Times New Roman" w:cs="Times New Roman"/>
                <w:b/>
                <w:sz w:val="20"/>
                <w:szCs w:val="20"/>
              </w:rPr>
              <w:t>(API contents)</w:t>
            </w:r>
          </w:p>
        </w:tc>
        <w:tc>
          <w:tcPr>
            <w:tcW w:w="0" w:type="auto"/>
            <w:vMerge w:val="restart"/>
            <w:tcBorders>
              <w:top w:val="single" w:sz="4" w:space="0" w:color="auto"/>
              <w:bottom w:val="nil"/>
            </w:tcBorders>
          </w:tcPr>
          <w:p w:rsidR="00987E68" w:rsidRPr="00987E68" w:rsidRDefault="00987E68" w:rsidP="00987E68">
            <w:pPr>
              <w:spacing w:before="180" w:after="0" w:line="240" w:lineRule="auto"/>
              <w:rPr>
                <w:rFonts w:ascii="Times New Roman" w:hAnsi="Times New Roman" w:cs="Times New Roman"/>
                <w:b/>
                <w:sz w:val="20"/>
                <w:szCs w:val="20"/>
              </w:rPr>
            </w:pPr>
            <w:r w:rsidRPr="00987E68">
              <w:rPr>
                <w:rFonts w:ascii="Times New Roman" w:hAnsi="Times New Roman" w:cs="Times New Roman"/>
                <w:b/>
                <w:sz w:val="20"/>
                <w:szCs w:val="20"/>
              </w:rPr>
              <w:t>Physical Description</w:t>
            </w:r>
          </w:p>
        </w:tc>
        <w:tc>
          <w:tcPr>
            <w:tcW w:w="0" w:type="auto"/>
            <w:gridSpan w:val="3"/>
            <w:tcBorders>
              <w:top w:val="single" w:sz="4" w:space="0" w:color="auto"/>
              <w:bottom w:val="single" w:sz="4" w:space="0" w:color="auto"/>
            </w:tcBorders>
          </w:tcPr>
          <w:p w:rsidR="00987E68" w:rsidRPr="00987E68" w:rsidRDefault="00987E68" w:rsidP="00987E68">
            <w:pPr>
              <w:spacing w:before="60" w:after="0" w:line="240" w:lineRule="auto"/>
              <w:jc w:val="center"/>
              <w:rPr>
                <w:rFonts w:ascii="Times New Roman" w:hAnsi="Times New Roman" w:cs="Times New Roman"/>
                <w:b/>
                <w:sz w:val="20"/>
                <w:szCs w:val="20"/>
              </w:rPr>
            </w:pPr>
            <w:r w:rsidRPr="00987E68">
              <w:rPr>
                <w:rFonts w:ascii="Times New Roman" w:hAnsi="Times New Roman" w:cs="Times New Roman"/>
                <w:b/>
                <w:sz w:val="20"/>
                <w:szCs w:val="20"/>
              </w:rPr>
              <w:t>Preparations</w:t>
            </w:r>
          </w:p>
        </w:tc>
      </w:tr>
      <w:tr w:rsidR="00987E68" w:rsidRPr="00987E68" w:rsidTr="00987E68">
        <w:trPr>
          <w:jc w:val="center"/>
        </w:trPr>
        <w:tc>
          <w:tcPr>
            <w:tcW w:w="2797" w:type="dxa"/>
            <w:vMerge/>
            <w:tcBorders>
              <w:top w:val="nil"/>
              <w:bottom w:val="single" w:sz="4" w:space="0" w:color="auto"/>
            </w:tcBorders>
          </w:tcPr>
          <w:p w:rsidR="00987E68" w:rsidRPr="00987E68" w:rsidRDefault="00987E68" w:rsidP="00987E68">
            <w:pPr>
              <w:spacing w:after="0" w:line="240" w:lineRule="auto"/>
              <w:rPr>
                <w:rFonts w:ascii="Times New Roman" w:hAnsi="Times New Roman" w:cs="Times New Roman"/>
                <w:sz w:val="20"/>
                <w:szCs w:val="20"/>
              </w:rPr>
            </w:pPr>
          </w:p>
        </w:tc>
        <w:tc>
          <w:tcPr>
            <w:tcW w:w="0" w:type="auto"/>
            <w:vMerge/>
            <w:tcBorders>
              <w:top w:val="nil"/>
              <w:bottom w:val="single" w:sz="4" w:space="0" w:color="auto"/>
            </w:tcBorders>
          </w:tcPr>
          <w:p w:rsidR="00987E68" w:rsidRPr="00987E68" w:rsidRDefault="00987E68" w:rsidP="00987E68">
            <w:pPr>
              <w:spacing w:after="0" w:line="240" w:lineRule="auto"/>
              <w:rPr>
                <w:rFonts w:ascii="Times New Roman" w:hAnsi="Times New Roman" w:cs="Times New Roman"/>
                <w:sz w:val="20"/>
                <w:szCs w:val="20"/>
              </w:rPr>
            </w:pPr>
          </w:p>
        </w:tc>
        <w:tc>
          <w:tcPr>
            <w:tcW w:w="0" w:type="auto"/>
            <w:tcBorders>
              <w:top w:val="single" w:sz="4" w:space="0" w:color="auto"/>
              <w:bottom w:val="single" w:sz="4" w:space="0" w:color="auto"/>
            </w:tcBorders>
          </w:tcPr>
          <w:p w:rsidR="00987E68" w:rsidRPr="00987E68" w:rsidRDefault="00987E68" w:rsidP="00987E68">
            <w:pPr>
              <w:spacing w:after="0" w:line="240" w:lineRule="auto"/>
              <w:jc w:val="center"/>
              <w:rPr>
                <w:rFonts w:ascii="Times New Roman" w:hAnsi="Times New Roman" w:cs="Times New Roman"/>
                <w:b/>
                <w:bCs/>
                <w:sz w:val="20"/>
                <w:szCs w:val="20"/>
              </w:rPr>
            </w:pPr>
            <w:r w:rsidRPr="00987E68">
              <w:rPr>
                <w:rFonts w:ascii="Times New Roman" w:hAnsi="Times New Roman" w:cs="Times New Roman"/>
                <w:b/>
                <w:bCs/>
                <w:sz w:val="20"/>
                <w:szCs w:val="20"/>
              </w:rPr>
              <w:t>Direct</w:t>
            </w:r>
          </w:p>
        </w:tc>
        <w:tc>
          <w:tcPr>
            <w:tcW w:w="0" w:type="auto"/>
            <w:tcBorders>
              <w:top w:val="single" w:sz="4" w:space="0" w:color="auto"/>
              <w:bottom w:val="single" w:sz="4" w:space="0" w:color="auto"/>
            </w:tcBorders>
          </w:tcPr>
          <w:p w:rsidR="00987E68" w:rsidRPr="00987E68" w:rsidRDefault="00987E68" w:rsidP="00987E68">
            <w:pPr>
              <w:spacing w:after="0" w:line="240" w:lineRule="auto"/>
              <w:jc w:val="center"/>
              <w:rPr>
                <w:rFonts w:ascii="Times New Roman" w:hAnsi="Times New Roman" w:cs="Times New Roman"/>
                <w:b/>
                <w:bCs/>
                <w:sz w:val="20"/>
                <w:szCs w:val="20"/>
              </w:rPr>
            </w:pPr>
            <w:r w:rsidRPr="00987E68">
              <w:rPr>
                <w:rFonts w:ascii="Times New Roman" w:hAnsi="Times New Roman" w:cs="Times New Roman"/>
                <w:b/>
                <w:bCs/>
                <w:sz w:val="20"/>
                <w:szCs w:val="20"/>
              </w:rPr>
              <w:t>Simple</w:t>
            </w:r>
          </w:p>
          <w:p w:rsidR="00987E68" w:rsidRPr="00987E68" w:rsidRDefault="00987E68" w:rsidP="00987E68">
            <w:pPr>
              <w:spacing w:after="0" w:line="240" w:lineRule="auto"/>
              <w:jc w:val="center"/>
              <w:rPr>
                <w:rFonts w:ascii="Times New Roman" w:hAnsi="Times New Roman" w:cs="Times New Roman"/>
                <w:b/>
                <w:bCs/>
                <w:sz w:val="20"/>
                <w:szCs w:val="20"/>
              </w:rPr>
            </w:pPr>
            <w:r w:rsidRPr="00987E68">
              <w:rPr>
                <w:rFonts w:ascii="Times New Roman" w:hAnsi="Times New Roman" w:cs="Times New Roman"/>
                <w:b/>
                <w:bCs/>
                <w:sz w:val="20"/>
                <w:szCs w:val="20"/>
              </w:rPr>
              <w:t>Extraction</w:t>
            </w:r>
          </w:p>
        </w:tc>
        <w:tc>
          <w:tcPr>
            <w:tcW w:w="0" w:type="auto"/>
            <w:tcBorders>
              <w:top w:val="single" w:sz="4" w:space="0" w:color="auto"/>
              <w:bottom w:val="single" w:sz="4" w:space="0" w:color="auto"/>
            </w:tcBorders>
          </w:tcPr>
          <w:p w:rsidR="00987E68" w:rsidRPr="00987E68" w:rsidRDefault="00987E68" w:rsidP="00987E68">
            <w:pPr>
              <w:spacing w:after="0" w:line="240" w:lineRule="auto"/>
              <w:jc w:val="center"/>
              <w:rPr>
                <w:rFonts w:ascii="Times New Roman" w:hAnsi="Times New Roman" w:cs="Times New Roman"/>
                <w:b/>
                <w:bCs/>
                <w:sz w:val="20"/>
                <w:szCs w:val="20"/>
              </w:rPr>
            </w:pPr>
            <w:r w:rsidRPr="00987E68">
              <w:rPr>
                <w:rFonts w:ascii="Times New Roman" w:hAnsi="Times New Roman" w:cs="Times New Roman"/>
                <w:b/>
                <w:bCs/>
                <w:sz w:val="20"/>
                <w:szCs w:val="20"/>
              </w:rPr>
              <w:t>Acid Base</w:t>
            </w:r>
          </w:p>
          <w:p w:rsidR="00987E68" w:rsidRPr="00987E68" w:rsidRDefault="00987E68" w:rsidP="00987E68">
            <w:pPr>
              <w:spacing w:after="60" w:line="240" w:lineRule="auto"/>
              <w:jc w:val="center"/>
              <w:rPr>
                <w:rFonts w:ascii="Times New Roman" w:hAnsi="Times New Roman" w:cs="Times New Roman"/>
                <w:b/>
                <w:bCs/>
                <w:sz w:val="20"/>
                <w:szCs w:val="20"/>
              </w:rPr>
            </w:pPr>
            <w:r w:rsidRPr="00987E68">
              <w:rPr>
                <w:rFonts w:ascii="Times New Roman" w:hAnsi="Times New Roman" w:cs="Times New Roman"/>
                <w:b/>
                <w:bCs/>
                <w:sz w:val="20"/>
                <w:szCs w:val="20"/>
              </w:rPr>
              <w:t>Extraction</w:t>
            </w:r>
          </w:p>
        </w:tc>
      </w:tr>
      <w:tr w:rsidR="00987E68" w:rsidRPr="00987E68" w:rsidTr="00987E68">
        <w:trPr>
          <w:jc w:val="center"/>
        </w:trPr>
        <w:tc>
          <w:tcPr>
            <w:tcW w:w="2797" w:type="dxa"/>
            <w:tcBorders>
              <w:top w:val="single" w:sz="4" w:space="0" w:color="auto"/>
            </w:tcBorders>
          </w:tcPr>
          <w:p w:rsidR="00987E68" w:rsidRPr="00987E68" w:rsidRDefault="00987E68" w:rsidP="00987E68">
            <w:pPr>
              <w:spacing w:before="60" w:after="0" w:line="240" w:lineRule="auto"/>
              <w:rPr>
                <w:rFonts w:ascii="Times New Roman" w:hAnsi="Times New Roman" w:cs="Times New Roman"/>
                <w:sz w:val="20"/>
                <w:szCs w:val="20"/>
              </w:rPr>
            </w:pPr>
            <w:r w:rsidRPr="00987E68">
              <w:rPr>
                <w:rFonts w:ascii="Times New Roman" w:hAnsi="Times New Roman" w:cs="Times New Roman"/>
                <w:sz w:val="20"/>
                <w:szCs w:val="20"/>
              </w:rPr>
              <w:t>A (C</w:t>
            </w:r>
            <w:r w:rsidRPr="00987E68">
              <w:rPr>
                <w:rFonts w:ascii="Times New Roman" w:hAnsi="Times New Roman" w:cs="Times New Roman"/>
                <w:sz w:val="20"/>
                <w:szCs w:val="20"/>
                <w:vertAlign w:val="subscript"/>
              </w:rPr>
              <w:t>10</w:t>
            </w:r>
            <w:r w:rsidRPr="00987E68">
              <w:rPr>
                <w:rFonts w:ascii="Times New Roman" w:hAnsi="Times New Roman" w:cs="Times New Roman"/>
                <w:sz w:val="20"/>
                <w:szCs w:val="20"/>
              </w:rPr>
              <w:t>H</w:t>
            </w:r>
            <w:r w:rsidRPr="00987E68">
              <w:rPr>
                <w:rFonts w:ascii="Times New Roman" w:hAnsi="Times New Roman" w:cs="Times New Roman"/>
                <w:sz w:val="20"/>
                <w:szCs w:val="20"/>
                <w:vertAlign w:val="subscript"/>
              </w:rPr>
              <w:t>15</w:t>
            </w:r>
            <w:r w:rsidRPr="00987E68">
              <w:rPr>
                <w:rFonts w:ascii="Times New Roman" w:hAnsi="Times New Roman" w:cs="Times New Roman"/>
                <w:sz w:val="20"/>
                <w:szCs w:val="20"/>
              </w:rPr>
              <w:t>NO.SO</w:t>
            </w:r>
            <w:r w:rsidRPr="00987E68">
              <w:rPr>
                <w:rFonts w:ascii="Times New Roman" w:hAnsi="Times New Roman" w:cs="Times New Roman"/>
                <w:sz w:val="20"/>
                <w:szCs w:val="20"/>
                <w:vertAlign w:val="subscript"/>
              </w:rPr>
              <w:t>4</w:t>
            </w:r>
            <w:r w:rsidRPr="00987E68">
              <w:rPr>
                <w:rFonts w:ascii="Times New Roman" w:hAnsi="Times New Roman" w:cs="Times New Roman"/>
                <w:sz w:val="20"/>
                <w:szCs w:val="20"/>
              </w:rPr>
              <w:t>, 120 mg)</w:t>
            </w:r>
          </w:p>
        </w:tc>
        <w:tc>
          <w:tcPr>
            <w:tcW w:w="0" w:type="auto"/>
            <w:tcBorders>
              <w:top w:val="single" w:sz="4" w:space="0" w:color="auto"/>
            </w:tcBorders>
          </w:tcPr>
          <w:p w:rsidR="00987E68" w:rsidRPr="00987E68" w:rsidRDefault="00987E68" w:rsidP="00987E68">
            <w:pPr>
              <w:spacing w:before="60" w:after="0" w:line="240" w:lineRule="auto"/>
              <w:rPr>
                <w:rFonts w:ascii="Times New Roman" w:hAnsi="Times New Roman" w:cs="Times New Roman"/>
                <w:sz w:val="20"/>
                <w:szCs w:val="20"/>
              </w:rPr>
            </w:pPr>
            <w:r w:rsidRPr="00987E68">
              <w:rPr>
                <w:rFonts w:ascii="Times New Roman" w:hAnsi="Times New Roman" w:cs="Times New Roman"/>
                <w:sz w:val="20"/>
                <w:szCs w:val="20"/>
              </w:rPr>
              <w:t>White, round, wax-coated</w:t>
            </w:r>
          </w:p>
        </w:tc>
        <w:tc>
          <w:tcPr>
            <w:tcW w:w="0" w:type="auto"/>
            <w:tcBorders>
              <w:top w:val="single" w:sz="4" w:space="0" w:color="auto"/>
            </w:tcBorders>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AP</w:t>
            </w:r>
          </w:p>
        </w:tc>
        <w:tc>
          <w:tcPr>
            <w:tcW w:w="0" w:type="auto"/>
            <w:tcBorders>
              <w:top w:val="single" w:sz="4" w:space="0" w:color="auto"/>
            </w:tcBorders>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AD</w:t>
            </w:r>
          </w:p>
        </w:tc>
        <w:tc>
          <w:tcPr>
            <w:tcW w:w="0" w:type="auto"/>
            <w:tcBorders>
              <w:top w:val="single" w:sz="4" w:space="0" w:color="auto"/>
            </w:tcBorders>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AS</w:t>
            </w:r>
          </w:p>
        </w:tc>
      </w:tr>
      <w:tr w:rsidR="00987E68" w:rsidRPr="00987E68" w:rsidTr="00987E68">
        <w:trPr>
          <w:jc w:val="center"/>
        </w:trPr>
        <w:tc>
          <w:tcPr>
            <w:tcW w:w="2797" w:type="dxa"/>
          </w:tcPr>
          <w:p w:rsidR="00987E68" w:rsidRPr="00987E68" w:rsidRDefault="00987E68" w:rsidP="00987E68">
            <w:pPr>
              <w:spacing w:before="60" w:after="0" w:line="240" w:lineRule="auto"/>
              <w:rPr>
                <w:rFonts w:ascii="Times New Roman" w:hAnsi="Times New Roman" w:cs="Times New Roman"/>
                <w:sz w:val="20"/>
                <w:szCs w:val="20"/>
              </w:rPr>
            </w:pPr>
            <w:r w:rsidRPr="00987E68">
              <w:rPr>
                <w:rFonts w:ascii="Times New Roman" w:hAnsi="Times New Roman" w:cs="Times New Roman"/>
                <w:sz w:val="20"/>
                <w:szCs w:val="20"/>
              </w:rPr>
              <w:t>B (C</w:t>
            </w:r>
            <w:r w:rsidRPr="00987E68">
              <w:rPr>
                <w:rFonts w:ascii="Times New Roman" w:hAnsi="Times New Roman" w:cs="Times New Roman"/>
                <w:sz w:val="20"/>
                <w:szCs w:val="20"/>
                <w:vertAlign w:val="subscript"/>
              </w:rPr>
              <w:t>10</w:t>
            </w:r>
            <w:r w:rsidRPr="00987E68">
              <w:rPr>
                <w:rFonts w:ascii="Times New Roman" w:hAnsi="Times New Roman" w:cs="Times New Roman"/>
                <w:sz w:val="20"/>
                <w:szCs w:val="20"/>
              </w:rPr>
              <w:t>H</w:t>
            </w:r>
            <w:r w:rsidRPr="00987E68">
              <w:rPr>
                <w:rFonts w:ascii="Times New Roman" w:hAnsi="Times New Roman" w:cs="Times New Roman"/>
                <w:sz w:val="20"/>
                <w:szCs w:val="20"/>
                <w:vertAlign w:val="subscript"/>
              </w:rPr>
              <w:t>15</w:t>
            </w:r>
            <w:r w:rsidRPr="00987E68">
              <w:rPr>
                <w:rFonts w:ascii="Times New Roman" w:hAnsi="Times New Roman" w:cs="Times New Roman"/>
                <w:sz w:val="20"/>
                <w:szCs w:val="20"/>
              </w:rPr>
              <w:t>NO.HCl, 60 mg)</w:t>
            </w:r>
          </w:p>
        </w:tc>
        <w:tc>
          <w:tcPr>
            <w:tcW w:w="0" w:type="auto"/>
          </w:tcPr>
          <w:p w:rsidR="00987E68" w:rsidRPr="00987E68" w:rsidRDefault="00987E68" w:rsidP="00987E68">
            <w:pPr>
              <w:spacing w:before="60" w:after="0" w:line="240" w:lineRule="auto"/>
              <w:rPr>
                <w:rFonts w:ascii="Times New Roman" w:hAnsi="Times New Roman" w:cs="Times New Roman"/>
                <w:sz w:val="20"/>
                <w:szCs w:val="20"/>
              </w:rPr>
            </w:pPr>
            <w:r w:rsidRPr="00987E68">
              <w:rPr>
                <w:rFonts w:ascii="Times New Roman" w:hAnsi="Times New Roman" w:cs="Times New Roman"/>
                <w:sz w:val="20"/>
                <w:szCs w:val="20"/>
              </w:rPr>
              <w:t>White, round, wax-coated</w:t>
            </w:r>
          </w:p>
        </w:tc>
        <w:tc>
          <w:tcPr>
            <w:tcW w:w="0" w:type="auto"/>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BP</w:t>
            </w:r>
          </w:p>
        </w:tc>
        <w:tc>
          <w:tcPr>
            <w:tcW w:w="0" w:type="auto"/>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BD</w:t>
            </w:r>
          </w:p>
        </w:tc>
        <w:tc>
          <w:tcPr>
            <w:tcW w:w="0" w:type="auto"/>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BS</w:t>
            </w:r>
          </w:p>
        </w:tc>
      </w:tr>
      <w:tr w:rsidR="00987E68" w:rsidRPr="00987E68" w:rsidTr="00987E68">
        <w:trPr>
          <w:jc w:val="center"/>
        </w:trPr>
        <w:tc>
          <w:tcPr>
            <w:tcW w:w="2797" w:type="dxa"/>
          </w:tcPr>
          <w:p w:rsidR="00987E68" w:rsidRPr="00987E68" w:rsidRDefault="00987E68" w:rsidP="00987E68">
            <w:pPr>
              <w:spacing w:before="60" w:after="0" w:line="240" w:lineRule="auto"/>
              <w:rPr>
                <w:rFonts w:ascii="Times New Roman" w:hAnsi="Times New Roman" w:cs="Times New Roman"/>
                <w:sz w:val="20"/>
                <w:szCs w:val="20"/>
              </w:rPr>
            </w:pPr>
            <w:r w:rsidRPr="00987E68">
              <w:rPr>
                <w:rFonts w:ascii="Times New Roman" w:hAnsi="Times New Roman" w:cs="Times New Roman"/>
                <w:sz w:val="20"/>
                <w:szCs w:val="20"/>
              </w:rPr>
              <w:t>C (C</w:t>
            </w:r>
            <w:r w:rsidRPr="00987E68">
              <w:rPr>
                <w:rFonts w:ascii="Times New Roman" w:hAnsi="Times New Roman" w:cs="Times New Roman"/>
                <w:sz w:val="20"/>
                <w:szCs w:val="20"/>
                <w:vertAlign w:val="subscript"/>
              </w:rPr>
              <w:t>10</w:t>
            </w:r>
            <w:r w:rsidRPr="00987E68">
              <w:rPr>
                <w:rFonts w:ascii="Times New Roman" w:hAnsi="Times New Roman" w:cs="Times New Roman"/>
                <w:sz w:val="20"/>
                <w:szCs w:val="20"/>
              </w:rPr>
              <w:t>H</w:t>
            </w:r>
            <w:r w:rsidRPr="00987E68">
              <w:rPr>
                <w:rFonts w:ascii="Times New Roman" w:hAnsi="Times New Roman" w:cs="Times New Roman"/>
                <w:sz w:val="20"/>
                <w:szCs w:val="20"/>
                <w:vertAlign w:val="subscript"/>
              </w:rPr>
              <w:t>15</w:t>
            </w:r>
            <w:r w:rsidRPr="00987E68">
              <w:rPr>
                <w:rFonts w:ascii="Times New Roman" w:hAnsi="Times New Roman" w:cs="Times New Roman"/>
                <w:sz w:val="20"/>
                <w:szCs w:val="20"/>
              </w:rPr>
              <w:t>NO.SO</w:t>
            </w:r>
            <w:r w:rsidRPr="00987E68">
              <w:rPr>
                <w:rFonts w:ascii="Times New Roman" w:hAnsi="Times New Roman" w:cs="Times New Roman"/>
                <w:sz w:val="20"/>
                <w:szCs w:val="20"/>
                <w:vertAlign w:val="subscript"/>
              </w:rPr>
              <w:t>4</w:t>
            </w:r>
            <w:r w:rsidRPr="00987E68">
              <w:rPr>
                <w:rFonts w:ascii="Times New Roman" w:hAnsi="Times New Roman" w:cs="Times New Roman"/>
                <w:sz w:val="20"/>
                <w:szCs w:val="20"/>
              </w:rPr>
              <w:t>, 120 mg)</w:t>
            </w:r>
          </w:p>
        </w:tc>
        <w:tc>
          <w:tcPr>
            <w:tcW w:w="0" w:type="auto"/>
          </w:tcPr>
          <w:p w:rsidR="00987E68" w:rsidRPr="00987E68" w:rsidRDefault="00987E68" w:rsidP="00987E68">
            <w:pPr>
              <w:spacing w:before="60" w:after="0" w:line="240" w:lineRule="auto"/>
              <w:rPr>
                <w:rFonts w:ascii="Times New Roman" w:hAnsi="Times New Roman" w:cs="Times New Roman"/>
                <w:sz w:val="20"/>
                <w:szCs w:val="20"/>
              </w:rPr>
            </w:pPr>
            <w:r w:rsidRPr="00987E68">
              <w:rPr>
                <w:rFonts w:ascii="Times New Roman" w:hAnsi="Times New Roman" w:cs="Times New Roman"/>
                <w:sz w:val="20"/>
                <w:szCs w:val="20"/>
              </w:rPr>
              <w:t>White, round, not coated</w:t>
            </w:r>
          </w:p>
        </w:tc>
        <w:tc>
          <w:tcPr>
            <w:tcW w:w="0" w:type="auto"/>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CP</w:t>
            </w:r>
          </w:p>
        </w:tc>
        <w:tc>
          <w:tcPr>
            <w:tcW w:w="0" w:type="auto"/>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CD</w:t>
            </w:r>
          </w:p>
        </w:tc>
        <w:tc>
          <w:tcPr>
            <w:tcW w:w="0" w:type="auto"/>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CS</w:t>
            </w:r>
          </w:p>
        </w:tc>
      </w:tr>
      <w:tr w:rsidR="00987E68" w:rsidRPr="00987E68" w:rsidTr="00987E68">
        <w:trPr>
          <w:jc w:val="center"/>
        </w:trPr>
        <w:tc>
          <w:tcPr>
            <w:tcW w:w="2797" w:type="dxa"/>
            <w:tcBorders>
              <w:bottom w:val="nil"/>
            </w:tcBorders>
          </w:tcPr>
          <w:p w:rsidR="00987E68" w:rsidRPr="00987E68" w:rsidRDefault="00987E68" w:rsidP="00987E68">
            <w:pPr>
              <w:spacing w:before="60" w:after="0" w:line="240" w:lineRule="auto"/>
              <w:rPr>
                <w:rFonts w:ascii="Times New Roman" w:hAnsi="Times New Roman" w:cs="Times New Roman"/>
                <w:sz w:val="20"/>
                <w:szCs w:val="20"/>
              </w:rPr>
            </w:pPr>
            <w:r w:rsidRPr="00987E68">
              <w:rPr>
                <w:rFonts w:ascii="Times New Roman" w:hAnsi="Times New Roman" w:cs="Times New Roman"/>
                <w:sz w:val="20"/>
                <w:szCs w:val="20"/>
              </w:rPr>
              <w:t>D (C</w:t>
            </w:r>
            <w:r w:rsidRPr="00987E68">
              <w:rPr>
                <w:rFonts w:ascii="Times New Roman" w:hAnsi="Times New Roman" w:cs="Times New Roman"/>
                <w:sz w:val="20"/>
                <w:szCs w:val="20"/>
                <w:vertAlign w:val="subscript"/>
              </w:rPr>
              <w:t>10</w:t>
            </w:r>
            <w:r w:rsidRPr="00987E68">
              <w:rPr>
                <w:rFonts w:ascii="Times New Roman" w:hAnsi="Times New Roman" w:cs="Times New Roman"/>
                <w:sz w:val="20"/>
                <w:szCs w:val="20"/>
              </w:rPr>
              <w:t>H</w:t>
            </w:r>
            <w:r w:rsidRPr="00987E68">
              <w:rPr>
                <w:rFonts w:ascii="Times New Roman" w:hAnsi="Times New Roman" w:cs="Times New Roman"/>
                <w:sz w:val="20"/>
                <w:szCs w:val="20"/>
                <w:vertAlign w:val="subscript"/>
              </w:rPr>
              <w:t>15</w:t>
            </w:r>
            <w:r w:rsidRPr="00987E68">
              <w:rPr>
                <w:rFonts w:ascii="Times New Roman" w:hAnsi="Times New Roman" w:cs="Times New Roman"/>
                <w:sz w:val="20"/>
                <w:szCs w:val="20"/>
              </w:rPr>
              <w:t>NO.SO</w:t>
            </w:r>
            <w:r w:rsidRPr="00987E68">
              <w:rPr>
                <w:rFonts w:ascii="Times New Roman" w:hAnsi="Times New Roman" w:cs="Times New Roman"/>
                <w:sz w:val="20"/>
                <w:szCs w:val="20"/>
                <w:vertAlign w:val="subscript"/>
              </w:rPr>
              <w:t>4</w:t>
            </w:r>
            <w:r w:rsidRPr="00987E68">
              <w:rPr>
                <w:rFonts w:ascii="Times New Roman" w:hAnsi="Times New Roman" w:cs="Times New Roman"/>
                <w:sz w:val="20"/>
                <w:szCs w:val="20"/>
              </w:rPr>
              <w:t>, 240 mg)</w:t>
            </w:r>
          </w:p>
        </w:tc>
        <w:tc>
          <w:tcPr>
            <w:tcW w:w="0" w:type="auto"/>
            <w:tcBorders>
              <w:bottom w:val="nil"/>
            </w:tcBorders>
          </w:tcPr>
          <w:p w:rsidR="00987E68" w:rsidRPr="00987E68" w:rsidRDefault="00987E68" w:rsidP="00987E68">
            <w:pPr>
              <w:spacing w:before="60" w:after="0" w:line="240" w:lineRule="auto"/>
              <w:rPr>
                <w:rFonts w:ascii="Times New Roman" w:hAnsi="Times New Roman" w:cs="Times New Roman"/>
                <w:sz w:val="20"/>
                <w:szCs w:val="20"/>
              </w:rPr>
            </w:pPr>
            <w:r w:rsidRPr="00987E68">
              <w:rPr>
                <w:rFonts w:ascii="Times New Roman" w:hAnsi="Times New Roman" w:cs="Times New Roman"/>
                <w:sz w:val="20"/>
                <w:szCs w:val="20"/>
              </w:rPr>
              <w:t>White, oval, wax-coated</w:t>
            </w:r>
          </w:p>
        </w:tc>
        <w:tc>
          <w:tcPr>
            <w:tcW w:w="0" w:type="auto"/>
            <w:tcBorders>
              <w:bottom w:val="nil"/>
            </w:tcBorders>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DP</w:t>
            </w:r>
          </w:p>
        </w:tc>
        <w:tc>
          <w:tcPr>
            <w:tcW w:w="0" w:type="auto"/>
            <w:tcBorders>
              <w:bottom w:val="nil"/>
            </w:tcBorders>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DD</w:t>
            </w:r>
          </w:p>
        </w:tc>
        <w:tc>
          <w:tcPr>
            <w:tcW w:w="0" w:type="auto"/>
            <w:tcBorders>
              <w:bottom w:val="nil"/>
            </w:tcBorders>
          </w:tcPr>
          <w:p w:rsidR="00987E68" w:rsidRPr="00987E68" w:rsidRDefault="00987E68" w:rsidP="00987E68">
            <w:pPr>
              <w:spacing w:before="60" w:after="0" w:line="240" w:lineRule="auto"/>
              <w:jc w:val="center"/>
              <w:rPr>
                <w:rFonts w:ascii="Times New Roman" w:hAnsi="Times New Roman" w:cs="Times New Roman"/>
                <w:sz w:val="20"/>
                <w:szCs w:val="20"/>
              </w:rPr>
            </w:pPr>
            <w:r w:rsidRPr="00987E68">
              <w:rPr>
                <w:rFonts w:ascii="Times New Roman" w:hAnsi="Times New Roman" w:cs="Times New Roman"/>
                <w:sz w:val="20"/>
                <w:szCs w:val="20"/>
              </w:rPr>
              <w:t>DS</w:t>
            </w:r>
          </w:p>
        </w:tc>
      </w:tr>
      <w:tr w:rsidR="00987E68" w:rsidRPr="00987E68" w:rsidTr="00987E68">
        <w:trPr>
          <w:jc w:val="center"/>
        </w:trPr>
        <w:tc>
          <w:tcPr>
            <w:tcW w:w="2797" w:type="dxa"/>
            <w:tcBorders>
              <w:top w:val="nil"/>
              <w:bottom w:val="single" w:sz="4" w:space="0" w:color="auto"/>
            </w:tcBorders>
          </w:tcPr>
          <w:p w:rsidR="00987E68" w:rsidRPr="00987E68" w:rsidRDefault="00987E68" w:rsidP="00987E68">
            <w:pPr>
              <w:spacing w:before="60" w:after="60" w:line="240" w:lineRule="auto"/>
              <w:rPr>
                <w:rFonts w:ascii="Times New Roman" w:hAnsi="Times New Roman" w:cs="Times New Roman"/>
                <w:sz w:val="20"/>
                <w:szCs w:val="20"/>
              </w:rPr>
            </w:pPr>
            <w:r w:rsidRPr="00987E68">
              <w:rPr>
                <w:rFonts w:ascii="Times New Roman" w:hAnsi="Times New Roman" w:cs="Times New Roman"/>
                <w:sz w:val="20"/>
                <w:szCs w:val="20"/>
              </w:rPr>
              <w:t>E (C</w:t>
            </w:r>
            <w:r w:rsidRPr="00987E68">
              <w:rPr>
                <w:rFonts w:ascii="Times New Roman" w:hAnsi="Times New Roman" w:cs="Times New Roman"/>
                <w:sz w:val="20"/>
                <w:szCs w:val="20"/>
                <w:vertAlign w:val="subscript"/>
              </w:rPr>
              <w:t>10</w:t>
            </w:r>
            <w:r w:rsidRPr="00987E68">
              <w:rPr>
                <w:rFonts w:ascii="Times New Roman" w:hAnsi="Times New Roman" w:cs="Times New Roman"/>
                <w:sz w:val="20"/>
                <w:szCs w:val="20"/>
              </w:rPr>
              <w:t>H</w:t>
            </w:r>
            <w:r w:rsidRPr="00987E68">
              <w:rPr>
                <w:rFonts w:ascii="Times New Roman" w:hAnsi="Times New Roman" w:cs="Times New Roman"/>
                <w:sz w:val="20"/>
                <w:szCs w:val="20"/>
                <w:vertAlign w:val="subscript"/>
              </w:rPr>
              <w:t>15</w:t>
            </w:r>
            <w:r w:rsidRPr="00987E68">
              <w:rPr>
                <w:rFonts w:ascii="Times New Roman" w:hAnsi="Times New Roman" w:cs="Times New Roman"/>
                <w:sz w:val="20"/>
                <w:szCs w:val="20"/>
              </w:rPr>
              <w:t>NO.HCl, 30 mg)</w:t>
            </w:r>
          </w:p>
        </w:tc>
        <w:tc>
          <w:tcPr>
            <w:tcW w:w="0" w:type="auto"/>
            <w:tcBorders>
              <w:top w:val="nil"/>
              <w:bottom w:val="single" w:sz="4" w:space="0" w:color="auto"/>
            </w:tcBorders>
          </w:tcPr>
          <w:p w:rsidR="00987E68" w:rsidRPr="00987E68" w:rsidRDefault="00987E68" w:rsidP="00987E68">
            <w:pPr>
              <w:spacing w:before="60" w:after="60" w:line="240" w:lineRule="auto"/>
              <w:rPr>
                <w:rFonts w:ascii="Times New Roman" w:hAnsi="Times New Roman" w:cs="Times New Roman"/>
                <w:sz w:val="20"/>
                <w:szCs w:val="20"/>
              </w:rPr>
            </w:pPr>
            <w:r w:rsidRPr="00987E68">
              <w:rPr>
                <w:rFonts w:ascii="Times New Roman" w:hAnsi="Times New Roman" w:cs="Times New Roman"/>
                <w:sz w:val="20"/>
                <w:szCs w:val="20"/>
              </w:rPr>
              <w:t>Yellow, orange, oval, not coated</w:t>
            </w:r>
          </w:p>
        </w:tc>
        <w:tc>
          <w:tcPr>
            <w:tcW w:w="0" w:type="auto"/>
            <w:tcBorders>
              <w:top w:val="nil"/>
              <w:bottom w:val="single" w:sz="4" w:space="0" w:color="auto"/>
            </w:tcBorders>
          </w:tcPr>
          <w:p w:rsidR="00987E68" w:rsidRPr="00987E68" w:rsidRDefault="00987E68" w:rsidP="00987E68">
            <w:pPr>
              <w:spacing w:before="60" w:after="60" w:line="240" w:lineRule="auto"/>
              <w:jc w:val="center"/>
              <w:rPr>
                <w:rFonts w:ascii="Times New Roman" w:hAnsi="Times New Roman" w:cs="Times New Roman"/>
                <w:sz w:val="20"/>
                <w:szCs w:val="20"/>
              </w:rPr>
            </w:pPr>
            <w:r w:rsidRPr="00987E68">
              <w:rPr>
                <w:rFonts w:ascii="Times New Roman" w:hAnsi="Times New Roman" w:cs="Times New Roman"/>
                <w:sz w:val="20"/>
                <w:szCs w:val="20"/>
              </w:rPr>
              <w:t>EP</w:t>
            </w:r>
          </w:p>
        </w:tc>
        <w:tc>
          <w:tcPr>
            <w:tcW w:w="0" w:type="auto"/>
            <w:tcBorders>
              <w:top w:val="nil"/>
              <w:bottom w:val="single" w:sz="4" w:space="0" w:color="auto"/>
            </w:tcBorders>
          </w:tcPr>
          <w:p w:rsidR="00987E68" w:rsidRPr="00987E68" w:rsidRDefault="00987E68" w:rsidP="00987E68">
            <w:pPr>
              <w:spacing w:before="60" w:after="60" w:line="240" w:lineRule="auto"/>
              <w:jc w:val="center"/>
              <w:rPr>
                <w:rFonts w:ascii="Times New Roman" w:hAnsi="Times New Roman" w:cs="Times New Roman"/>
                <w:sz w:val="20"/>
                <w:szCs w:val="20"/>
              </w:rPr>
            </w:pPr>
            <w:r w:rsidRPr="00987E68">
              <w:rPr>
                <w:rFonts w:ascii="Times New Roman" w:hAnsi="Times New Roman" w:cs="Times New Roman"/>
                <w:sz w:val="20"/>
                <w:szCs w:val="20"/>
              </w:rPr>
              <w:t>ED</w:t>
            </w:r>
          </w:p>
        </w:tc>
        <w:tc>
          <w:tcPr>
            <w:tcW w:w="0" w:type="auto"/>
            <w:tcBorders>
              <w:top w:val="nil"/>
              <w:bottom w:val="single" w:sz="4" w:space="0" w:color="auto"/>
            </w:tcBorders>
          </w:tcPr>
          <w:p w:rsidR="00987E68" w:rsidRPr="00987E68" w:rsidRDefault="00987E68" w:rsidP="00987E68">
            <w:pPr>
              <w:spacing w:before="60" w:after="60" w:line="240" w:lineRule="auto"/>
              <w:jc w:val="center"/>
              <w:rPr>
                <w:rFonts w:ascii="Times New Roman" w:hAnsi="Times New Roman" w:cs="Times New Roman"/>
                <w:sz w:val="20"/>
                <w:szCs w:val="20"/>
              </w:rPr>
            </w:pPr>
            <w:r w:rsidRPr="00987E68">
              <w:rPr>
                <w:rFonts w:ascii="Times New Roman" w:hAnsi="Times New Roman" w:cs="Times New Roman"/>
                <w:sz w:val="20"/>
                <w:szCs w:val="20"/>
              </w:rPr>
              <w:t>ES</w:t>
            </w:r>
          </w:p>
        </w:tc>
      </w:tr>
    </w:tbl>
    <w:p w:rsidR="00987E68" w:rsidRPr="00987E68" w:rsidRDefault="00987E68" w:rsidP="00987E68">
      <w:pPr>
        <w:spacing w:after="120" w:line="240" w:lineRule="auto"/>
        <w:jc w:val="both"/>
        <w:rPr>
          <w:rFonts w:ascii="Times New Roman" w:hAnsi="Times New Roman"/>
          <w:sz w:val="20"/>
          <w:szCs w:val="20"/>
        </w:rPr>
      </w:pPr>
    </w:p>
    <w:p w:rsidR="00987E68" w:rsidRPr="00987E68" w:rsidRDefault="00987E68" w:rsidP="00987E68">
      <w:pPr>
        <w:spacing w:after="0" w:line="240" w:lineRule="auto"/>
        <w:jc w:val="both"/>
        <w:rPr>
          <w:rFonts w:ascii="Times New Roman" w:hAnsi="Times New Roman"/>
          <w:b/>
          <w:sz w:val="20"/>
          <w:szCs w:val="20"/>
        </w:rPr>
      </w:pPr>
      <w:r w:rsidRPr="00987E68">
        <w:rPr>
          <w:rFonts w:ascii="Times New Roman" w:hAnsi="Times New Roman"/>
          <w:b/>
          <w:sz w:val="20"/>
          <w:szCs w:val="20"/>
        </w:rPr>
        <w:t>ATR-FTIR analysis</w:t>
      </w:r>
    </w:p>
    <w:p w:rsidR="00987E68" w:rsidRPr="00987E68" w:rsidRDefault="00987E68" w:rsidP="00987E68">
      <w:pPr>
        <w:spacing w:after="0" w:line="240" w:lineRule="auto"/>
        <w:jc w:val="both"/>
        <w:rPr>
          <w:rFonts w:ascii="Times New Roman" w:hAnsi="Times New Roman"/>
          <w:sz w:val="20"/>
          <w:szCs w:val="20"/>
        </w:rPr>
      </w:pPr>
      <w:r w:rsidRPr="00987E68">
        <w:rPr>
          <w:rFonts w:ascii="Times New Roman" w:hAnsi="Times New Roman"/>
          <w:sz w:val="20"/>
          <w:szCs w:val="20"/>
        </w:rPr>
        <w:t>All samples were analyzed using Bruker</w:t>
      </w:r>
      <w:r w:rsidRPr="00987E68">
        <w:rPr>
          <w:rFonts w:ascii="Times New Roman" w:hAnsi="Times New Roman"/>
          <w:sz w:val="20"/>
          <w:szCs w:val="20"/>
          <w:vertAlign w:val="superscript"/>
        </w:rPr>
        <w:t>®</w:t>
      </w:r>
      <w:r w:rsidRPr="00987E68">
        <w:rPr>
          <w:rFonts w:ascii="Times New Roman" w:hAnsi="Times New Roman"/>
          <w:sz w:val="20"/>
          <w:szCs w:val="20"/>
        </w:rPr>
        <w:t xml:space="preserve"> TENSOR 27 FTIR spectrometer (Bruker, Germany) equipped with attenuated total reflection (ATR) sampling interface composed of a single reflection of a diamond crystal. Approximately 1 mg </w:t>
      </w:r>
      <w:r w:rsidRPr="00987E68">
        <w:rPr>
          <w:rFonts w:ascii="Times New Roman" w:hAnsi="Times New Roman"/>
          <w:strike/>
          <w:sz w:val="20"/>
          <w:szCs w:val="20"/>
        </w:rPr>
        <w:t>s</w:t>
      </w:r>
      <w:r w:rsidRPr="00987E68">
        <w:rPr>
          <w:rFonts w:ascii="Times New Roman" w:hAnsi="Times New Roman"/>
          <w:sz w:val="20"/>
          <w:szCs w:val="20"/>
        </w:rPr>
        <w:t>ample was mounted on ATR stage for spectra acquisition in absorbance mode that covers the spectral range of between 4000 cm</w:t>
      </w:r>
      <w:r w:rsidRPr="00987E68">
        <w:rPr>
          <w:rFonts w:ascii="Times New Roman" w:hAnsi="Times New Roman"/>
          <w:sz w:val="20"/>
          <w:szCs w:val="20"/>
          <w:vertAlign w:val="superscript"/>
        </w:rPr>
        <w:t>-1</w:t>
      </w:r>
      <w:r w:rsidRPr="00987E68">
        <w:rPr>
          <w:rFonts w:ascii="Times New Roman" w:hAnsi="Times New Roman"/>
          <w:sz w:val="20"/>
          <w:szCs w:val="20"/>
        </w:rPr>
        <w:t xml:space="preserve">  to 600 cm</w:t>
      </w:r>
      <w:r w:rsidRPr="00987E68">
        <w:rPr>
          <w:rFonts w:ascii="Times New Roman" w:hAnsi="Times New Roman"/>
          <w:sz w:val="20"/>
          <w:szCs w:val="20"/>
          <w:vertAlign w:val="superscript"/>
        </w:rPr>
        <w:t>-1</w:t>
      </w:r>
      <w:r w:rsidRPr="00987E68">
        <w:rPr>
          <w:rFonts w:ascii="Times New Roman" w:hAnsi="Times New Roman"/>
          <w:sz w:val="20"/>
          <w:szCs w:val="20"/>
        </w:rPr>
        <w:t xml:space="preserve"> wavenumbers with a resolution of 2 cm</w:t>
      </w:r>
      <w:r w:rsidRPr="00987E68">
        <w:rPr>
          <w:rFonts w:ascii="Times New Roman" w:hAnsi="Times New Roman"/>
          <w:sz w:val="20"/>
          <w:szCs w:val="20"/>
          <w:vertAlign w:val="superscript"/>
        </w:rPr>
        <w:t>-1</w:t>
      </w:r>
      <w:r w:rsidRPr="00987E68">
        <w:rPr>
          <w:rFonts w:ascii="Times New Roman" w:hAnsi="Times New Roman"/>
          <w:sz w:val="20"/>
          <w:szCs w:val="20"/>
        </w:rPr>
        <w:t xml:space="preserve"> and by averaging 16 scans. A reference spectrum of air was taken every time before sample measurements were made to ensure zero interference. The ATR stage was carefully cleaned with acetone before and after each sample was analyzed. Data acquisition and baseline correction were performed with OPUS software version 7.0.122 (Bruker, Germany). Interpretation and the resultant spectra were visually compared and characterized prior to chemometric analysis. </w:t>
      </w:r>
    </w:p>
    <w:p w:rsidR="00987E68" w:rsidRPr="00987E68" w:rsidRDefault="00987E68" w:rsidP="00987E68">
      <w:pPr>
        <w:spacing w:after="0" w:line="240" w:lineRule="auto"/>
        <w:jc w:val="both"/>
        <w:rPr>
          <w:rFonts w:ascii="Times New Roman" w:hAnsi="Times New Roman"/>
          <w:sz w:val="20"/>
          <w:szCs w:val="20"/>
        </w:rPr>
      </w:pPr>
    </w:p>
    <w:p w:rsidR="00987E68" w:rsidRPr="00987E68" w:rsidRDefault="00987E68" w:rsidP="00987E68">
      <w:pPr>
        <w:spacing w:after="0" w:line="240" w:lineRule="auto"/>
        <w:jc w:val="both"/>
        <w:rPr>
          <w:rFonts w:ascii="Times New Roman" w:hAnsi="Times New Roman"/>
          <w:b/>
          <w:sz w:val="20"/>
          <w:szCs w:val="20"/>
        </w:rPr>
      </w:pPr>
      <w:r w:rsidRPr="00987E68">
        <w:rPr>
          <w:rFonts w:ascii="Times New Roman" w:hAnsi="Times New Roman"/>
          <w:b/>
          <w:sz w:val="20"/>
          <w:szCs w:val="20"/>
        </w:rPr>
        <w:t>Chemometric analyses</w:t>
      </w:r>
    </w:p>
    <w:p w:rsidR="00987E68" w:rsidRPr="00987E68" w:rsidRDefault="00987E68" w:rsidP="00987E68">
      <w:pPr>
        <w:spacing w:after="0" w:line="240" w:lineRule="auto"/>
        <w:jc w:val="both"/>
        <w:rPr>
          <w:rFonts w:ascii="Times New Roman" w:hAnsi="Times New Roman"/>
          <w:strike/>
          <w:sz w:val="20"/>
          <w:szCs w:val="20"/>
        </w:rPr>
      </w:pPr>
      <w:r w:rsidRPr="00987E68">
        <w:rPr>
          <w:rFonts w:ascii="Times New Roman" w:hAnsi="Times New Roman"/>
          <w:sz w:val="20"/>
          <w:szCs w:val="20"/>
        </w:rPr>
        <w:t>A total of 90 spectra were subjected to HCA and PCA analysis to classify the differences among the sample. HCA and PCA were performed using MINITAB</w:t>
      </w:r>
      <w:r w:rsidRPr="00987E68">
        <w:rPr>
          <w:rFonts w:ascii="Times New Roman" w:hAnsi="Times New Roman"/>
          <w:sz w:val="20"/>
          <w:szCs w:val="20"/>
          <w:vertAlign w:val="superscript"/>
        </w:rPr>
        <w:t>®</w:t>
      </w:r>
      <w:r w:rsidRPr="00987E68">
        <w:rPr>
          <w:rFonts w:ascii="Times New Roman" w:hAnsi="Times New Roman"/>
          <w:sz w:val="20"/>
          <w:szCs w:val="20"/>
        </w:rPr>
        <w:t xml:space="preserve"> software version 16.2.3 statistical software (Minitab Incorporated, State College, PA, USA). Prior to chemometrics analyses, the spectral data of all the samples were prepared in the Microsoft</w:t>
      </w:r>
      <w:r w:rsidRPr="00987E68">
        <w:rPr>
          <w:rFonts w:ascii="Times New Roman" w:hAnsi="Times New Roman"/>
          <w:sz w:val="20"/>
          <w:szCs w:val="20"/>
          <w:vertAlign w:val="superscript"/>
        </w:rPr>
        <w:t>®</w:t>
      </w:r>
      <w:r w:rsidRPr="00987E68">
        <w:rPr>
          <w:rFonts w:ascii="Times New Roman" w:hAnsi="Times New Roman"/>
          <w:sz w:val="20"/>
          <w:szCs w:val="20"/>
        </w:rPr>
        <w:t xml:space="preserve"> Excel (Version 10, Microsoft, Inc.) spreadsheet. In this work, several IR regions were tested, including the entire spectral region, the functional group region and the fingerprint region. </w:t>
      </w:r>
    </w:p>
    <w:p w:rsidR="006768E9" w:rsidRPr="00F447A7" w:rsidRDefault="006768E9" w:rsidP="00987E6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237B2" w:rsidRPr="00C237B2" w:rsidRDefault="00C237B2" w:rsidP="00C237B2">
      <w:pPr>
        <w:spacing w:after="0" w:line="240" w:lineRule="auto"/>
        <w:jc w:val="both"/>
        <w:rPr>
          <w:rFonts w:ascii="Times New Roman" w:hAnsi="Times New Roman"/>
          <w:b/>
          <w:sz w:val="20"/>
          <w:szCs w:val="20"/>
        </w:rPr>
      </w:pPr>
      <w:r w:rsidRPr="00C237B2">
        <w:rPr>
          <w:rFonts w:ascii="Times New Roman" w:hAnsi="Times New Roman"/>
          <w:b/>
          <w:sz w:val="20"/>
          <w:szCs w:val="20"/>
        </w:rPr>
        <w:t>Comparing the spectroscopic features</w:t>
      </w:r>
    </w:p>
    <w:p w:rsidR="00C237B2" w:rsidRPr="00C237B2" w:rsidRDefault="00C237B2" w:rsidP="00C237B2">
      <w:pPr>
        <w:spacing w:after="0" w:line="240" w:lineRule="auto"/>
        <w:jc w:val="both"/>
        <w:rPr>
          <w:rFonts w:ascii="Times New Roman" w:hAnsi="Times New Roman"/>
          <w:sz w:val="20"/>
          <w:szCs w:val="20"/>
        </w:rPr>
      </w:pPr>
      <w:r w:rsidRPr="00C237B2">
        <w:rPr>
          <w:rFonts w:ascii="Times New Roman" w:hAnsi="Times New Roman"/>
          <w:sz w:val="20"/>
          <w:szCs w:val="20"/>
        </w:rPr>
        <w:t xml:space="preserve">In forensic analysis, the conventional approach of a direct visual examination of FTIR spectra is often employed to ascertain congruency or correlation between samples or groups of samples. In the examination, the spectrum of the questioned sample is either placed side by side to the FTIR spectrum of reference sample or superimposition by placing the FTIR spectrum of reference sample on top of the questioned sample or vice versa. Differences in term of the chemical composition of the samples are readily noticeable or interpreted by the differences in the pattern of the FTIR spectra of the questioned and reference samples. </w:t>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adjustRightInd w:val="0"/>
        <w:spacing w:after="0" w:line="240" w:lineRule="auto"/>
        <w:jc w:val="both"/>
        <w:rPr>
          <w:rFonts w:ascii="Times New Roman" w:hAnsi="Times New Roman"/>
          <w:sz w:val="20"/>
          <w:szCs w:val="20"/>
        </w:rPr>
      </w:pPr>
      <w:r w:rsidRPr="00C237B2">
        <w:rPr>
          <w:rFonts w:ascii="Times New Roman" w:hAnsi="Times New Roman"/>
          <w:sz w:val="20"/>
          <w:szCs w:val="20"/>
        </w:rPr>
        <w:t>A representative ATR-FTIR spectrum of powdered homogenized samples containing pseudoephedrine from different brands is shown in Figure 1. Based on the figure, it is obvious that the spectrum of each brand of the tablet could be clearly discriminated from each other. For pseudoephedrine hydrochloride B and E samples, their FTIR spectra showed the presence of a small doublet band at 2435 and 2477 cm</w:t>
      </w:r>
      <w:r w:rsidRPr="00C237B2">
        <w:rPr>
          <w:rFonts w:ascii="Times New Roman" w:hAnsi="Times New Roman"/>
          <w:sz w:val="20"/>
          <w:szCs w:val="20"/>
          <w:vertAlign w:val="superscript"/>
        </w:rPr>
        <w:t xml:space="preserve">-1 </w:t>
      </w:r>
      <w:r w:rsidRPr="00C237B2">
        <w:rPr>
          <w:rFonts w:ascii="Times New Roman" w:hAnsi="Times New Roman"/>
          <w:sz w:val="20"/>
          <w:szCs w:val="20"/>
        </w:rPr>
        <w:t>due to excess HCl in the samples [19] while pseudoephedrine sulphate samples showed the presence of very strong characteristic band near 1000 cm</w:t>
      </w:r>
      <w:r w:rsidRPr="00C237B2">
        <w:rPr>
          <w:rFonts w:ascii="Times New Roman" w:hAnsi="Times New Roman"/>
          <w:sz w:val="20"/>
          <w:szCs w:val="20"/>
          <w:vertAlign w:val="superscript"/>
        </w:rPr>
        <w:t>-1</w:t>
      </w:r>
      <w:r w:rsidRPr="00C237B2">
        <w:rPr>
          <w:rFonts w:ascii="Times New Roman" w:hAnsi="Times New Roman"/>
          <w:sz w:val="20"/>
          <w:szCs w:val="20"/>
        </w:rPr>
        <w:t xml:space="preserve">  for sulfate anions. Sample C and D were from the same manufacturer thus, they can be discriminated from A by referring to the characteristic band between 2800-300 cm</w:t>
      </w:r>
      <w:r w:rsidRPr="00C237B2">
        <w:rPr>
          <w:rFonts w:ascii="Times New Roman" w:hAnsi="Times New Roman"/>
          <w:sz w:val="20"/>
          <w:szCs w:val="20"/>
          <w:vertAlign w:val="superscript"/>
        </w:rPr>
        <w:t>-1</w:t>
      </w:r>
      <w:r w:rsidRPr="00C237B2">
        <w:rPr>
          <w:rFonts w:ascii="Times New Roman" w:hAnsi="Times New Roman"/>
          <w:sz w:val="20"/>
          <w:szCs w:val="20"/>
        </w:rPr>
        <w:t xml:space="preserve"> which suggest the presence of starch, magnesium stearate and cellulose in its formulation (which is absent in C and D) [19].</w:t>
      </w:r>
    </w:p>
    <w:p w:rsidR="00C237B2" w:rsidRPr="00C237B2" w:rsidRDefault="00C237B2" w:rsidP="00C237B2">
      <w:pPr>
        <w:adjustRightInd w:val="0"/>
        <w:spacing w:after="0" w:line="240" w:lineRule="auto"/>
        <w:jc w:val="both"/>
        <w:rPr>
          <w:rFonts w:ascii="Times New Roman" w:hAnsi="Times New Roman"/>
          <w:sz w:val="20"/>
          <w:szCs w:val="20"/>
        </w:rPr>
      </w:pPr>
    </w:p>
    <w:p w:rsidR="00C237B2" w:rsidRPr="00C237B2" w:rsidRDefault="00C237B2" w:rsidP="00C237B2">
      <w:pPr>
        <w:adjustRightInd w:val="0"/>
        <w:spacing w:after="0" w:line="240" w:lineRule="auto"/>
        <w:jc w:val="both"/>
        <w:rPr>
          <w:rFonts w:ascii="Times New Roman" w:hAnsi="Times New Roman"/>
          <w:sz w:val="20"/>
          <w:szCs w:val="20"/>
        </w:rPr>
      </w:pPr>
      <w:r w:rsidRPr="00C237B2">
        <w:rPr>
          <w:rFonts w:ascii="Times New Roman" w:hAnsi="Times New Roman"/>
          <w:sz w:val="20"/>
          <w:szCs w:val="20"/>
        </w:rPr>
        <w:lastRenderedPageBreak/>
        <w:t xml:space="preserve">It was also noted that spectrum of sample B (that contained the least number of excipients) closely resembled the spectrum of </w:t>
      </w:r>
      <w:r w:rsidRPr="00C237B2">
        <w:rPr>
          <w:rFonts w:ascii="Times New Roman" w:hAnsi="Times New Roman"/>
          <w:i/>
          <w:sz w:val="20"/>
          <w:szCs w:val="20"/>
        </w:rPr>
        <w:t>d</w:t>
      </w:r>
      <w:r w:rsidRPr="00C237B2">
        <w:rPr>
          <w:rFonts w:ascii="Times New Roman" w:hAnsi="Times New Roman"/>
          <w:sz w:val="20"/>
          <w:szCs w:val="20"/>
        </w:rPr>
        <w:t>-pseudoephedrine hydrochloride standard. The prominent N-H peak in the region about 3200-3600 cm</w:t>
      </w:r>
      <w:r w:rsidRPr="00C237B2">
        <w:rPr>
          <w:rFonts w:ascii="Times New Roman" w:hAnsi="Times New Roman"/>
          <w:sz w:val="20"/>
          <w:szCs w:val="20"/>
          <w:vertAlign w:val="superscript"/>
        </w:rPr>
        <w:t>-1</w:t>
      </w:r>
      <w:r w:rsidRPr="00C237B2">
        <w:rPr>
          <w:rFonts w:ascii="Times New Roman" w:hAnsi="Times New Roman"/>
          <w:sz w:val="20"/>
          <w:szCs w:val="20"/>
        </w:rPr>
        <w:t xml:space="preserve"> was present in all the samples except for sample E tablet which was noticeable as the tablet only contain 30 mg of pseudoephedrine. Presence of colorants in sample E explains the complexity of its spectra. It is important to reiterate that the presence of other active ingredients and excipients of varying quantities and types in the tablet formulations such as loratadine, triprolidine, paracetamol, povidone, talc powder, wax, starch, magnesium stearate and microcrystalline cellulose have contributed to the difference in their FTIR spectra. This is especially evident in the fingerprint region. It is important to note that clandestine settings hardly used raw unprocessed cold tablets as precursors, nonetheless, this result is useful as a reference material for comparison to the processed precursors. </w:t>
      </w:r>
    </w:p>
    <w:p w:rsidR="00C237B2" w:rsidRDefault="00C237B2" w:rsidP="00C237B2">
      <w:pPr>
        <w:adjustRightInd w:val="0"/>
        <w:spacing w:after="0" w:line="240" w:lineRule="auto"/>
        <w:jc w:val="both"/>
        <w:rPr>
          <w:rFonts w:ascii="Times New Roman" w:hAnsi="Times New Roman"/>
          <w:sz w:val="20"/>
          <w:szCs w:val="20"/>
        </w:rPr>
      </w:pPr>
    </w:p>
    <w:p w:rsidR="00C237B2" w:rsidRPr="00C237B2" w:rsidRDefault="00C237B2" w:rsidP="00C237B2">
      <w:pPr>
        <w:adjustRightInd w:val="0"/>
        <w:spacing w:after="0" w:line="240" w:lineRule="auto"/>
        <w:jc w:val="both"/>
        <w:rPr>
          <w:rFonts w:ascii="Times New Roman" w:hAnsi="Times New Roman"/>
          <w:sz w:val="20"/>
          <w:szCs w:val="20"/>
        </w:rPr>
      </w:pPr>
    </w:p>
    <w:p w:rsidR="00C237B2" w:rsidRPr="00C237B2" w:rsidRDefault="00C237B2" w:rsidP="00C237B2">
      <w:pPr>
        <w:tabs>
          <w:tab w:val="left" w:pos="7680"/>
        </w:tabs>
        <w:spacing w:after="0" w:line="240" w:lineRule="auto"/>
        <w:jc w:val="both"/>
        <w:outlineLvl w:val="0"/>
        <w:rPr>
          <w:rFonts w:ascii="Times New Roman" w:hAnsi="Times New Roman"/>
          <w:sz w:val="20"/>
          <w:szCs w:val="20"/>
        </w:rPr>
      </w:pPr>
      <w:r w:rsidRPr="00C237B2">
        <w:rPr>
          <w:rFonts w:ascii="Times New Roman" w:hAnsi="Times New Roman"/>
          <w:noProof/>
          <w:sz w:val="20"/>
          <w:szCs w:val="20"/>
          <w:lang w:val="en-MY" w:eastAsia="en-MY"/>
        </w:rPr>
        <w:drawing>
          <wp:anchor distT="0" distB="0" distL="114300" distR="114300" simplePos="0" relativeHeight="251663872" behindDoc="1" locked="0" layoutInCell="1" allowOverlap="1" wp14:anchorId="22F8AB12" wp14:editId="38C7864A">
            <wp:simplePos x="0" y="0"/>
            <wp:positionH relativeFrom="column">
              <wp:posOffset>768985</wp:posOffset>
            </wp:positionH>
            <wp:positionV relativeFrom="paragraph">
              <wp:posOffset>0</wp:posOffset>
            </wp:positionV>
            <wp:extent cx="4421505" cy="2159635"/>
            <wp:effectExtent l="19050" t="19050" r="17145" b="1206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21505" cy="2159635"/>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r w:rsidRPr="00C237B2">
        <w:rPr>
          <w:rFonts w:ascii="Times New Roman" w:hAnsi="Times New Roman"/>
          <w:sz w:val="20"/>
          <w:szCs w:val="20"/>
        </w:rPr>
        <w:tab/>
      </w:r>
    </w:p>
    <w:p w:rsidR="00C237B2" w:rsidRP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P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P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P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P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P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Default="00C237B2" w:rsidP="00C237B2">
      <w:pPr>
        <w:tabs>
          <w:tab w:val="left" w:pos="1240"/>
          <w:tab w:val="center" w:pos="4513"/>
        </w:tabs>
        <w:spacing w:after="120" w:line="240" w:lineRule="auto"/>
        <w:jc w:val="both"/>
        <w:outlineLvl w:val="0"/>
        <w:rPr>
          <w:rFonts w:ascii="Times New Roman" w:hAnsi="Times New Roman"/>
          <w:sz w:val="20"/>
          <w:szCs w:val="20"/>
        </w:rPr>
      </w:pPr>
    </w:p>
    <w:p w:rsidR="00C237B2" w:rsidRPr="00C237B2" w:rsidRDefault="00C237B2" w:rsidP="00C237B2">
      <w:pPr>
        <w:tabs>
          <w:tab w:val="left" w:pos="1240"/>
          <w:tab w:val="center" w:pos="4513"/>
        </w:tabs>
        <w:spacing w:after="0" w:line="240" w:lineRule="auto"/>
        <w:jc w:val="center"/>
        <w:outlineLvl w:val="0"/>
        <w:rPr>
          <w:rFonts w:ascii="Times New Roman" w:hAnsi="Times New Roman"/>
          <w:sz w:val="20"/>
          <w:szCs w:val="20"/>
        </w:rPr>
      </w:pPr>
      <w:r w:rsidRPr="00C237B2">
        <w:rPr>
          <w:rFonts w:ascii="Times New Roman" w:hAnsi="Times New Roman"/>
          <w:sz w:val="20"/>
          <w:szCs w:val="20"/>
        </w:rPr>
        <w:t xml:space="preserve">Figure 1. </w:t>
      </w:r>
      <w:r>
        <w:rPr>
          <w:rFonts w:ascii="Times New Roman" w:hAnsi="Times New Roman"/>
          <w:sz w:val="20"/>
          <w:szCs w:val="20"/>
        </w:rPr>
        <w:t xml:space="preserve"> </w:t>
      </w:r>
      <w:r w:rsidRPr="00C237B2">
        <w:rPr>
          <w:rFonts w:ascii="Times New Roman" w:hAnsi="Times New Roman"/>
          <w:sz w:val="20"/>
          <w:szCs w:val="20"/>
        </w:rPr>
        <w:t>ATR-FTIR spectrum of powdered samples containing pseudoephedrine</w:t>
      </w:r>
    </w:p>
    <w:p w:rsidR="00C237B2" w:rsidRPr="00C237B2" w:rsidRDefault="00C237B2" w:rsidP="00C237B2">
      <w:pPr>
        <w:spacing w:after="120" w:line="240" w:lineRule="auto"/>
        <w:jc w:val="both"/>
        <w:rPr>
          <w:rFonts w:ascii="Times New Roman" w:hAnsi="Times New Roman"/>
          <w:noProof/>
          <w:sz w:val="20"/>
          <w:szCs w:val="20"/>
          <w:lang w:eastAsia="en-MY"/>
        </w:rPr>
      </w:pPr>
    </w:p>
    <w:p w:rsidR="00C237B2" w:rsidRDefault="00C237B2" w:rsidP="00C237B2">
      <w:pPr>
        <w:spacing w:after="0" w:line="240" w:lineRule="auto"/>
        <w:jc w:val="both"/>
        <w:rPr>
          <w:rFonts w:ascii="Times New Roman" w:hAnsi="Times New Roman"/>
          <w:sz w:val="20"/>
          <w:szCs w:val="20"/>
        </w:rPr>
      </w:pPr>
      <w:r w:rsidRPr="00C237B2">
        <w:rPr>
          <w:rFonts w:ascii="Times New Roman" w:hAnsi="Times New Roman"/>
          <w:sz w:val="20"/>
          <w:szCs w:val="20"/>
        </w:rPr>
        <w:t>The FTIR spectrum of the extracted samples via simple direct extraction method (Figure 2) revealed a slightly better spectra of most samples and the difference between pseudoephedrine sulfate and hydrochloride can be readily observed. Two regions of importance were found in the range of 2500-3000 cm</w:t>
      </w:r>
      <w:r w:rsidRPr="00C237B2">
        <w:rPr>
          <w:rFonts w:ascii="Times New Roman" w:hAnsi="Times New Roman"/>
          <w:sz w:val="20"/>
          <w:szCs w:val="20"/>
          <w:vertAlign w:val="superscript"/>
        </w:rPr>
        <w:t>-1</w:t>
      </w:r>
      <w:r w:rsidRPr="00C237B2">
        <w:rPr>
          <w:rFonts w:ascii="Times New Roman" w:hAnsi="Times New Roman"/>
          <w:sz w:val="20"/>
          <w:szCs w:val="20"/>
        </w:rPr>
        <w:t>`that features the secondary amine hydrochloride and region 750-760 cm</w:t>
      </w:r>
      <w:r w:rsidRPr="00C237B2">
        <w:rPr>
          <w:rFonts w:ascii="Times New Roman" w:hAnsi="Times New Roman"/>
          <w:sz w:val="20"/>
          <w:szCs w:val="20"/>
          <w:vertAlign w:val="superscript"/>
        </w:rPr>
        <w:t>-1</w:t>
      </w:r>
      <w:r w:rsidRPr="00C237B2">
        <w:rPr>
          <w:rFonts w:ascii="Times New Roman" w:hAnsi="Times New Roman"/>
          <w:sz w:val="20"/>
          <w:szCs w:val="20"/>
        </w:rPr>
        <w:t xml:space="preserve"> that shows the characteristics of monoaromatic ring by simple direct extraction method [19]. Similar infrared spectrum was observed for sample B. This suggested that simple direct extraction would suffice to extract the precursor as sample B did not contain other APIs and has less excipient to begin with. Other samples, however, required a more extensive sample preparation to obtain a considerably ‘cleaner’ pseudoephedrine. </w:t>
      </w:r>
    </w:p>
    <w:p w:rsid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r w:rsidRPr="00C237B2">
        <w:rPr>
          <w:rFonts w:ascii="Times New Roman" w:hAnsi="Times New Roman"/>
          <w:sz w:val="20"/>
          <w:szCs w:val="20"/>
        </w:rPr>
        <w:t xml:space="preserve">Figure 3 depicts the spectrum of extracted pseudoephedrine samples prepared by acid-based extraction method. Note that, the spectrum from pseudoephedrine acid-base extraction have improved and displayed identical spectra to freebase pseudoephedrine standard from the literature [21]. Similar signal characteristics were observed across all samples which suggested that the samples obtained were in a freebase form with a certain degree of purity. Therefore, results showed that acid-base solvent extraction technique could be used to successfully obtained good pseudoephedrine yield as it diminishes salts and isolates other APIs and excipients initial presence. </w:t>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r w:rsidRPr="00C237B2">
        <w:rPr>
          <w:rFonts w:ascii="Times New Roman" w:hAnsi="Times New Roman"/>
          <w:sz w:val="20"/>
          <w:szCs w:val="20"/>
        </w:rPr>
        <w:t>A broad O-H stretching at around 2700 cm</w:t>
      </w:r>
      <w:r w:rsidRPr="00C237B2">
        <w:rPr>
          <w:rFonts w:ascii="Times New Roman" w:hAnsi="Times New Roman"/>
          <w:sz w:val="20"/>
          <w:szCs w:val="20"/>
          <w:vertAlign w:val="superscript"/>
        </w:rPr>
        <w:t>-1</w:t>
      </w:r>
      <w:r w:rsidRPr="00C237B2">
        <w:rPr>
          <w:rFonts w:ascii="Times New Roman" w:hAnsi="Times New Roman"/>
          <w:sz w:val="20"/>
          <w:szCs w:val="20"/>
        </w:rPr>
        <w:t xml:space="preserve"> to 3320 cm</w:t>
      </w:r>
      <w:r w:rsidRPr="00C237B2">
        <w:rPr>
          <w:rFonts w:ascii="Times New Roman" w:hAnsi="Times New Roman"/>
          <w:sz w:val="20"/>
          <w:szCs w:val="20"/>
          <w:vertAlign w:val="superscript"/>
        </w:rPr>
        <w:t>-1</w:t>
      </w:r>
      <w:r w:rsidRPr="00C237B2">
        <w:rPr>
          <w:rFonts w:ascii="Times New Roman" w:hAnsi="Times New Roman"/>
          <w:sz w:val="20"/>
          <w:szCs w:val="20"/>
        </w:rPr>
        <w:t xml:space="preserve"> was noticeable but this band was not clearly seen because of overlapping with N-H stretching band within the same region. Perhaps, the most distinctive band was around 3317 cm</w:t>
      </w:r>
      <w:r w:rsidRPr="00C237B2">
        <w:rPr>
          <w:rFonts w:ascii="Times New Roman" w:hAnsi="Times New Roman"/>
          <w:sz w:val="20"/>
          <w:szCs w:val="20"/>
          <w:vertAlign w:val="superscript"/>
        </w:rPr>
        <w:t>-1</w:t>
      </w:r>
      <w:r w:rsidRPr="00C237B2">
        <w:rPr>
          <w:rFonts w:ascii="Times New Roman" w:hAnsi="Times New Roman"/>
          <w:sz w:val="20"/>
          <w:szCs w:val="20"/>
        </w:rPr>
        <w:t>, which was attributed to the N-H stretching [19, 20]. The region which was associated to C-H stretching band at around 2950-2850 cm</w:t>
      </w:r>
      <w:r w:rsidRPr="00C237B2">
        <w:rPr>
          <w:rFonts w:ascii="Times New Roman" w:hAnsi="Times New Roman"/>
          <w:sz w:val="20"/>
          <w:szCs w:val="20"/>
          <w:vertAlign w:val="superscript"/>
        </w:rPr>
        <w:t>-1</w:t>
      </w:r>
      <w:r w:rsidRPr="00C237B2">
        <w:rPr>
          <w:rFonts w:ascii="Times New Roman" w:hAnsi="Times New Roman"/>
          <w:sz w:val="20"/>
          <w:szCs w:val="20"/>
        </w:rPr>
        <w:t xml:space="preserve"> was also evident. The peak attributable to the aromatic =CH band was detected within the region of 3100-3000 cm</w:t>
      </w:r>
      <w:r w:rsidRPr="00C237B2">
        <w:rPr>
          <w:rFonts w:ascii="Times New Roman" w:hAnsi="Times New Roman"/>
          <w:sz w:val="20"/>
          <w:szCs w:val="20"/>
          <w:vertAlign w:val="superscript"/>
        </w:rPr>
        <w:t>-1</w:t>
      </w:r>
      <w:r w:rsidRPr="00C237B2">
        <w:rPr>
          <w:rFonts w:ascii="Times New Roman" w:hAnsi="Times New Roman"/>
          <w:sz w:val="20"/>
          <w:szCs w:val="20"/>
        </w:rPr>
        <w:t xml:space="preserve">[19, 20]. </w:t>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r w:rsidRPr="00C237B2">
        <w:rPr>
          <w:rFonts w:ascii="Times New Roman" w:hAnsi="Times New Roman"/>
          <w:sz w:val="20"/>
          <w:szCs w:val="20"/>
        </w:rPr>
        <w:t>In fingerprint region, the characteristic peaks for freebase pseudoephedrine were distributed mainly at around 702 cm</w:t>
      </w:r>
      <w:r w:rsidRPr="00C237B2">
        <w:rPr>
          <w:rFonts w:ascii="Times New Roman" w:hAnsi="Times New Roman"/>
          <w:sz w:val="20"/>
          <w:szCs w:val="20"/>
          <w:vertAlign w:val="superscript"/>
        </w:rPr>
        <w:t>-1</w:t>
      </w:r>
      <w:r w:rsidRPr="00C237B2">
        <w:rPr>
          <w:rFonts w:ascii="Times New Roman" w:hAnsi="Times New Roman"/>
          <w:sz w:val="20"/>
          <w:szCs w:val="20"/>
        </w:rPr>
        <w:t xml:space="preserve"> and 760 cm</w:t>
      </w:r>
      <w:r w:rsidRPr="00C237B2">
        <w:rPr>
          <w:rFonts w:ascii="Times New Roman" w:hAnsi="Times New Roman"/>
          <w:sz w:val="20"/>
          <w:szCs w:val="20"/>
          <w:vertAlign w:val="superscript"/>
        </w:rPr>
        <w:t>-1</w:t>
      </w:r>
      <w:r w:rsidRPr="00C237B2">
        <w:rPr>
          <w:rFonts w:ascii="Times New Roman" w:hAnsi="Times New Roman"/>
          <w:sz w:val="20"/>
          <w:szCs w:val="20"/>
        </w:rPr>
        <w:t xml:space="preserve"> (torsion vibration of benzene rings), 1022 cm</w:t>
      </w:r>
      <w:r w:rsidRPr="00C237B2">
        <w:rPr>
          <w:rFonts w:ascii="Times New Roman" w:hAnsi="Times New Roman"/>
          <w:sz w:val="20"/>
          <w:szCs w:val="20"/>
          <w:vertAlign w:val="superscript"/>
        </w:rPr>
        <w:t>-1</w:t>
      </w:r>
      <w:r w:rsidRPr="00C237B2">
        <w:rPr>
          <w:rFonts w:ascii="Times New Roman" w:hAnsi="Times New Roman"/>
          <w:sz w:val="20"/>
          <w:szCs w:val="20"/>
        </w:rPr>
        <w:t xml:space="preserve"> (C-C stretching vibration), 1375 cm</w:t>
      </w:r>
      <w:r w:rsidRPr="00C237B2">
        <w:rPr>
          <w:rFonts w:ascii="Times New Roman" w:hAnsi="Times New Roman"/>
          <w:sz w:val="20"/>
          <w:szCs w:val="20"/>
          <w:vertAlign w:val="superscript"/>
        </w:rPr>
        <w:t xml:space="preserve">-1 </w:t>
      </w:r>
      <w:r w:rsidRPr="00C237B2">
        <w:rPr>
          <w:rFonts w:ascii="Times New Roman" w:hAnsi="Times New Roman"/>
          <w:sz w:val="20"/>
          <w:szCs w:val="20"/>
        </w:rPr>
        <w:t xml:space="preserve">(C-H bend </w:t>
      </w:r>
      <w:r w:rsidRPr="00C237B2">
        <w:rPr>
          <w:rFonts w:ascii="Times New Roman" w:hAnsi="Times New Roman"/>
          <w:sz w:val="20"/>
          <w:szCs w:val="20"/>
        </w:rPr>
        <w:lastRenderedPageBreak/>
        <w:t>vibration), 1428 cm</w:t>
      </w:r>
      <w:r w:rsidRPr="00C237B2">
        <w:rPr>
          <w:rFonts w:ascii="Times New Roman" w:hAnsi="Times New Roman"/>
          <w:sz w:val="20"/>
          <w:szCs w:val="20"/>
          <w:vertAlign w:val="superscript"/>
        </w:rPr>
        <w:t>-1</w:t>
      </w:r>
      <w:r w:rsidRPr="00C237B2">
        <w:rPr>
          <w:rFonts w:ascii="Times New Roman" w:hAnsi="Times New Roman"/>
          <w:sz w:val="20"/>
          <w:szCs w:val="20"/>
        </w:rPr>
        <w:t xml:space="preserve"> (C-H bend vibration of CH</w:t>
      </w:r>
      <w:r w:rsidRPr="00C237B2">
        <w:rPr>
          <w:rFonts w:ascii="Times New Roman" w:hAnsi="Times New Roman"/>
          <w:sz w:val="20"/>
          <w:szCs w:val="20"/>
          <w:vertAlign w:val="superscript"/>
        </w:rPr>
        <w:t>3</w:t>
      </w:r>
      <w:r w:rsidRPr="00C237B2">
        <w:rPr>
          <w:rFonts w:ascii="Times New Roman" w:hAnsi="Times New Roman"/>
          <w:sz w:val="20"/>
          <w:szCs w:val="20"/>
        </w:rPr>
        <w:t>) and 1453 cm</w:t>
      </w:r>
      <w:r w:rsidRPr="00C237B2">
        <w:rPr>
          <w:rFonts w:ascii="Times New Roman" w:hAnsi="Times New Roman"/>
          <w:sz w:val="20"/>
          <w:szCs w:val="20"/>
          <w:vertAlign w:val="superscript"/>
        </w:rPr>
        <w:t>-1</w:t>
      </w:r>
      <w:r w:rsidRPr="00C237B2">
        <w:rPr>
          <w:rFonts w:ascii="Times New Roman" w:hAnsi="Times New Roman"/>
          <w:sz w:val="20"/>
          <w:szCs w:val="20"/>
        </w:rPr>
        <w:t xml:space="preserve"> (O-H bend vibration) [21]. Bands at 1071, 1026 and 729 cm</w:t>
      </w:r>
      <w:r w:rsidRPr="00C237B2">
        <w:rPr>
          <w:rFonts w:ascii="Times New Roman" w:hAnsi="Times New Roman"/>
          <w:sz w:val="20"/>
          <w:szCs w:val="20"/>
          <w:vertAlign w:val="superscript"/>
        </w:rPr>
        <w:t>-1</w:t>
      </w:r>
      <w:r w:rsidRPr="00C237B2">
        <w:rPr>
          <w:rFonts w:ascii="Times New Roman" w:hAnsi="Times New Roman"/>
          <w:sz w:val="20"/>
          <w:szCs w:val="20"/>
        </w:rPr>
        <w:t xml:space="preserve"> represent mono-substituted benzene stretching and the last one an out-of-plane bending [21]. </w:t>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r w:rsidRPr="00C237B2">
        <w:rPr>
          <w:rFonts w:ascii="Times New Roman" w:hAnsi="Times New Roman"/>
          <w:noProof/>
          <w:sz w:val="20"/>
          <w:szCs w:val="20"/>
          <w:lang w:val="en-MY" w:eastAsia="en-MY"/>
        </w:rPr>
        <w:drawing>
          <wp:anchor distT="0" distB="0" distL="114300" distR="114300" simplePos="0" relativeHeight="251664896" behindDoc="1" locked="0" layoutInCell="1" allowOverlap="1" wp14:anchorId="64B97AE3" wp14:editId="3AAC4489">
            <wp:simplePos x="0" y="0"/>
            <wp:positionH relativeFrom="column">
              <wp:posOffset>598805</wp:posOffset>
            </wp:positionH>
            <wp:positionV relativeFrom="paragraph">
              <wp:posOffset>83037</wp:posOffset>
            </wp:positionV>
            <wp:extent cx="4768299" cy="2160000"/>
            <wp:effectExtent l="19050" t="19050" r="13335" b="1206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8299"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center"/>
        <w:rPr>
          <w:rFonts w:ascii="Times New Roman" w:hAnsi="Times New Roman"/>
          <w:sz w:val="20"/>
          <w:szCs w:val="20"/>
        </w:rPr>
      </w:pPr>
      <w:r w:rsidRPr="00C237B2">
        <w:rPr>
          <w:rFonts w:ascii="Times New Roman" w:hAnsi="Times New Roman"/>
          <w:sz w:val="20"/>
          <w:szCs w:val="20"/>
        </w:rPr>
        <w:t xml:space="preserve">Figure 2. </w:t>
      </w:r>
      <w:r>
        <w:rPr>
          <w:rFonts w:ascii="Times New Roman" w:hAnsi="Times New Roman"/>
          <w:sz w:val="20"/>
          <w:szCs w:val="20"/>
        </w:rPr>
        <w:t xml:space="preserve"> </w:t>
      </w:r>
      <w:r w:rsidRPr="00C237B2">
        <w:rPr>
          <w:rFonts w:ascii="Times New Roman" w:hAnsi="Times New Roman"/>
          <w:sz w:val="20"/>
          <w:szCs w:val="20"/>
        </w:rPr>
        <w:t xml:space="preserve">ATR-FTIR spectrum of the extracted sample </w:t>
      </w:r>
      <w:r w:rsidRPr="00C237B2">
        <w:rPr>
          <w:rFonts w:ascii="Times New Roman" w:hAnsi="Times New Roman"/>
          <w:i/>
          <w:iCs/>
          <w:sz w:val="20"/>
          <w:szCs w:val="20"/>
        </w:rPr>
        <w:t>via</w:t>
      </w:r>
      <w:r w:rsidRPr="00C237B2">
        <w:rPr>
          <w:rFonts w:ascii="Times New Roman" w:hAnsi="Times New Roman"/>
          <w:sz w:val="20"/>
          <w:szCs w:val="20"/>
        </w:rPr>
        <w:t xml:space="preserve"> direct extraction method</w:t>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tabs>
          <w:tab w:val="left" w:pos="0"/>
        </w:tabs>
        <w:spacing w:after="0" w:line="240" w:lineRule="auto"/>
        <w:jc w:val="both"/>
        <w:rPr>
          <w:rFonts w:ascii="Times New Roman" w:hAnsi="Times New Roman"/>
          <w:sz w:val="20"/>
          <w:szCs w:val="20"/>
        </w:rPr>
      </w:pPr>
      <w:r w:rsidRPr="00C237B2">
        <w:rPr>
          <w:rFonts w:ascii="Times New Roman" w:hAnsi="Times New Roman"/>
          <w:noProof/>
          <w:sz w:val="20"/>
          <w:szCs w:val="20"/>
          <w:lang w:val="en-MY" w:eastAsia="en-MY"/>
        </w:rPr>
        <w:drawing>
          <wp:anchor distT="0" distB="0" distL="114300" distR="114300" simplePos="0" relativeHeight="251660800" behindDoc="1" locked="0" layoutInCell="1" allowOverlap="1" wp14:anchorId="7DCE0F16" wp14:editId="6525BE98">
            <wp:simplePos x="0" y="0"/>
            <wp:positionH relativeFrom="column">
              <wp:posOffset>693420</wp:posOffset>
            </wp:positionH>
            <wp:positionV relativeFrom="paragraph">
              <wp:posOffset>62230</wp:posOffset>
            </wp:positionV>
            <wp:extent cx="4531140" cy="2170706"/>
            <wp:effectExtent l="19050" t="19050" r="22225" b="203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31140" cy="2170706"/>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rsidR="00C237B2" w:rsidRPr="00C237B2" w:rsidRDefault="00C237B2" w:rsidP="00C237B2">
      <w:pPr>
        <w:tabs>
          <w:tab w:val="left" w:pos="1240"/>
          <w:tab w:val="center" w:pos="4513"/>
        </w:tabs>
        <w:spacing w:after="0" w:line="240" w:lineRule="auto"/>
        <w:jc w:val="both"/>
        <w:outlineLvl w:val="0"/>
        <w:rPr>
          <w:rFonts w:ascii="Times New Roman" w:hAnsi="Times New Roman"/>
          <w:sz w:val="20"/>
          <w:szCs w:val="20"/>
        </w:rPr>
      </w:pPr>
    </w:p>
    <w:p w:rsidR="00C237B2" w:rsidRPr="00C237B2" w:rsidRDefault="00C237B2" w:rsidP="00C237B2">
      <w:pPr>
        <w:spacing w:after="0" w:line="240" w:lineRule="auto"/>
        <w:jc w:val="both"/>
        <w:outlineLvl w:val="0"/>
        <w:rPr>
          <w:rFonts w:ascii="Times New Roman" w:hAnsi="Times New Roman"/>
          <w:sz w:val="20"/>
          <w:szCs w:val="20"/>
        </w:rPr>
      </w:pPr>
    </w:p>
    <w:p w:rsidR="00C237B2" w:rsidRPr="00C237B2" w:rsidRDefault="00C237B2" w:rsidP="00C237B2">
      <w:pPr>
        <w:spacing w:after="0" w:line="240" w:lineRule="auto"/>
        <w:jc w:val="both"/>
        <w:outlineLvl w:val="0"/>
        <w:rPr>
          <w:rFonts w:ascii="Times New Roman" w:hAnsi="Times New Roman"/>
          <w:sz w:val="20"/>
          <w:szCs w:val="20"/>
        </w:rPr>
      </w:pPr>
    </w:p>
    <w:p w:rsidR="00C237B2" w:rsidRPr="00C237B2" w:rsidRDefault="00C237B2" w:rsidP="00C237B2">
      <w:pPr>
        <w:spacing w:after="0" w:line="240" w:lineRule="auto"/>
        <w:jc w:val="both"/>
        <w:outlineLvl w:val="0"/>
        <w:rPr>
          <w:rFonts w:ascii="Times New Roman" w:hAnsi="Times New Roman"/>
          <w:sz w:val="20"/>
          <w:szCs w:val="20"/>
        </w:rPr>
      </w:pPr>
    </w:p>
    <w:p w:rsidR="00C237B2" w:rsidRPr="00C237B2" w:rsidRDefault="00C237B2" w:rsidP="00C237B2">
      <w:pPr>
        <w:spacing w:after="0" w:line="240" w:lineRule="auto"/>
        <w:jc w:val="both"/>
        <w:outlineLvl w:val="0"/>
        <w:rPr>
          <w:rFonts w:ascii="Times New Roman" w:hAnsi="Times New Roman"/>
          <w:sz w:val="20"/>
          <w:szCs w:val="20"/>
        </w:rPr>
      </w:pPr>
    </w:p>
    <w:p w:rsidR="00C237B2" w:rsidRPr="00C237B2" w:rsidRDefault="00C237B2" w:rsidP="00C237B2">
      <w:pPr>
        <w:spacing w:after="0" w:line="240" w:lineRule="auto"/>
        <w:jc w:val="both"/>
        <w:outlineLvl w:val="0"/>
        <w:rPr>
          <w:rFonts w:ascii="Times New Roman" w:hAnsi="Times New Roman"/>
          <w:sz w:val="20"/>
          <w:szCs w:val="20"/>
        </w:rPr>
      </w:pPr>
    </w:p>
    <w:p w:rsidR="00C237B2" w:rsidRPr="00C237B2" w:rsidRDefault="00C237B2" w:rsidP="00C237B2">
      <w:pPr>
        <w:spacing w:after="0" w:line="240" w:lineRule="auto"/>
        <w:jc w:val="both"/>
        <w:outlineLvl w:val="0"/>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center"/>
        <w:rPr>
          <w:rFonts w:ascii="Times New Roman" w:hAnsi="Times New Roman"/>
          <w:sz w:val="20"/>
          <w:szCs w:val="20"/>
        </w:rPr>
      </w:pPr>
      <w:r w:rsidRPr="00C237B2">
        <w:rPr>
          <w:rFonts w:ascii="Times New Roman" w:hAnsi="Times New Roman"/>
          <w:sz w:val="20"/>
          <w:szCs w:val="20"/>
        </w:rPr>
        <w:t xml:space="preserve">Figure 3. </w:t>
      </w:r>
      <w:r>
        <w:rPr>
          <w:rFonts w:ascii="Times New Roman" w:hAnsi="Times New Roman"/>
          <w:sz w:val="20"/>
          <w:szCs w:val="20"/>
        </w:rPr>
        <w:t xml:space="preserve"> </w:t>
      </w:r>
      <w:r w:rsidRPr="00C237B2">
        <w:rPr>
          <w:rFonts w:ascii="Times New Roman" w:hAnsi="Times New Roman"/>
          <w:sz w:val="20"/>
          <w:szCs w:val="20"/>
        </w:rPr>
        <w:t xml:space="preserve">ATR-FTIR spectrum of the extracted sample </w:t>
      </w:r>
      <w:r w:rsidRPr="00C237B2">
        <w:rPr>
          <w:rFonts w:ascii="Times New Roman" w:hAnsi="Times New Roman"/>
          <w:i/>
          <w:iCs/>
          <w:sz w:val="20"/>
          <w:szCs w:val="20"/>
        </w:rPr>
        <w:t>via</w:t>
      </w:r>
      <w:r w:rsidRPr="00C237B2">
        <w:rPr>
          <w:rFonts w:ascii="Times New Roman" w:hAnsi="Times New Roman"/>
          <w:sz w:val="20"/>
          <w:szCs w:val="20"/>
        </w:rPr>
        <w:t xml:space="preserve"> solvent extraction method</w:t>
      </w:r>
    </w:p>
    <w:p w:rsidR="00C237B2" w:rsidRPr="00C237B2" w:rsidRDefault="00C237B2" w:rsidP="00C237B2">
      <w:pPr>
        <w:spacing w:after="120" w:line="240" w:lineRule="auto"/>
        <w:jc w:val="both"/>
        <w:rPr>
          <w:rFonts w:ascii="Times New Roman" w:hAnsi="Times New Roman"/>
          <w:b/>
          <w:sz w:val="20"/>
          <w:szCs w:val="20"/>
        </w:rPr>
      </w:pPr>
    </w:p>
    <w:p w:rsidR="00C237B2" w:rsidRPr="00C237B2" w:rsidRDefault="00C237B2" w:rsidP="00C237B2">
      <w:pPr>
        <w:spacing w:after="0" w:line="240" w:lineRule="auto"/>
        <w:jc w:val="both"/>
        <w:rPr>
          <w:rFonts w:ascii="Times New Roman" w:hAnsi="Times New Roman"/>
          <w:b/>
          <w:sz w:val="20"/>
          <w:szCs w:val="20"/>
        </w:rPr>
      </w:pPr>
      <w:r w:rsidRPr="00C237B2">
        <w:rPr>
          <w:rFonts w:ascii="Times New Roman" w:hAnsi="Times New Roman"/>
          <w:b/>
          <w:sz w:val="20"/>
          <w:szCs w:val="20"/>
        </w:rPr>
        <w:t>Statistical analysis</w:t>
      </w:r>
    </w:p>
    <w:p w:rsidR="00C237B2" w:rsidRPr="00C237B2" w:rsidRDefault="00C237B2" w:rsidP="00C237B2">
      <w:pPr>
        <w:spacing w:after="0" w:line="240" w:lineRule="auto"/>
        <w:jc w:val="both"/>
        <w:rPr>
          <w:rFonts w:ascii="Times New Roman" w:hAnsi="Times New Roman"/>
          <w:sz w:val="20"/>
          <w:szCs w:val="20"/>
          <w:lang w:val="en-MY"/>
        </w:rPr>
      </w:pPr>
      <w:r w:rsidRPr="00C237B2">
        <w:rPr>
          <w:rFonts w:ascii="Times New Roman" w:hAnsi="Times New Roman"/>
          <w:sz w:val="20"/>
          <w:szCs w:val="20"/>
          <w:lang w:val="en-MY"/>
        </w:rPr>
        <w:t xml:space="preserve">Direct visual examination for linking samples according to their origin using spectral pattern is difficult to carry out especially when dealing with a high number of samples having similar spectral pattern. Consequently, a discussion on the classification of sample from common origin using chemometrics approach is necessary. ATR-FTIR spectral data set showed in previous section (Figures 1-3) was subjected to HCA and PCA statistical package to reveal graphical linkages within and between samples for origin determination [22, 23]. </w:t>
      </w:r>
      <w:r w:rsidRPr="00C237B2">
        <w:rPr>
          <w:rFonts w:ascii="Times New Roman" w:hAnsi="Times New Roman"/>
          <w:sz w:val="20"/>
          <w:szCs w:val="20"/>
        </w:rPr>
        <w:t>The benefit obtained by performing HCA together with PCA is that they can reveal which clustering techniques could produce the most meaningful outcomes for a given dataset.</w:t>
      </w: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b/>
          <w:bCs/>
          <w:sz w:val="20"/>
          <w:szCs w:val="20"/>
        </w:rPr>
      </w:pPr>
      <w:r w:rsidRPr="00C237B2">
        <w:rPr>
          <w:rFonts w:ascii="Times New Roman" w:hAnsi="Times New Roman"/>
          <w:b/>
          <w:bCs/>
          <w:sz w:val="20"/>
          <w:szCs w:val="20"/>
        </w:rPr>
        <w:lastRenderedPageBreak/>
        <w:t xml:space="preserve">Hierarchical cluster analysis </w:t>
      </w:r>
    </w:p>
    <w:p w:rsidR="00C237B2" w:rsidRPr="00C237B2" w:rsidRDefault="00C237B2" w:rsidP="00C237B2">
      <w:pPr>
        <w:spacing w:after="0" w:line="240" w:lineRule="auto"/>
        <w:jc w:val="both"/>
        <w:rPr>
          <w:rFonts w:ascii="Times New Roman" w:hAnsi="Times New Roman"/>
          <w:sz w:val="20"/>
          <w:szCs w:val="20"/>
        </w:rPr>
      </w:pPr>
      <w:r w:rsidRPr="00C237B2">
        <w:rPr>
          <w:rFonts w:ascii="Times New Roman" w:hAnsi="Times New Roman"/>
          <w:sz w:val="20"/>
          <w:szCs w:val="20"/>
        </w:rPr>
        <w:t xml:space="preserve">Single linkage technique was utilized to link the clusters and Euclidean distance as the proximity measure between samples because they are among the most common algorithms used for clustering purpose [24, 25]. The resultant HCA dendrogram for each sample preparation type is displayed (Figures 4-6). For the powdered samples, HCA dendrogram in Figure 4 was unable to clearly distinguish the samples according to their brands.  The formation of five clusters at around 83% of similarity revealed misclassification among all samples except for sample E. HCA dendrogram of the samples extracted using the simple direct extraction method shown in Figure 5 displays better linkages of samples from the same brands. Except for two misclassifications between sample D and A, other brands were clustered accordingly at approximately 86% similarity level. Meanwhile, for samples extracted using an acid-base method, five clusters were evident at approximately 77% similarity level. Only sample A and D were linked accordingly while sample B,C and E did not reveal any meaningful linkages. The first cluster (represented by the blue line) comprises of samples from a different brand while the other cluster (represented by grey, green and purple lines) were clustered separately as one group. </w:t>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r w:rsidRPr="00C237B2">
        <w:rPr>
          <w:rFonts w:ascii="Times New Roman" w:hAnsi="Times New Roman"/>
          <w:b/>
          <w:noProof/>
          <w:sz w:val="20"/>
          <w:szCs w:val="20"/>
          <w:lang w:val="en-MY" w:eastAsia="en-MY"/>
        </w:rPr>
        <w:drawing>
          <wp:anchor distT="0" distB="0" distL="114300" distR="114300" simplePos="0" relativeHeight="251662848" behindDoc="1" locked="0" layoutInCell="1" allowOverlap="1" wp14:anchorId="740DB3F1" wp14:editId="4CBD25E0">
            <wp:simplePos x="0" y="0"/>
            <wp:positionH relativeFrom="margin">
              <wp:posOffset>1306830</wp:posOffset>
            </wp:positionH>
            <wp:positionV relativeFrom="paragraph">
              <wp:posOffset>97790</wp:posOffset>
            </wp:positionV>
            <wp:extent cx="3336447" cy="2160000"/>
            <wp:effectExtent l="19050" t="19050" r="16510" b="120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6447"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60" w:line="240" w:lineRule="auto"/>
        <w:jc w:val="both"/>
        <w:rPr>
          <w:rFonts w:ascii="Times New Roman" w:hAnsi="Times New Roman"/>
          <w:sz w:val="20"/>
          <w:szCs w:val="20"/>
        </w:rPr>
      </w:pPr>
    </w:p>
    <w:p w:rsidR="00C237B2" w:rsidRPr="00C237B2" w:rsidRDefault="00C237B2" w:rsidP="00C237B2">
      <w:pPr>
        <w:spacing w:after="0" w:line="240" w:lineRule="auto"/>
        <w:jc w:val="center"/>
        <w:rPr>
          <w:rFonts w:ascii="Times New Roman" w:hAnsi="Times New Roman"/>
          <w:sz w:val="20"/>
          <w:szCs w:val="20"/>
        </w:rPr>
      </w:pPr>
      <w:r w:rsidRPr="00C237B2">
        <w:rPr>
          <w:rFonts w:ascii="Times New Roman" w:hAnsi="Times New Roman"/>
          <w:sz w:val="20"/>
          <w:szCs w:val="20"/>
        </w:rPr>
        <w:t xml:space="preserve">Figure 4. </w:t>
      </w:r>
      <w:r>
        <w:rPr>
          <w:rFonts w:ascii="Times New Roman" w:hAnsi="Times New Roman"/>
          <w:sz w:val="20"/>
          <w:szCs w:val="20"/>
        </w:rPr>
        <w:t xml:space="preserve"> </w:t>
      </w:r>
      <w:r w:rsidRPr="00C237B2">
        <w:rPr>
          <w:rFonts w:ascii="Times New Roman" w:hAnsi="Times New Roman"/>
          <w:sz w:val="20"/>
          <w:szCs w:val="20"/>
        </w:rPr>
        <w:t>HCA dendrogram of the homogenized powdered samples</w:t>
      </w:r>
    </w:p>
    <w:p w:rsidR="00C237B2" w:rsidRDefault="00C237B2" w:rsidP="00C237B2">
      <w:pPr>
        <w:spacing w:after="0" w:line="240" w:lineRule="auto"/>
        <w:jc w:val="center"/>
        <w:rPr>
          <w:rFonts w:ascii="Times New Roman" w:hAnsi="Times New Roman"/>
          <w:sz w:val="20"/>
          <w:szCs w:val="20"/>
        </w:rPr>
      </w:pPr>
    </w:p>
    <w:p w:rsidR="00C237B2" w:rsidRPr="00C237B2" w:rsidRDefault="00C237B2" w:rsidP="00C237B2">
      <w:pPr>
        <w:spacing w:after="0" w:line="240" w:lineRule="auto"/>
        <w:jc w:val="center"/>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r w:rsidRPr="00C237B2">
        <w:rPr>
          <w:rFonts w:ascii="Times New Roman" w:hAnsi="Times New Roman"/>
          <w:b/>
          <w:noProof/>
          <w:sz w:val="20"/>
          <w:szCs w:val="20"/>
          <w:lang w:val="en-MY" w:eastAsia="en-MY"/>
        </w:rPr>
        <w:drawing>
          <wp:anchor distT="0" distB="0" distL="114300" distR="114300" simplePos="0" relativeHeight="251659776" behindDoc="1" locked="0" layoutInCell="1" allowOverlap="1" wp14:anchorId="0F62EFD9" wp14:editId="619819C4">
            <wp:simplePos x="0" y="0"/>
            <wp:positionH relativeFrom="margin">
              <wp:posOffset>1227455</wp:posOffset>
            </wp:positionH>
            <wp:positionV relativeFrom="paragraph">
              <wp:posOffset>69850</wp:posOffset>
            </wp:positionV>
            <wp:extent cx="3460497" cy="2160000"/>
            <wp:effectExtent l="19050" t="19050" r="26035" b="1206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0497"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spacing w:after="0" w:line="240" w:lineRule="auto"/>
        <w:jc w:val="both"/>
        <w:outlineLvl w:val="0"/>
        <w:rPr>
          <w:rFonts w:ascii="Times New Roman" w:hAnsi="Times New Roman"/>
          <w:b/>
          <w:sz w:val="20"/>
          <w:szCs w:val="20"/>
        </w:rPr>
      </w:pPr>
    </w:p>
    <w:p w:rsidR="00C237B2" w:rsidRPr="00C237B2" w:rsidRDefault="00C237B2" w:rsidP="00C237B2">
      <w:pPr>
        <w:tabs>
          <w:tab w:val="left" w:pos="6824"/>
        </w:tabs>
        <w:spacing w:after="0" w:line="240" w:lineRule="auto"/>
        <w:jc w:val="center"/>
        <w:rPr>
          <w:rFonts w:ascii="Times New Roman" w:hAnsi="Times New Roman"/>
          <w:sz w:val="20"/>
          <w:szCs w:val="20"/>
        </w:rPr>
      </w:pPr>
      <w:r w:rsidRPr="00C237B2">
        <w:rPr>
          <w:rFonts w:ascii="Times New Roman" w:hAnsi="Times New Roman"/>
          <w:sz w:val="20"/>
          <w:szCs w:val="20"/>
        </w:rPr>
        <w:t xml:space="preserve">Figure 5. </w:t>
      </w:r>
      <w:r>
        <w:rPr>
          <w:rFonts w:ascii="Times New Roman" w:hAnsi="Times New Roman"/>
          <w:sz w:val="20"/>
          <w:szCs w:val="20"/>
        </w:rPr>
        <w:t xml:space="preserve"> </w:t>
      </w:r>
      <w:r w:rsidRPr="00C237B2">
        <w:rPr>
          <w:rFonts w:ascii="Times New Roman" w:hAnsi="Times New Roman"/>
          <w:sz w:val="20"/>
          <w:szCs w:val="20"/>
        </w:rPr>
        <w:t>HCA dendrogram of the samples extracted by simple direct extraction method</w:t>
      </w:r>
    </w:p>
    <w:p w:rsidR="00C237B2" w:rsidRPr="00C237B2" w:rsidRDefault="00C237B2" w:rsidP="00C237B2">
      <w:pPr>
        <w:tabs>
          <w:tab w:val="left" w:pos="6824"/>
        </w:tabs>
        <w:spacing w:after="0" w:line="240" w:lineRule="auto"/>
        <w:jc w:val="both"/>
        <w:rPr>
          <w:rFonts w:ascii="Times New Roman" w:hAnsi="Times New Roman"/>
          <w:sz w:val="20"/>
          <w:szCs w:val="20"/>
        </w:rPr>
      </w:pPr>
    </w:p>
    <w:p w:rsidR="00C237B2" w:rsidRPr="00C237B2" w:rsidRDefault="00C237B2" w:rsidP="00C237B2">
      <w:pPr>
        <w:tabs>
          <w:tab w:val="left" w:pos="6824"/>
        </w:tabs>
        <w:spacing w:after="0" w:line="240" w:lineRule="auto"/>
        <w:jc w:val="both"/>
        <w:rPr>
          <w:rFonts w:ascii="Times New Roman" w:hAnsi="Times New Roman"/>
          <w:sz w:val="20"/>
          <w:szCs w:val="20"/>
        </w:rPr>
      </w:pPr>
    </w:p>
    <w:p w:rsidR="00C237B2" w:rsidRPr="00C237B2" w:rsidRDefault="00C237B2" w:rsidP="00C237B2">
      <w:pPr>
        <w:tabs>
          <w:tab w:val="left" w:pos="6824"/>
        </w:tabs>
        <w:spacing w:after="0" w:line="240" w:lineRule="auto"/>
        <w:jc w:val="both"/>
        <w:rPr>
          <w:rFonts w:ascii="Times New Roman" w:hAnsi="Times New Roman"/>
          <w:sz w:val="20"/>
          <w:szCs w:val="20"/>
        </w:rPr>
      </w:pPr>
    </w:p>
    <w:p w:rsidR="00C237B2" w:rsidRPr="00C237B2" w:rsidRDefault="00C237B2" w:rsidP="00C237B2">
      <w:pPr>
        <w:tabs>
          <w:tab w:val="left" w:pos="6824"/>
        </w:tabs>
        <w:spacing w:after="0" w:line="240" w:lineRule="auto"/>
        <w:jc w:val="both"/>
        <w:rPr>
          <w:rFonts w:ascii="Times New Roman" w:hAnsi="Times New Roman"/>
          <w:sz w:val="20"/>
          <w:szCs w:val="20"/>
        </w:rPr>
      </w:pPr>
    </w:p>
    <w:p w:rsidR="00C237B2" w:rsidRPr="00C237B2" w:rsidRDefault="00C237B2" w:rsidP="00C237B2">
      <w:pPr>
        <w:tabs>
          <w:tab w:val="left" w:pos="6824"/>
        </w:tabs>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r w:rsidRPr="00C237B2">
        <w:rPr>
          <w:rFonts w:ascii="Times New Roman" w:hAnsi="Times New Roman"/>
          <w:noProof/>
          <w:sz w:val="20"/>
          <w:szCs w:val="20"/>
          <w:lang w:val="en-MY" w:eastAsia="en-MY"/>
        </w:rPr>
        <w:drawing>
          <wp:anchor distT="0" distB="0" distL="114300" distR="114300" simplePos="0" relativeHeight="251661824" behindDoc="1" locked="0" layoutInCell="1" allowOverlap="1" wp14:anchorId="23216E6A" wp14:editId="549595CC">
            <wp:simplePos x="0" y="0"/>
            <wp:positionH relativeFrom="margin">
              <wp:posOffset>1167765</wp:posOffset>
            </wp:positionH>
            <wp:positionV relativeFrom="paragraph">
              <wp:posOffset>47842</wp:posOffset>
            </wp:positionV>
            <wp:extent cx="3547385" cy="2160000"/>
            <wp:effectExtent l="19050" t="19050" r="15240" b="1206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7385"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sz w:val="20"/>
          <w:szCs w:val="20"/>
        </w:rPr>
      </w:pPr>
    </w:p>
    <w:p w:rsidR="00C237B2" w:rsidRDefault="00C237B2" w:rsidP="00AF1601">
      <w:pPr>
        <w:spacing w:after="0" w:line="240" w:lineRule="auto"/>
        <w:jc w:val="center"/>
        <w:rPr>
          <w:rFonts w:ascii="Times New Roman" w:hAnsi="Times New Roman"/>
          <w:sz w:val="20"/>
          <w:szCs w:val="20"/>
        </w:rPr>
      </w:pPr>
      <w:r w:rsidRPr="00C237B2">
        <w:rPr>
          <w:rFonts w:ascii="Times New Roman" w:hAnsi="Times New Roman"/>
          <w:sz w:val="20"/>
          <w:szCs w:val="20"/>
        </w:rPr>
        <w:t xml:space="preserve">Figure 6. </w:t>
      </w:r>
      <w:r w:rsidR="00AF1601">
        <w:rPr>
          <w:rFonts w:ascii="Times New Roman" w:hAnsi="Times New Roman"/>
          <w:sz w:val="20"/>
          <w:szCs w:val="20"/>
        </w:rPr>
        <w:t xml:space="preserve"> </w:t>
      </w:r>
      <w:r w:rsidRPr="00C237B2">
        <w:rPr>
          <w:rFonts w:ascii="Times New Roman" w:hAnsi="Times New Roman"/>
          <w:sz w:val="20"/>
          <w:szCs w:val="20"/>
        </w:rPr>
        <w:t>HCA dendrogram of samples extracted by acid-base extraction method</w:t>
      </w:r>
    </w:p>
    <w:p w:rsidR="00AF1601" w:rsidRPr="00C237B2" w:rsidRDefault="00AF1601" w:rsidP="00AF1601">
      <w:pPr>
        <w:spacing w:after="120" w:line="240" w:lineRule="auto"/>
        <w:jc w:val="both"/>
        <w:rPr>
          <w:rFonts w:ascii="Times New Roman" w:hAnsi="Times New Roman"/>
          <w:sz w:val="20"/>
          <w:szCs w:val="20"/>
        </w:rPr>
      </w:pPr>
    </w:p>
    <w:p w:rsidR="00C237B2" w:rsidRPr="00C237B2" w:rsidRDefault="00C237B2" w:rsidP="00C237B2">
      <w:pPr>
        <w:spacing w:after="0" w:line="240" w:lineRule="auto"/>
        <w:jc w:val="both"/>
        <w:rPr>
          <w:rFonts w:ascii="Times New Roman" w:hAnsi="Times New Roman"/>
          <w:b/>
          <w:bCs/>
          <w:sz w:val="20"/>
          <w:szCs w:val="20"/>
        </w:rPr>
      </w:pPr>
      <w:r w:rsidRPr="00C237B2">
        <w:rPr>
          <w:rFonts w:ascii="Times New Roman" w:hAnsi="Times New Roman"/>
          <w:b/>
          <w:bCs/>
          <w:sz w:val="20"/>
          <w:szCs w:val="20"/>
        </w:rPr>
        <w:t>Principal component analysis</w:t>
      </w:r>
    </w:p>
    <w:p w:rsidR="00AF1601" w:rsidRDefault="00C237B2" w:rsidP="00AF1601">
      <w:pPr>
        <w:spacing w:after="0" w:line="240" w:lineRule="auto"/>
        <w:jc w:val="both"/>
        <w:rPr>
          <w:rFonts w:ascii="Times New Roman" w:hAnsi="Times New Roman"/>
          <w:sz w:val="20"/>
          <w:szCs w:val="20"/>
        </w:rPr>
      </w:pPr>
      <w:r w:rsidRPr="00C237B2">
        <w:rPr>
          <w:rFonts w:ascii="Times New Roman" w:hAnsi="Times New Roman"/>
          <w:sz w:val="20"/>
          <w:szCs w:val="20"/>
        </w:rPr>
        <w:t>PCA was performed using correlation matrix and the clusters in the score plots were examined to reflect the actual information [24, 25].</w:t>
      </w:r>
      <w:r w:rsidRPr="00C237B2">
        <w:rPr>
          <w:rFonts w:ascii="Times New Roman" w:hAnsi="Times New Roman"/>
          <w:sz w:val="20"/>
          <w:szCs w:val="20"/>
          <w:lang w:val="en-MY"/>
        </w:rPr>
        <w:t xml:space="preserve"> </w:t>
      </w:r>
      <w:r w:rsidRPr="00C237B2">
        <w:rPr>
          <w:rFonts w:ascii="Times New Roman" w:hAnsi="Times New Roman"/>
          <w:sz w:val="20"/>
          <w:szCs w:val="20"/>
        </w:rPr>
        <w:t xml:space="preserve">Figure 7 shows three dimensional (3D) PCA score plot of the powdered samples. The first three PCs used to construct the score plot account for 92.5% of total variation (PC1 = 58.5%, PC2 = 19.9% and PC3 = 14.1%) in the dataset which signifies that PCA captured relevant information within the raw dataset. Contrary to the HCA result, all samples from different origin were well separated from each other in PCA. Despite having similar pseudoephedrine  hydrochloride contents, discrimination between sample AP and AC from a different manufacturer is evident. Different pharmaceutical formulation unique to each tablet undoubtedly contribute significantly to the clustering of these samples [13]. </w:t>
      </w:r>
    </w:p>
    <w:p w:rsidR="00AF1601" w:rsidRDefault="00AF1601" w:rsidP="00AF1601">
      <w:pPr>
        <w:spacing w:after="0" w:line="240" w:lineRule="auto"/>
        <w:jc w:val="both"/>
        <w:rPr>
          <w:rFonts w:ascii="Times New Roman" w:hAnsi="Times New Roman"/>
          <w:sz w:val="20"/>
          <w:szCs w:val="20"/>
        </w:rPr>
      </w:pPr>
    </w:p>
    <w:p w:rsidR="00AF1601" w:rsidRPr="00C237B2" w:rsidRDefault="00AF1601" w:rsidP="00AF1601">
      <w:pPr>
        <w:spacing w:after="0" w:line="240" w:lineRule="auto"/>
        <w:jc w:val="both"/>
        <w:rPr>
          <w:rFonts w:ascii="Times New Roman" w:hAnsi="Times New Roman"/>
          <w:sz w:val="20"/>
          <w:szCs w:val="20"/>
        </w:rPr>
      </w:pPr>
    </w:p>
    <w:p w:rsidR="00C237B2" w:rsidRPr="00C237B2" w:rsidRDefault="00AF1601" w:rsidP="00AF1601">
      <w:pPr>
        <w:spacing w:after="120" w:line="240" w:lineRule="auto"/>
        <w:jc w:val="center"/>
        <w:rPr>
          <w:rFonts w:ascii="Times New Roman" w:hAnsi="Times New Roman"/>
          <w:sz w:val="20"/>
          <w:szCs w:val="20"/>
        </w:rPr>
      </w:pPr>
      <w:r w:rsidRPr="00C237B2">
        <w:rPr>
          <w:rFonts w:ascii="Times New Roman" w:hAnsi="Times New Roman"/>
          <w:sz w:val="20"/>
          <w:szCs w:val="20"/>
        </w:rPr>
        <w:object w:dxaOrig="8640" w:dyaOrig="5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266.25pt;height:169.5pt" o:ole="" o:bordertopcolor="this" o:borderleftcolor="this" o:borderbottomcolor="this" o:borderrightcolor="this" filled="t" fillcolor="black [3213]">
            <v:imagedata r:id="rId16" o:title=""/>
            <w10:bordertop type="single" width="4"/>
            <w10:borderleft type="single" width="4"/>
            <w10:borderbottom type="single" width="4"/>
            <w10:borderright type="single" width="4"/>
          </v:shape>
          <o:OLEObject Type="Embed" ProgID="MtbGraph.Document.16" ShapeID="_x0000_i1053" DrawAspect="Content" ObjectID="_1647099630" r:id="rId17"/>
        </w:object>
      </w:r>
    </w:p>
    <w:p w:rsidR="00C237B2" w:rsidRPr="00C237B2" w:rsidRDefault="00C237B2" w:rsidP="00AF1601">
      <w:pPr>
        <w:spacing w:after="0" w:line="240" w:lineRule="auto"/>
        <w:jc w:val="center"/>
        <w:rPr>
          <w:rFonts w:ascii="Times New Roman" w:hAnsi="Times New Roman"/>
          <w:sz w:val="20"/>
          <w:szCs w:val="20"/>
        </w:rPr>
      </w:pPr>
      <w:r w:rsidRPr="00C237B2">
        <w:rPr>
          <w:rFonts w:ascii="Times New Roman" w:hAnsi="Times New Roman"/>
          <w:sz w:val="20"/>
          <w:szCs w:val="20"/>
        </w:rPr>
        <w:t xml:space="preserve">Figure 7. </w:t>
      </w:r>
      <w:r w:rsidR="00AF1601">
        <w:rPr>
          <w:rFonts w:ascii="Times New Roman" w:hAnsi="Times New Roman"/>
          <w:sz w:val="20"/>
          <w:szCs w:val="20"/>
        </w:rPr>
        <w:t xml:space="preserve"> </w:t>
      </w:r>
      <w:r w:rsidRPr="00C237B2">
        <w:rPr>
          <w:rFonts w:ascii="Times New Roman" w:hAnsi="Times New Roman"/>
          <w:sz w:val="20"/>
          <w:szCs w:val="20"/>
        </w:rPr>
        <w:t>Three dimensional (3D) PCA scores plot for the powdered samples</w:t>
      </w:r>
    </w:p>
    <w:p w:rsidR="00C237B2" w:rsidRPr="00C237B2" w:rsidRDefault="00C237B2" w:rsidP="00AF1601">
      <w:pPr>
        <w:spacing w:after="120" w:line="240" w:lineRule="auto"/>
        <w:jc w:val="both"/>
        <w:rPr>
          <w:rFonts w:ascii="Times New Roman" w:hAnsi="Times New Roman"/>
          <w:sz w:val="20"/>
          <w:szCs w:val="20"/>
        </w:rPr>
      </w:pPr>
    </w:p>
    <w:p w:rsidR="00C237B2" w:rsidRDefault="00C237B2" w:rsidP="00C237B2">
      <w:pPr>
        <w:spacing w:after="0" w:line="240" w:lineRule="auto"/>
        <w:jc w:val="both"/>
        <w:rPr>
          <w:rFonts w:ascii="Times New Roman" w:hAnsi="Times New Roman"/>
          <w:sz w:val="20"/>
          <w:szCs w:val="20"/>
        </w:rPr>
      </w:pPr>
      <w:r w:rsidRPr="00C237B2">
        <w:rPr>
          <w:rFonts w:ascii="Times New Roman" w:hAnsi="Times New Roman"/>
          <w:sz w:val="20"/>
          <w:szCs w:val="20"/>
        </w:rPr>
        <w:t xml:space="preserve">When the samples were dissolved and filtered to obtain extract with considerably better pseudoephedrine purity, the clustering of the samples has improved tremendously. Dissolution and extraction using ethanol could have removed a substantial amount of bulking agents such as starch, waxes, binders and other excipients reducing redundant information across all samples, hence improving the PCA outcome. </w:t>
      </w:r>
      <w:bookmarkStart w:id="4" w:name="_Hlk34746942"/>
      <w:r w:rsidRPr="00C237B2">
        <w:rPr>
          <w:rFonts w:ascii="Times New Roman" w:hAnsi="Times New Roman"/>
          <w:sz w:val="20"/>
          <w:szCs w:val="20"/>
        </w:rPr>
        <w:t xml:space="preserve">The corresponding 3D PCA score plot as shown </w:t>
      </w:r>
      <w:r w:rsidRPr="00C237B2">
        <w:rPr>
          <w:rFonts w:ascii="Times New Roman" w:hAnsi="Times New Roman"/>
          <w:sz w:val="20"/>
          <w:szCs w:val="20"/>
        </w:rPr>
        <w:lastRenderedPageBreak/>
        <w:t>in Figure 8 represents 92.9% of the total variation (PC1 = 59.4%, PC2 = 24.6% and PC3 = 8.9%) in the dataset</w:t>
      </w:r>
      <w:bookmarkEnd w:id="4"/>
      <w:r w:rsidRPr="00C237B2">
        <w:rPr>
          <w:rFonts w:ascii="Times New Roman" w:hAnsi="Times New Roman"/>
          <w:sz w:val="20"/>
          <w:szCs w:val="20"/>
        </w:rPr>
        <w:t>. This result has markedly improved in comparison to HCA of a similar dataset as all the samples are successfully grouped according to their brand without misclassification. Additionally, most of the clusters show tight clustering of the samples. Perhaps the presence of other existing APIs that were also soluble in ethanol could have contributed to definite discrimination of the samples. Loratadine, triprolidine, paracetamol or combinations were known to be present in sample A, B, C, D and E.</w:t>
      </w:r>
    </w:p>
    <w:p w:rsidR="00AF1601" w:rsidRPr="00C237B2" w:rsidRDefault="00AF1601" w:rsidP="00AF1601">
      <w:pPr>
        <w:spacing w:after="120" w:line="240" w:lineRule="auto"/>
        <w:jc w:val="both"/>
        <w:rPr>
          <w:rFonts w:ascii="Times New Roman" w:hAnsi="Times New Roman"/>
          <w:sz w:val="20"/>
          <w:szCs w:val="20"/>
        </w:rPr>
      </w:pPr>
    </w:p>
    <w:p w:rsidR="00C237B2" w:rsidRPr="00AF1601" w:rsidRDefault="00AF1601" w:rsidP="00AF1601">
      <w:pPr>
        <w:spacing w:after="120" w:line="240" w:lineRule="auto"/>
        <w:jc w:val="center"/>
        <w:rPr>
          <w:rFonts w:ascii="Times New Roman" w:hAnsi="Times New Roman"/>
          <w:sz w:val="20"/>
          <w:szCs w:val="20"/>
        </w:rPr>
      </w:pPr>
      <w:r w:rsidRPr="00C237B2">
        <w:rPr>
          <w:rFonts w:ascii="Times New Roman" w:hAnsi="Times New Roman"/>
          <w:sz w:val="20"/>
          <w:szCs w:val="20"/>
        </w:rPr>
        <w:object w:dxaOrig="8640" w:dyaOrig="5760">
          <v:shape id="_x0000_i1054" type="#_x0000_t75" style="width:294.75pt;height:172.5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MtbGraph.Document.16" ShapeID="_x0000_i1054" DrawAspect="Content" ObjectID="_1647099631" r:id="rId19"/>
        </w:object>
      </w:r>
    </w:p>
    <w:p w:rsidR="00C237B2" w:rsidRPr="00C237B2" w:rsidRDefault="00C237B2" w:rsidP="00AF1601">
      <w:pPr>
        <w:spacing w:after="0" w:line="240" w:lineRule="auto"/>
        <w:jc w:val="center"/>
        <w:rPr>
          <w:rFonts w:ascii="Times New Roman" w:hAnsi="Times New Roman"/>
          <w:sz w:val="20"/>
          <w:szCs w:val="20"/>
        </w:rPr>
      </w:pPr>
      <w:r w:rsidRPr="00C237B2">
        <w:rPr>
          <w:rFonts w:ascii="Times New Roman" w:hAnsi="Times New Roman"/>
          <w:sz w:val="20"/>
          <w:szCs w:val="20"/>
        </w:rPr>
        <w:t xml:space="preserve">Figure 8. </w:t>
      </w:r>
      <w:r w:rsidR="00AF1601">
        <w:rPr>
          <w:rFonts w:ascii="Times New Roman" w:hAnsi="Times New Roman"/>
          <w:sz w:val="20"/>
          <w:szCs w:val="20"/>
        </w:rPr>
        <w:t xml:space="preserve"> </w:t>
      </w:r>
      <w:r w:rsidRPr="00C237B2">
        <w:rPr>
          <w:rFonts w:ascii="Times New Roman" w:hAnsi="Times New Roman"/>
          <w:sz w:val="20"/>
          <w:szCs w:val="20"/>
        </w:rPr>
        <w:t>Three dimensional (3D) PCA scores plot for samples extracted by direct extraction method</w:t>
      </w:r>
    </w:p>
    <w:p w:rsidR="00C237B2" w:rsidRPr="00C237B2" w:rsidRDefault="00C237B2" w:rsidP="00AF1601">
      <w:pPr>
        <w:spacing w:after="0" w:line="240" w:lineRule="auto"/>
        <w:jc w:val="both"/>
        <w:rPr>
          <w:rFonts w:ascii="Times New Roman" w:hAnsi="Times New Roman"/>
          <w:sz w:val="20"/>
          <w:szCs w:val="20"/>
        </w:rPr>
      </w:pPr>
    </w:p>
    <w:p w:rsidR="00C237B2" w:rsidRPr="00C237B2" w:rsidRDefault="00C237B2" w:rsidP="00C237B2">
      <w:pPr>
        <w:tabs>
          <w:tab w:val="left" w:pos="3525"/>
        </w:tabs>
        <w:spacing w:after="0" w:line="240" w:lineRule="auto"/>
        <w:jc w:val="both"/>
        <w:rPr>
          <w:rFonts w:ascii="Times New Roman" w:hAnsi="Times New Roman"/>
          <w:sz w:val="20"/>
          <w:szCs w:val="20"/>
        </w:rPr>
      </w:pPr>
      <w:r w:rsidRPr="00C237B2">
        <w:rPr>
          <w:rFonts w:ascii="Times New Roman" w:hAnsi="Times New Roman"/>
          <w:sz w:val="20"/>
          <w:szCs w:val="20"/>
        </w:rPr>
        <w:t xml:space="preserve">Infield scenario seized pseudoephedrine from clandestine laboratory is usually of high purity which may suggest the precursor was obtained either from the commercial supplier or it might have undergone extensive chemical purification process such as acid-base extraction from originally innocent sources. The latter is the situation commonly encountered in the kitchen scale clandestine laboratory. PCA analysis for samples extracted by acid-base extraction method (Figure 9) provided a model that accounted for 84.7% of the total data variance (PC1 = 52%, PC2 = 19.3% and PC3 = 13.4%). Sample DS and AS formed two homogenous groups, however sample BS, CS and ES are closely convoluted in one area. To probe whether or not the samples in the convoluted group may be discriminated, further PC analysis was conducted involving only the three samples. The resultant 3D PCA score plot for the convoluted group is displayed in Figure 10. </w:t>
      </w:r>
    </w:p>
    <w:p w:rsidR="00AF1601" w:rsidRPr="00C237B2" w:rsidRDefault="00AF1601" w:rsidP="00AF1601">
      <w:pPr>
        <w:tabs>
          <w:tab w:val="left" w:pos="3525"/>
        </w:tabs>
        <w:spacing w:after="120" w:line="240" w:lineRule="auto"/>
        <w:jc w:val="both"/>
        <w:rPr>
          <w:rFonts w:ascii="Times New Roman" w:hAnsi="Times New Roman"/>
          <w:sz w:val="20"/>
          <w:szCs w:val="20"/>
        </w:rPr>
      </w:pPr>
    </w:p>
    <w:p w:rsidR="00C237B2" w:rsidRPr="00C237B2" w:rsidRDefault="00AF1601" w:rsidP="00AF1601">
      <w:pPr>
        <w:tabs>
          <w:tab w:val="left" w:pos="3525"/>
        </w:tabs>
        <w:spacing w:after="120" w:line="240" w:lineRule="auto"/>
        <w:jc w:val="center"/>
        <w:rPr>
          <w:rFonts w:ascii="Times New Roman" w:hAnsi="Times New Roman"/>
          <w:sz w:val="20"/>
          <w:szCs w:val="20"/>
        </w:rPr>
      </w:pPr>
      <w:r w:rsidRPr="00C237B2">
        <w:rPr>
          <w:rFonts w:ascii="Times New Roman" w:hAnsi="Times New Roman"/>
          <w:sz w:val="20"/>
          <w:szCs w:val="20"/>
        </w:rPr>
        <w:object w:dxaOrig="8640" w:dyaOrig="5760">
          <v:shape id="_x0000_i1055" type="#_x0000_t75" style="width:238.5pt;height:172.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MtbGraph.Document.16" ShapeID="_x0000_i1055" DrawAspect="Content" ObjectID="_1647099632" r:id="rId21"/>
        </w:object>
      </w:r>
    </w:p>
    <w:p w:rsidR="00AF1601" w:rsidRDefault="00C237B2" w:rsidP="00AF1601">
      <w:pPr>
        <w:spacing w:after="0" w:line="240" w:lineRule="auto"/>
        <w:jc w:val="center"/>
        <w:outlineLvl w:val="0"/>
        <w:rPr>
          <w:rFonts w:ascii="Times New Roman" w:hAnsi="Times New Roman"/>
          <w:sz w:val="20"/>
          <w:szCs w:val="20"/>
        </w:rPr>
      </w:pPr>
      <w:r w:rsidRPr="00C237B2">
        <w:rPr>
          <w:rFonts w:ascii="Times New Roman" w:hAnsi="Times New Roman"/>
          <w:sz w:val="20"/>
          <w:szCs w:val="20"/>
        </w:rPr>
        <w:t xml:space="preserve">Figure 9. </w:t>
      </w:r>
      <w:r w:rsidR="00AF1601">
        <w:rPr>
          <w:rFonts w:ascii="Times New Roman" w:hAnsi="Times New Roman"/>
          <w:sz w:val="20"/>
          <w:szCs w:val="20"/>
        </w:rPr>
        <w:t xml:space="preserve"> </w:t>
      </w:r>
      <w:r w:rsidRPr="00C237B2">
        <w:rPr>
          <w:rFonts w:ascii="Times New Roman" w:hAnsi="Times New Roman"/>
          <w:sz w:val="20"/>
          <w:szCs w:val="20"/>
        </w:rPr>
        <w:t>Three dimensional (3D) PCA score plot for samples extracted solvent extraction method</w:t>
      </w:r>
    </w:p>
    <w:p w:rsidR="00AF1601" w:rsidRDefault="00AF1601" w:rsidP="00C237B2">
      <w:pPr>
        <w:spacing w:after="0" w:line="240" w:lineRule="auto"/>
        <w:jc w:val="both"/>
        <w:outlineLvl w:val="0"/>
        <w:rPr>
          <w:rFonts w:ascii="Times New Roman" w:hAnsi="Times New Roman"/>
          <w:sz w:val="20"/>
          <w:szCs w:val="20"/>
        </w:rPr>
      </w:pPr>
    </w:p>
    <w:p w:rsidR="00AF1601" w:rsidRDefault="00AF1601" w:rsidP="00C237B2">
      <w:pPr>
        <w:spacing w:after="0" w:line="240" w:lineRule="auto"/>
        <w:jc w:val="both"/>
        <w:outlineLvl w:val="0"/>
        <w:rPr>
          <w:rFonts w:ascii="Times New Roman" w:hAnsi="Times New Roman"/>
          <w:sz w:val="20"/>
          <w:szCs w:val="20"/>
        </w:rPr>
      </w:pPr>
    </w:p>
    <w:p w:rsidR="00C237B2" w:rsidRPr="00C237B2" w:rsidRDefault="00C237B2" w:rsidP="00AF1601">
      <w:pPr>
        <w:spacing w:after="0" w:line="240" w:lineRule="auto"/>
        <w:jc w:val="center"/>
        <w:outlineLvl w:val="0"/>
        <w:rPr>
          <w:rFonts w:ascii="Times New Roman" w:hAnsi="Times New Roman"/>
          <w:sz w:val="20"/>
          <w:szCs w:val="20"/>
        </w:rPr>
      </w:pPr>
      <w:r w:rsidRPr="00C237B2">
        <w:rPr>
          <w:rFonts w:ascii="Times New Roman" w:hAnsi="Times New Roman"/>
          <w:sz w:val="20"/>
          <w:szCs w:val="20"/>
        </w:rPr>
        <w:object w:dxaOrig="8640" w:dyaOrig="5760">
          <v:shape id="_x0000_i1072" type="#_x0000_t75" style="width:291pt;height:182.25pt" o:ole="" o:bordertopcolor="this" o:borderleftcolor="this" o:borderbottomcolor="this" o:borderrightcolor="this">
            <v:imagedata r:id="rId22" o:title=""/>
            <w10:bordertop type="single" width="4"/>
            <w10:borderleft type="single" width="4"/>
            <w10:borderbottom type="single" width="4"/>
            <w10:borderright type="single" width="4"/>
          </v:shape>
          <o:OLEObject Type="Embed" ProgID="MtbGraph.Document.16" ShapeID="_x0000_i1072" DrawAspect="Content" ObjectID="_1647099633" r:id="rId23"/>
        </w:object>
      </w:r>
    </w:p>
    <w:p w:rsidR="00C237B2" w:rsidRPr="00C237B2" w:rsidRDefault="00C237B2" w:rsidP="00C237B2">
      <w:pPr>
        <w:spacing w:after="0" w:line="240" w:lineRule="auto"/>
        <w:jc w:val="both"/>
        <w:outlineLvl w:val="0"/>
        <w:rPr>
          <w:rFonts w:ascii="Times New Roman" w:hAnsi="Times New Roman"/>
          <w:sz w:val="20"/>
          <w:szCs w:val="20"/>
        </w:rPr>
      </w:pPr>
    </w:p>
    <w:p w:rsidR="00C237B2" w:rsidRPr="00AF1601" w:rsidRDefault="00C237B2" w:rsidP="00AF1601">
      <w:pPr>
        <w:spacing w:after="0" w:line="240" w:lineRule="auto"/>
        <w:ind w:left="990" w:hanging="990"/>
        <w:jc w:val="both"/>
        <w:outlineLvl w:val="0"/>
        <w:rPr>
          <w:rFonts w:ascii="Times New Roman" w:hAnsi="Times New Roman"/>
          <w:sz w:val="20"/>
          <w:szCs w:val="20"/>
        </w:rPr>
      </w:pPr>
      <w:r w:rsidRPr="00C237B2">
        <w:rPr>
          <w:rFonts w:ascii="Times New Roman" w:hAnsi="Times New Roman"/>
          <w:sz w:val="20"/>
          <w:szCs w:val="20"/>
        </w:rPr>
        <w:t xml:space="preserve">Figure 10. </w:t>
      </w:r>
      <w:r w:rsidR="00AF1601">
        <w:rPr>
          <w:rFonts w:ascii="Times New Roman" w:hAnsi="Times New Roman"/>
          <w:sz w:val="20"/>
          <w:szCs w:val="20"/>
        </w:rPr>
        <w:t xml:space="preserve"> </w:t>
      </w:r>
      <w:r w:rsidR="00AF1601">
        <w:rPr>
          <w:rFonts w:ascii="Times New Roman" w:hAnsi="Times New Roman"/>
          <w:sz w:val="20"/>
          <w:szCs w:val="20"/>
        </w:rPr>
        <w:tab/>
      </w:r>
      <w:r w:rsidRPr="00C237B2">
        <w:rPr>
          <w:rFonts w:ascii="Times New Roman" w:hAnsi="Times New Roman"/>
          <w:sz w:val="20"/>
          <w:szCs w:val="20"/>
        </w:rPr>
        <w:t>Three-dimensional (3D) score plot for the previously convoluted group comprising of BS, CS and ES</w:t>
      </w:r>
      <w:r w:rsidR="00801B6F">
        <w:rPr>
          <w:rFonts w:ascii="Times New Roman" w:hAnsi="Times New Roman"/>
          <w:sz w:val="20"/>
          <w:szCs w:val="20"/>
        </w:rPr>
        <w:t xml:space="preserve"> </w:t>
      </w:r>
      <w:r w:rsidRPr="00C237B2">
        <w:rPr>
          <w:rFonts w:ascii="Times New Roman" w:hAnsi="Times New Roman"/>
          <w:sz w:val="20"/>
          <w:szCs w:val="20"/>
        </w:rPr>
        <w:t>samples</w:t>
      </w:r>
    </w:p>
    <w:p w:rsidR="00C237B2" w:rsidRPr="00C237B2" w:rsidRDefault="00C237B2" w:rsidP="00801B6F">
      <w:pPr>
        <w:spacing w:after="120" w:line="240" w:lineRule="auto"/>
        <w:jc w:val="both"/>
        <w:rPr>
          <w:rFonts w:ascii="Times New Roman" w:hAnsi="Times New Roman"/>
          <w:sz w:val="20"/>
          <w:szCs w:val="20"/>
        </w:rPr>
      </w:pPr>
    </w:p>
    <w:p w:rsidR="00AF1601" w:rsidRPr="00C237B2" w:rsidRDefault="00AF1601" w:rsidP="00AF1601">
      <w:pPr>
        <w:tabs>
          <w:tab w:val="left" w:pos="3525"/>
        </w:tabs>
        <w:spacing w:after="0" w:line="240" w:lineRule="auto"/>
        <w:jc w:val="both"/>
        <w:rPr>
          <w:rFonts w:ascii="Times New Roman" w:hAnsi="Times New Roman"/>
          <w:sz w:val="20"/>
          <w:szCs w:val="20"/>
        </w:rPr>
      </w:pPr>
      <w:r w:rsidRPr="00C237B2">
        <w:rPr>
          <w:rFonts w:ascii="Times New Roman" w:hAnsi="Times New Roman"/>
          <w:sz w:val="20"/>
          <w:szCs w:val="20"/>
        </w:rPr>
        <w:t>Combination of PC1, PC2 and PC3 described 92.4% of the total variation (PC1 = 69.9%, PC2 = 16.5.6% and PC3 = 6.0%) in the dataset. Predominantly, the samples from the three different brands can be separated into three homogenous groups despite the misclassification of one of the ES samples into the BS cluster. The detachment of one ES sample at the far right-hand side of the score plot from the ES cluster confirmed that the sample could be an outlier. Further scrutinization on the ES samples spectrum (Figure 11) confirmed that the sample is in fact an outlier due to sharp bending at around 1400 nm</w:t>
      </w:r>
      <w:r w:rsidRPr="00C237B2">
        <w:rPr>
          <w:rFonts w:ascii="Times New Roman" w:hAnsi="Times New Roman"/>
          <w:sz w:val="20"/>
          <w:szCs w:val="20"/>
          <w:vertAlign w:val="superscript"/>
        </w:rPr>
        <w:t>-1</w:t>
      </w:r>
      <w:r w:rsidRPr="00C237B2">
        <w:rPr>
          <w:rFonts w:ascii="Times New Roman" w:hAnsi="Times New Roman"/>
          <w:sz w:val="20"/>
          <w:szCs w:val="20"/>
        </w:rPr>
        <w:t xml:space="preserve"> and 1238</w:t>
      </w:r>
      <w:r w:rsidRPr="00C237B2">
        <w:rPr>
          <w:rFonts w:ascii="Times New Roman" w:hAnsi="Times New Roman"/>
          <w:sz w:val="20"/>
          <w:szCs w:val="20"/>
          <w:vertAlign w:val="superscript"/>
        </w:rPr>
        <w:t xml:space="preserve"> </w:t>
      </w:r>
      <w:r w:rsidRPr="00C237B2">
        <w:rPr>
          <w:rFonts w:ascii="Times New Roman" w:hAnsi="Times New Roman"/>
          <w:sz w:val="20"/>
          <w:szCs w:val="20"/>
        </w:rPr>
        <w:t>nm</w:t>
      </w:r>
      <w:r w:rsidRPr="00C237B2">
        <w:rPr>
          <w:rFonts w:ascii="Times New Roman" w:hAnsi="Times New Roman"/>
          <w:sz w:val="20"/>
          <w:szCs w:val="20"/>
          <w:vertAlign w:val="superscript"/>
        </w:rPr>
        <w:t>-1</w:t>
      </w:r>
      <w:r w:rsidRPr="00C237B2">
        <w:rPr>
          <w:rFonts w:ascii="Times New Roman" w:hAnsi="Times New Roman"/>
          <w:sz w:val="20"/>
          <w:szCs w:val="20"/>
        </w:rPr>
        <w:t xml:space="preserve">. </w:t>
      </w:r>
    </w:p>
    <w:p w:rsidR="00C237B2" w:rsidRPr="00C237B2" w:rsidRDefault="00C237B2" w:rsidP="00801B6F">
      <w:pPr>
        <w:spacing w:after="120" w:line="240" w:lineRule="auto"/>
        <w:jc w:val="both"/>
        <w:rPr>
          <w:rFonts w:ascii="Times New Roman" w:hAnsi="Times New Roman"/>
          <w:sz w:val="20"/>
          <w:szCs w:val="20"/>
        </w:rPr>
      </w:pPr>
    </w:p>
    <w:p w:rsidR="00C237B2" w:rsidRPr="00C237B2" w:rsidRDefault="00C237B2" w:rsidP="00801B6F">
      <w:pPr>
        <w:spacing w:after="120" w:line="240" w:lineRule="auto"/>
        <w:jc w:val="center"/>
        <w:outlineLvl w:val="0"/>
        <w:rPr>
          <w:rFonts w:ascii="Times New Roman" w:hAnsi="Times New Roman"/>
          <w:b/>
          <w:sz w:val="20"/>
          <w:szCs w:val="20"/>
        </w:rPr>
      </w:pPr>
      <w:r w:rsidRPr="00C237B2">
        <w:rPr>
          <w:rFonts w:ascii="Times New Roman" w:hAnsi="Times New Roman"/>
          <w:b/>
          <w:noProof/>
          <w:sz w:val="20"/>
          <w:szCs w:val="20"/>
          <w:lang w:val="en-MY" w:eastAsia="en-MY"/>
        </w:rPr>
        <w:drawing>
          <wp:inline distT="0" distB="0" distL="0" distR="0" wp14:anchorId="68F2F9EC" wp14:editId="4C6ACCDE">
            <wp:extent cx="3738743" cy="2160000"/>
            <wp:effectExtent l="19050" t="19050" r="14605"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38743" cy="2160000"/>
                    </a:xfrm>
                    <a:prstGeom prst="rect">
                      <a:avLst/>
                    </a:prstGeom>
                    <a:noFill/>
                    <a:ln w="6350">
                      <a:solidFill>
                        <a:schemeClr val="tx1"/>
                      </a:solidFill>
                    </a:ln>
                  </pic:spPr>
                </pic:pic>
              </a:graphicData>
            </a:graphic>
          </wp:inline>
        </w:drawing>
      </w:r>
    </w:p>
    <w:p w:rsidR="00C237B2" w:rsidRPr="00C237B2" w:rsidRDefault="00C237B2" w:rsidP="00801B6F">
      <w:pPr>
        <w:spacing w:after="0" w:line="240" w:lineRule="auto"/>
        <w:ind w:left="990" w:hanging="990"/>
        <w:jc w:val="both"/>
        <w:outlineLvl w:val="0"/>
        <w:rPr>
          <w:rFonts w:ascii="Times New Roman" w:hAnsi="Times New Roman"/>
          <w:sz w:val="20"/>
          <w:szCs w:val="20"/>
        </w:rPr>
      </w:pPr>
      <w:r w:rsidRPr="00C237B2">
        <w:rPr>
          <w:rFonts w:ascii="Times New Roman" w:hAnsi="Times New Roman"/>
          <w:noProof/>
          <w:sz w:val="20"/>
          <w:szCs w:val="20"/>
          <w:lang w:val="en-MY"/>
        </w:rPr>
        <w:t>F</w:t>
      </w:r>
      <w:r w:rsidRPr="00C237B2">
        <w:rPr>
          <w:rFonts w:ascii="Times New Roman" w:hAnsi="Times New Roman"/>
          <w:sz w:val="20"/>
          <w:szCs w:val="20"/>
        </w:rPr>
        <w:t xml:space="preserve">igure 11. </w:t>
      </w:r>
      <w:r w:rsidR="00801B6F">
        <w:rPr>
          <w:rFonts w:ascii="Times New Roman" w:hAnsi="Times New Roman"/>
          <w:sz w:val="20"/>
          <w:szCs w:val="20"/>
        </w:rPr>
        <w:tab/>
      </w:r>
      <w:r w:rsidRPr="00C237B2">
        <w:rPr>
          <w:rFonts w:ascii="Times New Roman" w:hAnsi="Times New Roman"/>
          <w:sz w:val="20"/>
          <w:szCs w:val="20"/>
        </w:rPr>
        <w:t>FTIR spectrum of the ES samples. The outlier which is represented by the purple line corresponds to</w:t>
      </w:r>
    </w:p>
    <w:p w:rsidR="00C237B2" w:rsidRPr="00C237B2" w:rsidRDefault="00C237B2" w:rsidP="00801B6F">
      <w:pPr>
        <w:spacing w:after="0" w:line="240" w:lineRule="auto"/>
        <w:ind w:left="990" w:hanging="990"/>
        <w:jc w:val="both"/>
        <w:outlineLvl w:val="0"/>
        <w:rPr>
          <w:rFonts w:ascii="Times New Roman" w:hAnsi="Times New Roman"/>
          <w:sz w:val="20"/>
          <w:szCs w:val="20"/>
        </w:rPr>
      </w:pPr>
      <w:r w:rsidRPr="00C237B2">
        <w:rPr>
          <w:rFonts w:ascii="Times New Roman" w:hAnsi="Times New Roman"/>
          <w:sz w:val="20"/>
          <w:szCs w:val="20"/>
        </w:rPr>
        <w:t xml:space="preserve">                  </w:t>
      </w:r>
      <w:r w:rsidR="00801B6F">
        <w:rPr>
          <w:rFonts w:ascii="Times New Roman" w:hAnsi="Times New Roman"/>
          <w:sz w:val="20"/>
          <w:szCs w:val="20"/>
        </w:rPr>
        <w:tab/>
      </w:r>
      <w:r w:rsidRPr="00C237B2">
        <w:rPr>
          <w:rFonts w:ascii="Times New Roman" w:hAnsi="Times New Roman"/>
          <w:sz w:val="20"/>
          <w:szCs w:val="20"/>
        </w:rPr>
        <w:t>ES sample detached from the ES cluster in the score plot</w:t>
      </w:r>
    </w:p>
    <w:p w:rsidR="006768E9" w:rsidRDefault="006768E9" w:rsidP="00C237B2">
      <w:pPr>
        <w:spacing w:after="0" w:line="240" w:lineRule="auto"/>
        <w:jc w:val="center"/>
        <w:rPr>
          <w:rFonts w:ascii="Times New Roman" w:hAnsi="Times New Roman"/>
          <w:noProof/>
          <w:sz w:val="20"/>
          <w:szCs w:val="20"/>
          <w:lang w:bidi="ar-SA"/>
        </w:rPr>
      </w:pPr>
    </w:p>
    <w:p w:rsidR="00C237B2" w:rsidRPr="00F447A7" w:rsidRDefault="00C237B2" w:rsidP="00C237B2">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01B6F" w:rsidRPr="00801B6F" w:rsidRDefault="00801B6F" w:rsidP="00801B6F">
      <w:pPr>
        <w:spacing w:after="0" w:line="240" w:lineRule="auto"/>
        <w:jc w:val="both"/>
        <w:rPr>
          <w:rFonts w:ascii="Times New Roman" w:hAnsi="Times New Roman"/>
          <w:sz w:val="20"/>
          <w:szCs w:val="20"/>
        </w:rPr>
      </w:pPr>
      <w:r w:rsidRPr="00801B6F">
        <w:rPr>
          <w:rFonts w:ascii="Times New Roman" w:hAnsi="Times New Roman"/>
          <w:sz w:val="20"/>
          <w:szCs w:val="20"/>
        </w:rPr>
        <w:t xml:space="preserve">Clandestine operators can readily extract pseudoephedrine from over-the-counter cold medication tablet either by simple direct extraction or more complicated chemical purification techniques to use as a precursor for illicit drugs. Acid-base extraction can produce a precursor of considerably high purity when compared to pure standards which would make source determination for forensic intelligence challenging. The applicability of the ATR-FTIR </w:t>
      </w:r>
      <w:r w:rsidRPr="00801B6F">
        <w:rPr>
          <w:rFonts w:ascii="Times New Roman" w:hAnsi="Times New Roman"/>
          <w:sz w:val="20"/>
          <w:szCs w:val="20"/>
        </w:rPr>
        <w:lastRenderedPageBreak/>
        <w:t xml:space="preserve">techniques to directly identify suspicious compound or sample is convenient. Interestingly, its use for origin or source profiling by combinatory chemometrics analysis such as PCA and HCA have enabled the extraction of relevant spectral data to give a meaningful association between and among the samples. Considering that these promising results were obtained using raw or untreated FTIR data, work using treated data is actively undergoing. Nonetheless, the output from this work has shown that the </w:t>
      </w:r>
      <w:smartTag w:uri="urn:schemas-microsoft-com:office:smarttags" w:element="stockticker">
        <w:r w:rsidRPr="00801B6F">
          <w:rPr>
            <w:rFonts w:ascii="Times New Roman" w:hAnsi="Times New Roman"/>
            <w:sz w:val="20"/>
            <w:szCs w:val="20"/>
          </w:rPr>
          <w:t>ATR</w:t>
        </w:r>
      </w:smartTag>
      <w:r w:rsidRPr="00801B6F">
        <w:rPr>
          <w:rFonts w:ascii="Times New Roman" w:hAnsi="Times New Roman"/>
          <w:sz w:val="20"/>
          <w:szCs w:val="20"/>
        </w:rPr>
        <w:t xml:space="preserve">-FTIR in combination with chemometrics techniques for chemically processed pseudoephedrine was able to provide a simple, rapid and more importantly non-destructive for linking precursor to their sources of origin. </w:t>
      </w:r>
    </w:p>
    <w:p w:rsidR="00801B6F" w:rsidRPr="00801B6F" w:rsidRDefault="00801B6F" w:rsidP="00801B6F">
      <w:pPr>
        <w:spacing w:after="0" w:line="240" w:lineRule="auto"/>
        <w:jc w:val="center"/>
        <w:outlineLvl w:val="0"/>
        <w:rPr>
          <w:rFonts w:ascii="Times New Roman" w:hAnsi="Times New Roman"/>
          <w:b/>
          <w:sz w:val="20"/>
          <w:szCs w:val="20"/>
        </w:rPr>
      </w:pPr>
    </w:p>
    <w:p w:rsidR="00801B6F" w:rsidRPr="00801B6F" w:rsidRDefault="00801B6F" w:rsidP="00801B6F">
      <w:pPr>
        <w:spacing w:after="0" w:line="240" w:lineRule="auto"/>
        <w:jc w:val="center"/>
        <w:outlineLvl w:val="0"/>
        <w:rPr>
          <w:rFonts w:ascii="Times New Roman" w:hAnsi="Times New Roman"/>
          <w:b/>
          <w:sz w:val="20"/>
          <w:szCs w:val="20"/>
        </w:rPr>
      </w:pPr>
      <w:r w:rsidRPr="00801B6F">
        <w:rPr>
          <w:rFonts w:ascii="Times New Roman" w:hAnsi="Times New Roman"/>
          <w:b/>
          <w:sz w:val="20"/>
          <w:szCs w:val="20"/>
        </w:rPr>
        <w:t>Acknowledgement</w:t>
      </w:r>
    </w:p>
    <w:p w:rsidR="006768E9" w:rsidRPr="00801B6F" w:rsidRDefault="00801B6F" w:rsidP="00801B6F">
      <w:pPr>
        <w:spacing w:after="0" w:line="240" w:lineRule="auto"/>
        <w:jc w:val="both"/>
        <w:outlineLvl w:val="0"/>
        <w:rPr>
          <w:rFonts w:ascii="Times New Roman" w:hAnsi="Times New Roman"/>
          <w:b/>
          <w:sz w:val="20"/>
          <w:szCs w:val="20"/>
        </w:rPr>
      </w:pPr>
      <w:r w:rsidRPr="00801B6F">
        <w:rPr>
          <w:rFonts w:ascii="Times New Roman" w:hAnsi="Times New Roman"/>
          <w:sz w:val="20"/>
          <w:szCs w:val="20"/>
        </w:rPr>
        <w:t>The authors gratefully acknowledged Universiti Sains Malaysia (USM) for funding this study under the Bridging grant scheme (304.PPSK.6316202) and Ministry of Higher Education Malaysia (MOHE) for the MyBrain15 scholarship awarded to Ms. Ainol Hayah Ahmad Nadzri and also technical support provided by the Analytical Laboratory (MAL) staff of the School of Health Sciences, USM Kubang Kerian, Kelantan.</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5" w:name="_GoBack"/>
      <w:r w:rsidRPr="00F447A7">
        <w:rPr>
          <w:rFonts w:ascii="Times New Roman" w:hAnsi="Times New Roman"/>
          <w:b/>
          <w:noProof/>
          <w:sz w:val="20"/>
          <w:szCs w:val="20"/>
          <w:lang w:bidi="ar-SA"/>
        </w:rPr>
        <w:t>References</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Bryan, J. (2012). Pseudoephedrine is a though product to challenge as a nasal decongestant. https://www.pharmaceutical-journal.com. [Access online 01 July 2019]. </w:t>
      </w:r>
    </w:p>
    <w:p w:rsidR="00801B6F" w:rsidRP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Silverman, B. (2018). Method and formulation for cold treatment in adults and children with increase safety.</w:t>
      </w:r>
      <w:r w:rsidRPr="00801B6F">
        <w:rPr>
          <w:rFonts w:ascii="Times New Roman" w:hAnsi="Times New Roman"/>
          <w:sz w:val="20"/>
          <w:szCs w:val="20"/>
          <w:shd w:val="clear" w:color="auto" w:fill="FFFFFF"/>
        </w:rPr>
        <w:t xml:space="preserve"> </w:t>
      </w:r>
      <w:r w:rsidRPr="00801B6F">
        <w:rPr>
          <w:rFonts w:ascii="Times New Roman" w:hAnsi="Times New Roman"/>
          <w:i/>
          <w:sz w:val="20"/>
          <w:szCs w:val="20"/>
          <w:shd w:val="clear" w:color="auto" w:fill="FFFFFF"/>
        </w:rPr>
        <w:t>US Patent App.</w:t>
      </w:r>
      <w:r w:rsidRPr="00801B6F">
        <w:rPr>
          <w:rFonts w:ascii="Times New Roman" w:hAnsi="Times New Roman"/>
          <w:sz w:val="20"/>
          <w:szCs w:val="20"/>
          <w:shd w:val="clear" w:color="auto" w:fill="FFFFFF"/>
        </w:rPr>
        <w:t xml:space="preserve"> 10(046): 052. </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International Narcotic Control Board (2015). Precursors and chemicals frequently used in the illicit manufacture of narcotic drugs and psychotropic substances. United Nation, New York: pp. 1-120.</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Brzeczko, A. W., Leech, R. and Stark, J. G. (2013). The advent of a new pseudoephedrine product to combat methamphetamine abuse</w:t>
      </w:r>
      <w:r w:rsidRPr="00801B6F">
        <w:rPr>
          <w:rFonts w:ascii="Times New Roman" w:hAnsi="Times New Roman"/>
          <w:i/>
          <w:sz w:val="20"/>
          <w:szCs w:val="20"/>
        </w:rPr>
        <w:t>. The American Journal of Drug and Alcohol Abuse</w:t>
      </w:r>
      <w:r w:rsidRPr="00801B6F">
        <w:rPr>
          <w:rFonts w:ascii="Times New Roman" w:hAnsi="Times New Roman"/>
          <w:sz w:val="20"/>
          <w:szCs w:val="20"/>
        </w:rPr>
        <w:t>, 39(5): 284-290.</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Maheux, C. R. and Copeland, C. R. (2010). Characterization of three methcathinone analogs: 4 methylmethcathinone, methylone, and bk-MBDB. </w:t>
      </w:r>
      <w:r w:rsidRPr="00801B6F">
        <w:rPr>
          <w:rFonts w:ascii="Times New Roman" w:hAnsi="Times New Roman"/>
          <w:i/>
          <w:sz w:val="20"/>
          <w:szCs w:val="20"/>
        </w:rPr>
        <w:t>Microgram Journal</w:t>
      </w:r>
      <w:r w:rsidRPr="00801B6F">
        <w:rPr>
          <w:rFonts w:ascii="Times New Roman" w:hAnsi="Times New Roman"/>
          <w:sz w:val="20"/>
          <w:szCs w:val="20"/>
        </w:rPr>
        <w:t>, 7(2): 42-49.</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Roggo, Y., Chalus, P., Maurer, L., Lema-Martinez, C., Edmond, A. and Jent, N. (2007). A review of infrared spectroscopy and chemometrics in pharmaceutical technologies. </w:t>
      </w:r>
      <w:r w:rsidRPr="00801B6F">
        <w:rPr>
          <w:rFonts w:ascii="Times New Roman" w:hAnsi="Times New Roman"/>
          <w:i/>
          <w:sz w:val="20"/>
          <w:szCs w:val="20"/>
        </w:rPr>
        <w:t>Journal of Pharmaceutical and Biomedical Analysis</w:t>
      </w:r>
      <w:r w:rsidRPr="00801B6F">
        <w:rPr>
          <w:rFonts w:ascii="Times New Roman" w:hAnsi="Times New Roman"/>
          <w:sz w:val="20"/>
          <w:szCs w:val="20"/>
        </w:rPr>
        <w:t>, 44(3): 683-700.</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Deisingh, A. K. (2005). Pharmaceutical counterfeiting. </w:t>
      </w:r>
      <w:r w:rsidRPr="00801B6F">
        <w:rPr>
          <w:rFonts w:ascii="Times New Roman" w:hAnsi="Times New Roman"/>
          <w:i/>
          <w:sz w:val="20"/>
          <w:szCs w:val="20"/>
        </w:rPr>
        <w:t>Analyst</w:t>
      </w:r>
      <w:r w:rsidRPr="00801B6F">
        <w:rPr>
          <w:rFonts w:ascii="Times New Roman" w:hAnsi="Times New Roman"/>
          <w:sz w:val="20"/>
          <w:szCs w:val="20"/>
        </w:rPr>
        <w:t>, 130(1): 271-279.</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Hodges, C. M. and Akhavan, J. (1990). The use of Fourier transform Raman spectroscopy in the forensic identification of illicit drugs and explosives. </w:t>
      </w:r>
      <w:r w:rsidRPr="00801B6F">
        <w:rPr>
          <w:rFonts w:ascii="Times New Roman" w:hAnsi="Times New Roman"/>
          <w:i/>
          <w:sz w:val="20"/>
          <w:szCs w:val="20"/>
        </w:rPr>
        <w:t>Spectrocimica Act,</w:t>
      </w:r>
      <w:r w:rsidRPr="00801B6F">
        <w:rPr>
          <w:rFonts w:ascii="Times New Roman" w:hAnsi="Times New Roman"/>
          <w:sz w:val="20"/>
          <w:szCs w:val="20"/>
        </w:rPr>
        <w:t xml:space="preserve"> 46(2): 303-307. </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Baran, O. (2005). Determination of narcotic and psychotropic substance by using infrared spectroscopy. Thesis of Master of Science, Middle East Technical University, Turkey.</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Goh, C. Y., Van Bronswijk, W. and Priddis, C. (2008). Rapid non-destructive on-site screening of methylamphetamine seizures by attenuated total reflection Fourier transform infrared spectroscopy. </w:t>
      </w:r>
      <w:r w:rsidRPr="00801B6F">
        <w:rPr>
          <w:rFonts w:ascii="Times New Roman" w:hAnsi="Times New Roman"/>
          <w:i/>
          <w:iCs/>
          <w:sz w:val="20"/>
          <w:szCs w:val="20"/>
        </w:rPr>
        <w:t xml:space="preserve">Applied Spectroscopic, </w:t>
      </w:r>
      <w:r w:rsidRPr="00801B6F">
        <w:rPr>
          <w:rFonts w:ascii="Times New Roman" w:hAnsi="Times New Roman"/>
          <w:iCs/>
          <w:sz w:val="20"/>
          <w:szCs w:val="20"/>
        </w:rPr>
        <w:t>62(6)</w:t>
      </w:r>
      <w:r w:rsidRPr="00801B6F">
        <w:rPr>
          <w:rFonts w:ascii="Times New Roman" w:hAnsi="Times New Roman"/>
          <w:sz w:val="20"/>
          <w:szCs w:val="20"/>
        </w:rPr>
        <w:t xml:space="preserve">: 640-648. </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Melucci, D., Monti, D., D’Elia, M. and Luciano, G. (2012). Rapid in situ repeatable analysis of drugs in powder form using reflectance near-infrared spectroscopy and multivariate calibration. </w:t>
      </w:r>
      <w:r w:rsidRPr="00801B6F">
        <w:rPr>
          <w:rFonts w:ascii="Times New Roman" w:hAnsi="Times New Roman"/>
          <w:i/>
          <w:iCs/>
          <w:sz w:val="20"/>
          <w:szCs w:val="20"/>
        </w:rPr>
        <w:t xml:space="preserve">Journal of Forensic Science, </w:t>
      </w:r>
      <w:r w:rsidRPr="00801B6F">
        <w:rPr>
          <w:rFonts w:ascii="Times New Roman" w:hAnsi="Times New Roman"/>
          <w:iCs/>
          <w:sz w:val="20"/>
          <w:szCs w:val="20"/>
        </w:rPr>
        <w:t>57(1)</w:t>
      </w:r>
      <w:r w:rsidRPr="00801B6F">
        <w:rPr>
          <w:rFonts w:ascii="Times New Roman" w:hAnsi="Times New Roman"/>
          <w:sz w:val="20"/>
          <w:szCs w:val="20"/>
        </w:rPr>
        <w:t>: 86-92.</w:t>
      </w:r>
    </w:p>
    <w:p w:rsidR="00801B6F" w:rsidRPr="00801B6F" w:rsidRDefault="00801B6F" w:rsidP="00801B6F">
      <w:pPr>
        <w:pStyle w:val="ListParagraph"/>
        <w:numPr>
          <w:ilvl w:val="0"/>
          <w:numId w:val="9"/>
        </w:numPr>
        <w:spacing w:after="0" w:line="240" w:lineRule="auto"/>
        <w:ind w:left="360"/>
        <w:contextualSpacing w:val="0"/>
        <w:jc w:val="both"/>
        <w:rPr>
          <w:rStyle w:val="A1"/>
          <w:rFonts w:ascii="Times New Roman" w:hAnsi="Times New Roman" w:cs="Times New Roman"/>
          <w:color w:val="auto"/>
          <w:sz w:val="20"/>
          <w:szCs w:val="20"/>
        </w:rPr>
      </w:pPr>
      <w:r w:rsidRPr="00801B6F">
        <w:rPr>
          <w:rFonts w:ascii="Times New Roman" w:hAnsi="Times New Roman"/>
          <w:sz w:val="20"/>
          <w:szCs w:val="20"/>
        </w:rPr>
        <w:t xml:space="preserve">Rodrigues, N. V. S., Cardoso, E. M., Andrade, M. V. O., Donnici, C. L. and Sena, M. M. (2013). Analysis of seized cocaine samples by using chemometric method and FTIR spectroscopy. </w:t>
      </w:r>
      <w:r w:rsidRPr="00801B6F">
        <w:rPr>
          <w:rStyle w:val="A1"/>
          <w:rFonts w:ascii="Times New Roman" w:hAnsi="Times New Roman" w:cs="Times New Roman"/>
          <w:i/>
          <w:iCs/>
          <w:sz w:val="20"/>
          <w:szCs w:val="20"/>
        </w:rPr>
        <w:t>Journal of the Brazilian Chemical Society,</w:t>
      </w:r>
      <w:r w:rsidRPr="00801B6F">
        <w:rPr>
          <w:rStyle w:val="A1"/>
          <w:rFonts w:ascii="Times New Roman" w:hAnsi="Times New Roman" w:cs="Times New Roman"/>
          <w:sz w:val="20"/>
          <w:szCs w:val="20"/>
        </w:rPr>
        <w:t xml:space="preserve"> 24(3): 507-517.</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Pereira, L. S. A., Lisboa, F. L. C., Neto, J. C., Valladao, F. N. and Sena, M. M. (2017). Direct classification of new psychoactive substances in seized blotter papers by ATR-FTIR and multivariate discriminant analysis. </w:t>
      </w:r>
      <w:r w:rsidRPr="00801B6F">
        <w:rPr>
          <w:rFonts w:ascii="Times New Roman" w:hAnsi="Times New Roman"/>
          <w:i/>
          <w:sz w:val="20"/>
          <w:szCs w:val="20"/>
        </w:rPr>
        <w:t>Microchemical Journal</w:t>
      </w:r>
      <w:r w:rsidRPr="00801B6F">
        <w:rPr>
          <w:rFonts w:ascii="Times New Roman" w:hAnsi="Times New Roman"/>
          <w:sz w:val="20"/>
          <w:szCs w:val="20"/>
        </w:rPr>
        <w:t>, 133(1): 96-103.</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Calvo, N. L., Kaufman, T. S. and Maggio, R. M. (2015). A PCA-based chemometrics-assisted ATR-FTIR approach for the classification of polymorphs of cimetidine: Application to physical mixtures and tablets. </w:t>
      </w:r>
      <w:r w:rsidRPr="00801B6F">
        <w:rPr>
          <w:rFonts w:ascii="Times New Roman" w:hAnsi="Times New Roman"/>
          <w:i/>
          <w:sz w:val="20"/>
          <w:szCs w:val="20"/>
        </w:rPr>
        <w:t>Journal of Pharmaceutical and Biomedical</w:t>
      </w:r>
      <w:r w:rsidRPr="00801B6F">
        <w:rPr>
          <w:rFonts w:ascii="Times New Roman" w:hAnsi="Times New Roman"/>
          <w:sz w:val="20"/>
          <w:szCs w:val="20"/>
        </w:rPr>
        <w:t xml:space="preserve"> </w:t>
      </w:r>
      <w:r w:rsidRPr="00801B6F">
        <w:rPr>
          <w:rFonts w:ascii="Times New Roman" w:hAnsi="Times New Roman"/>
          <w:i/>
          <w:sz w:val="20"/>
          <w:szCs w:val="20"/>
        </w:rPr>
        <w:t>Analysis</w:t>
      </w:r>
      <w:r w:rsidRPr="00801B6F">
        <w:rPr>
          <w:rFonts w:ascii="Times New Roman" w:hAnsi="Times New Roman"/>
          <w:sz w:val="20"/>
          <w:szCs w:val="20"/>
        </w:rPr>
        <w:t>, 107(1): 419-425.</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Mohamad Asri, M. N., Mat Desa, W. N. S. and Ismail, D. (2017). Raman spectroscopy of ballpoint-pen inks using chemometric techniques. </w:t>
      </w:r>
      <w:r w:rsidRPr="00801B6F">
        <w:rPr>
          <w:rFonts w:ascii="Times New Roman" w:hAnsi="Times New Roman"/>
          <w:i/>
          <w:iCs/>
          <w:sz w:val="20"/>
          <w:szCs w:val="20"/>
        </w:rPr>
        <w:t xml:space="preserve">Australian Journal of Forensic Science, </w:t>
      </w:r>
      <w:r w:rsidRPr="00801B6F">
        <w:rPr>
          <w:rFonts w:ascii="Times New Roman" w:hAnsi="Times New Roman"/>
          <w:sz w:val="20"/>
          <w:szCs w:val="20"/>
        </w:rPr>
        <w:t xml:space="preserve">49(2): 175-185. </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Ismail, D., Austada, Z. and Mat Desa, W. N. S. (2014). Ultra-violet and visible (UV-VIS) spectroscopy and chemometrics techniques for forensic analysis of ballpoint pen inks: A preliminary study. </w:t>
      </w:r>
      <w:r w:rsidRPr="00801B6F">
        <w:rPr>
          <w:rFonts w:ascii="Times New Roman" w:hAnsi="Times New Roman"/>
          <w:i/>
          <w:iCs/>
          <w:sz w:val="20"/>
          <w:szCs w:val="20"/>
        </w:rPr>
        <w:t>Malaysian Journal of Forensic Science</w:t>
      </w:r>
      <w:r w:rsidRPr="00801B6F">
        <w:rPr>
          <w:rFonts w:ascii="Times New Roman" w:hAnsi="Times New Roman"/>
          <w:sz w:val="20"/>
          <w:szCs w:val="20"/>
        </w:rPr>
        <w:t>, 5(1): 47-52.</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lastRenderedPageBreak/>
        <w:t xml:space="preserve">Sondermann, N. and Kovar, K. A. (1999). Screening experiments of ecstasy street samples using near-infrared spectroscopy. </w:t>
      </w:r>
      <w:r w:rsidRPr="00801B6F">
        <w:rPr>
          <w:rFonts w:ascii="Times New Roman" w:hAnsi="Times New Roman"/>
          <w:i/>
          <w:iCs/>
          <w:sz w:val="20"/>
          <w:szCs w:val="20"/>
        </w:rPr>
        <w:t xml:space="preserve">Forensic Science International, </w:t>
      </w:r>
      <w:r w:rsidRPr="00801B6F">
        <w:rPr>
          <w:rFonts w:ascii="Times New Roman" w:hAnsi="Times New Roman"/>
          <w:iCs/>
          <w:sz w:val="20"/>
          <w:szCs w:val="20"/>
        </w:rPr>
        <w:t>106(3)</w:t>
      </w:r>
      <w:r w:rsidRPr="00801B6F">
        <w:rPr>
          <w:rFonts w:ascii="Times New Roman" w:hAnsi="Times New Roman"/>
          <w:sz w:val="20"/>
          <w:szCs w:val="20"/>
        </w:rPr>
        <w:t xml:space="preserve">: 147-156. </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Moros, J., Galipienso, N., Vilches, R., Garrigues, M. and De La Guardia, S. (2008). Nondestructive direct determination of heroin in seized illicit street drugs by diffuse reflectance near-infrared spectroscopy. </w:t>
      </w:r>
      <w:r w:rsidRPr="00801B6F">
        <w:rPr>
          <w:rFonts w:ascii="Times New Roman" w:hAnsi="Times New Roman"/>
          <w:i/>
          <w:iCs/>
          <w:sz w:val="20"/>
          <w:szCs w:val="20"/>
        </w:rPr>
        <w:t>Analytical Chemistry</w:t>
      </w:r>
      <w:r w:rsidRPr="00801B6F">
        <w:rPr>
          <w:rFonts w:ascii="Times New Roman" w:hAnsi="Times New Roman"/>
          <w:sz w:val="20"/>
          <w:szCs w:val="20"/>
        </w:rPr>
        <w:t xml:space="preserve">, </w:t>
      </w:r>
      <w:r w:rsidRPr="00801B6F">
        <w:rPr>
          <w:rFonts w:ascii="Times New Roman" w:hAnsi="Times New Roman"/>
          <w:iCs/>
          <w:sz w:val="20"/>
          <w:szCs w:val="20"/>
        </w:rPr>
        <w:t>80(19</w:t>
      </w:r>
      <w:r w:rsidRPr="00801B6F">
        <w:rPr>
          <w:rFonts w:ascii="Times New Roman" w:hAnsi="Times New Roman"/>
          <w:sz w:val="20"/>
          <w:szCs w:val="20"/>
        </w:rPr>
        <w:t>): 7257-7265.</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Graf, W. F., Pearson, J. R., Appadoo, D. R.T., Robertson, E. G. and Ennis, C. (2020). The prediction of far-infrared spectra for molecular crystals of forensic interest- Phenylethylamine, ephedrine and pseudoephedrine. </w:t>
      </w:r>
      <w:r w:rsidRPr="00801B6F">
        <w:rPr>
          <w:rFonts w:ascii="Times New Roman" w:hAnsi="Times New Roman"/>
          <w:i/>
          <w:sz w:val="20"/>
          <w:szCs w:val="20"/>
        </w:rPr>
        <w:t>Forensic Chemistry</w:t>
      </w:r>
      <w:r w:rsidRPr="00801B6F">
        <w:rPr>
          <w:rFonts w:ascii="Times New Roman" w:hAnsi="Times New Roman"/>
          <w:sz w:val="20"/>
          <w:szCs w:val="20"/>
        </w:rPr>
        <w:t>, 17(1): 1-11.</w:t>
      </w:r>
    </w:p>
    <w:p w:rsidR="00801B6F" w:rsidRP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eastAsiaTheme="minorHAnsi" w:hAnsi="Times New Roman"/>
          <w:sz w:val="20"/>
          <w:szCs w:val="20"/>
          <w:lang w:val="en-MY"/>
        </w:rPr>
        <w:t>Formula, C. and Weight, M. (2005). Scientific working group for the analysis of seized drugs (SWGDRUG. Access from http://forensics.org.my/pdf/fssmVol.6No.1/Article 04.pdf. [Access online 02 July 19].</w:t>
      </w:r>
    </w:p>
    <w:p w:rsidR="00801B6F" w:rsidRP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eastAsiaTheme="minorHAnsi" w:hAnsi="Times New Roman"/>
          <w:sz w:val="20"/>
          <w:szCs w:val="20"/>
          <w:lang w:val="en-MY"/>
        </w:rPr>
        <w:t xml:space="preserve">Miao, L., Liu, Y., Li, H., Qi, Y. and Lu, F. (2017). Two-dimensional correlation infrared spectroscopy applied to the identification of ephedrine and pseudoephedrine in illegally adulterated slimming herbal products. </w:t>
      </w:r>
      <w:r w:rsidRPr="00801B6F">
        <w:rPr>
          <w:rFonts w:ascii="Times New Roman" w:eastAsiaTheme="minorHAnsi" w:hAnsi="Times New Roman"/>
          <w:i/>
          <w:sz w:val="20"/>
          <w:szCs w:val="20"/>
          <w:lang w:val="en-MY"/>
        </w:rPr>
        <w:t>Drug Testing and Analysis</w:t>
      </w:r>
      <w:r w:rsidRPr="00801B6F">
        <w:rPr>
          <w:rFonts w:ascii="Times New Roman" w:eastAsiaTheme="minorHAnsi" w:hAnsi="Times New Roman"/>
          <w:sz w:val="20"/>
          <w:szCs w:val="20"/>
          <w:lang w:val="en-MY"/>
        </w:rPr>
        <w:t>, 9 (2): 221-229.</w:t>
      </w:r>
    </w:p>
    <w:p w:rsidR="00801B6F" w:rsidRP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eastAsiaTheme="minorHAnsi" w:hAnsi="Times New Roman"/>
          <w:sz w:val="20"/>
          <w:szCs w:val="20"/>
          <w:lang w:val="en-MY"/>
        </w:rPr>
        <w:t xml:space="preserve">Hughes, J., Ayoko, G., Collett, S. and Golding, G. (2013). Rapid quantification of methamphetamine:     Using attenuated total reflectance Fourier transform infrared spectroscopy (ATR-FTIR) and Chemometrics. </w:t>
      </w:r>
      <w:r w:rsidRPr="00801B6F">
        <w:rPr>
          <w:rFonts w:ascii="Times New Roman" w:eastAsiaTheme="minorHAnsi" w:hAnsi="Times New Roman"/>
          <w:i/>
          <w:sz w:val="20"/>
          <w:szCs w:val="20"/>
          <w:lang w:val="en-MY"/>
        </w:rPr>
        <w:t>PLoS ONE</w:t>
      </w:r>
      <w:r w:rsidRPr="00801B6F">
        <w:rPr>
          <w:rFonts w:ascii="Times New Roman" w:eastAsiaTheme="minorHAnsi" w:hAnsi="Times New Roman"/>
          <w:sz w:val="20"/>
          <w:szCs w:val="20"/>
          <w:lang w:val="en-MY"/>
        </w:rPr>
        <w:t xml:space="preserve">, 8(7): e69609. </w:t>
      </w:r>
    </w:p>
    <w:p w:rsidR="00801B6F" w:rsidRP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eastAsiaTheme="minorHAnsi" w:hAnsi="Times New Roman"/>
          <w:sz w:val="20"/>
          <w:szCs w:val="20"/>
          <w:lang w:val="en-MY"/>
        </w:rPr>
        <w:t xml:space="preserve">Nic Daeid, N. and Waddell, R. J. H. (2005). The analytical and chemometrics procedures used to profile illicit drug seizures. </w:t>
      </w:r>
      <w:r w:rsidRPr="00801B6F">
        <w:rPr>
          <w:rFonts w:ascii="Times New Roman" w:eastAsiaTheme="minorHAnsi" w:hAnsi="Times New Roman"/>
          <w:i/>
          <w:sz w:val="20"/>
          <w:szCs w:val="20"/>
          <w:lang w:val="en-MY"/>
        </w:rPr>
        <w:t>Talanta</w:t>
      </w:r>
      <w:r w:rsidRPr="00801B6F">
        <w:rPr>
          <w:rFonts w:ascii="Times New Roman" w:eastAsiaTheme="minorHAnsi" w:hAnsi="Times New Roman"/>
          <w:sz w:val="20"/>
          <w:szCs w:val="20"/>
          <w:lang w:val="en-MY"/>
        </w:rPr>
        <w:t xml:space="preserve"> 67(2): 280-285.</w:t>
      </w:r>
    </w:p>
    <w:p w:rsid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Mat Desa, W. N. S., Nic Daeid, N., Dzulkiflee I. and Savage, K. (2020). Application of unsupervised    chemometric analysis and self-organizing feature map (SOFM) for the classification of lighter fuels. </w:t>
      </w:r>
      <w:r w:rsidRPr="00801B6F">
        <w:rPr>
          <w:rFonts w:ascii="Times New Roman" w:hAnsi="Times New Roman"/>
          <w:i/>
          <w:sz w:val="20"/>
          <w:szCs w:val="20"/>
        </w:rPr>
        <w:t>Analytical Chemistry</w:t>
      </w:r>
      <w:r w:rsidRPr="00801B6F">
        <w:rPr>
          <w:rFonts w:ascii="Times New Roman" w:hAnsi="Times New Roman"/>
          <w:sz w:val="20"/>
          <w:szCs w:val="20"/>
        </w:rPr>
        <w:t xml:space="preserve"> 82(1): 6395-6640.</w:t>
      </w:r>
    </w:p>
    <w:p w:rsidR="00801B6F" w:rsidRPr="00801B6F" w:rsidRDefault="00801B6F" w:rsidP="00801B6F">
      <w:pPr>
        <w:pStyle w:val="ListParagraph"/>
        <w:numPr>
          <w:ilvl w:val="0"/>
          <w:numId w:val="9"/>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Mat Desa, W. N. S., Ismail, D. and Nic Daeid, N. (2011). Classification and source determination of medium petroleum distillates by chemometric and artificial neural networks: A self-organizing feature approach. </w:t>
      </w:r>
      <w:r w:rsidRPr="00801B6F">
        <w:rPr>
          <w:rFonts w:ascii="Times New Roman" w:hAnsi="Times New Roman"/>
          <w:i/>
          <w:sz w:val="20"/>
          <w:szCs w:val="20"/>
        </w:rPr>
        <w:t>Analytical Chemistry</w:t>
      </w:r>
      <w:r w:rsidRPr="00801B6F">
        <w:rPr>
          <w:rFonts w:ascii="Times New Roman" w:hAnsi="Times New Roman"/>
          <w:sz w:val="20"/>
          <w:szCs w:val="20"/>
        </w:rPr>
        <w:t xml:space="preserve"> 83(2): 7745-7754. </w:t>
      </w:r>
    </w:p>
    <w:bookmarkEnd w:id="5"/>
    <w:p w:rsidR="00A74A7E" w:rsidRPr="007A738C" w:rsidRDefault="00A74A7E" w:rsidP="00801B6F">
      <w:pPr>
        <w:spacing w:after="0" w:line="240" w:lineRule="auto"/>
        <w:jc w:val="both"/>
        <w:rPr>
          <w:rFonts w:ascii="Times New Roman" w:hAnsi="Times New Roman"/>
          <w:noProof/>
          <w:lang w:bidi="ar-SA"/>
        </w:rPr>
      </w:pPr>
    </w:p>
    <w:sectPr w:rsidR="00A74A7E" w:rsidRPr="007A738C" w:rsidSect="006412EF">
      <w:headerReference w:type="even" r:id="rId25"/>
      <w:headerReference w:type="default" r:id="rId26"/>
      <w:footerReference w:type="even" r:id="rId27"/>
      <w:footerReference w:type="default" r:id="rId28"/>
      <w:headerReference w:type="first" r:id="rId29"/>
      <w:pgSz w:w="12240" w:h="15840" w:code="1"/>
      <w:pgMar w:top="1800" w:right="1469" w:bottom="1699" w:left="1440" w:header="706" w:footer="706" w:gutter="0"/>
      <w:pgNumType w:start="27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2C7" w:rsidRDefault="008B02C7" w:rsidP="00FB4C59">
      <w:pPr>
        <w:spacing w:after="0" w:line="240" w:lineRule="auto"/>
      </w:pPr>
      <w:r>
        <w:separator/>
      </w:r>
    </w:p>
  </w:endnote>
  <w:endnote w:type="continuationSeparator" w:id="0">
    <w:p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6412EF">
      <w:rPr>
        <w:rFonts w:ascii="Times New Roman" w:hAnsi="Times New Roman"/>
        <w:noProof/>
      </w:rPr>
      <w:t>286</w:t>
    </w:r>
    <w:r w:rsidRPr="00C0756D">
      <w:rPr>
        <w:rFonts w:ascii="Times New Roman" w:hAnsi="Times New Roman"/>
        <w:noProof/>
      </w:rPr>
      <w:fldChar w:fldCharType="end"/>
    </w:r>
  </w:p>
  <w:p w:rsidR="00C0756D" w:rsidRPr="00C0756D" w:rsidRDefault="00C0756D">
    <w:pPr>
      <w:pStyle w:val="Footer"/>
      <w:jc w:val="right"/>
      <w:rPr>
        <w:rFonts w:ascii="Times New Roman" w:hAnsi="Times New Roman"/>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6412EF">
      <w:rPr>
        <w:rFonts w:ascii="Times New Roman" w:hAnsi="Times New Roman"/>
        <w:noProof/>
      </w:rPr>
      <w:t>287</w:t>
    </w:r>
    <w:r w:rsidRPr="00C0756D">
      <w:rPr>
        <w:rFonts w:ascii="Times New Roman" w:hAnsi="Times New Roman"/>
        <w:noProof/>
      </w:rPr>
      <w:fldChar w:fldCharType="end"/>
    </w:r>
  </w:p>
  <w:p w:rsidR="00C0756D" w:rsidRPr="00C0756D" w:rsidRDefault="00C0756D">
    <w:pPr>
      <w:pStyle w:val="Footer"/>
      <w:rPr>
        <w:rFonts w:ascii="Times New Roman" w:hAnsi="Times New Roman"/>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2C7" w:rsidRDefault="008B02C7" w:rsidP="00FB4C59">
      <w:pPr>
        <w:spacing w:after="0" w:line="240" w:lineRule="auto"/>
      </w:pPr>
      <w:r>
        <w:separator/>
      </w:r>
    </w:p>
  </w:footnote>
  <w:footnote w:type="continuationSeparator" w:id="0">
    <w:p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711E34" w:rsidP="008E6968">
    <w:pPr>
      <w:pStyle w:val="Header"/>
      <w:jc w:val="right"/>
      <w:rPr>
        <w:rFonts w:ascii="Times New Roman" w:hAnsi="Times New Roman"/>
        <w:i/>
        <w:lang w:val="en-U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7626" o:spid="_x0000_s5122" type="#_x0000_t136" style="position:absolute;left:0;text-align:left;margin-left:0;margin-top:0;width:547.5pt;height:54pt;rotation:315;z-index:-251655168;mso-position-horizontal:center;mso-position-horizontal-relative:margin;mso-position-vertical:center;mso-position-vertical-relative:margin" o:allowincell="f" fillcolor="#a5a5a5 [2092]" stroked="f">
          <v:fill opacity=".5"/>
          <v:textpath style="font-family:&quot;Arial&quot;;font-size:48pt" string="MJAS Vol 24 No 2 (2020)"/>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735444">
      <w:rPr>
        <w:rFonts w:ascii="Times New Roman" w:hAnsi="Times New Roman"/>
        <w:i/>
        <w:lang w:val="en-US"/>
      </w:rPr>
      <w:t>No 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008E6968" w:rsidRPr="00D75B35">
      <w:rPr>
        <w:rFonts w:ascii="Times New Roman" w:hAnsi="Times New Roman"/>
        <w:i/>
      </w:rPr>
      <w:t xml:space="preserve">): </w:t>
    </w:r>
    <w:r w:rsidR="006412EF">
      <w:rPr>
        <w:rFonts w:ascii="Times New Roman" w:hAnsi="Times New Roman"/>
        <w:i/>
        <w:lang w:val="en-US"/>
      </w:rPr>
      <w:t>276</w:t>
    </w:r>
    <w:r w:rsidR="004B43FF">
      <w:rPr>
        <w:rFonts w:ascii="Times New Roman" w:hAnsi="Times New Roman"/>
        <w:i/>
        <w:lang w:val="en-US"/>
      </w:rPr>
      <w:t xml:space="preserve"> </w:t>
    </w:r>
    <w:r w:rsidR="00583C85">
      <w:rPr>
        <w:rFonts w:ascii="Times New Roman" w:hAnsi="Times New Roman"/>
        <w:i/>
        <w:lang w:val="en-US"/>
      </w:rPr>
      <w:t>-</w:t>
    </w:r>
    <w:r w:rsidR="006412EF">
      <w:rPr>
        <w:rFonts w:ascii="Times New Roman" w:hAnsi="Times New Roman"/>
        <w:i/>
        <w:lang w:val="en-US"/>
      </w:rPr>
      <w:t xml:space="preserve"> 287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E68" w:rsidRPr="00987E68" w:rsidRDefault="00711E34" w:rsidP="00987E68">
    <w:pPr>
      <w:spacing w:after="0" w:line="240" w:lineRule="auto"/>
      <w:ind w:left="1620" w:hanging="1620"/>
      <w:outlineLvl w:val="0"/>
      <w:rPr>
        <w:rFonts w:ascii="Times New Roman" w:hAnsi="Times New Roman"/>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7627" o:spid="_x0000_s5123" type="#_x0000_t136" style="position:absolute;left:0;text-align:left;margin-left:0;margin-top:0;width:547.5pt;height:54pt;rotation:315;z-index:-251653120;mso-position-horizontal:center;mso-position-horizontal-relative:margin;mso-position-vertical:center;mso-position-vertical-relative:margin" o:allowincell="f" fillcolor="#a5a5a5 [2092]" stroked="f">
          <v:fill opacity=".5"/>
          <v:textpath style="font-family:&quot;Arial&quot;;font-size:48pt" string="MJAS Vol 24 No 2 (2020)"/>
        </v:shape>
      </w:pict>
    </w:r>
    <w:r w:rsidR="00987E68">
      <w:rPr>
        <w:rFonts w:ascii="Times New Roman" w:hAnsi="Times New Roman"/>
        <w:sz w:val="20"/>
        <w:szCs w:val="20"/>
      </w:rPr>
      <w:t>Ainol Hayah et al</w:t>
    </w:r>
    <w:r w:rsidR="008E6968" w:rsidRPr="00987E68">
      <w:rPr>
        <w:rFonts w:ascii="Times New Roman" w:hAnsi="Times New Roman"/>
        <w:sz w:val="20"/>
        <w:szCs w:val="20"/>
      </w:rPr>
      <w:t xml:space="preserve">:  </w:t>
    </w:r>
    <w:r w:rsidR="002752F0" w:rsidRPr="00987E68">
      <w:rPr>
        <w:rFonts w:ascii="Times New Roman" w:hAnsi="Times New Roman"/>
        <w:sz w:val="20"/>
        <w:szCs w:val="20"/>
      </w:rPr>
      <w:t xml:space="preserve"> </w:t>
    </w:r>
    <w:r w:rsidR="00987E68" w:rsidRPr="00987E68">
      <w:rPr>
        <w:rFonts w:ascii="Times New Roman" w:hAnsi="Times New Roman"/>
        <w:sz w:val="20"/>
        <w:szCs w:val="20"/>
      </w:rPr>
      <w:t>SOURCE DETERMINATION OF PSEUDOEPHEDRINE USING ATTENUATED TOTAL REFLECTANCE FOURIER TRANSFORM INFRARED SPECTROSCOPY COMBINED WITH CHEMOMETRIC ANALYSIS</w:t>
    </w:r>
  </w:p>
  <w:p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E34" w:rsidRDefault="00711E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7625" o:spid="_x0000_s5121" type="#_x0000_t136" style="position:absolute;margin-left:0;margin-top:0;width:547.5pt;height:54pt;rotation:315;z-index:-251657216;mso-position-horizontal:center;mso-position-horizontal-relative:margin;mso-position-vertical:center;mso-position-vertical-relative:margin" o:allowincell="f" fillcolor="#a5a5a5 [2092]" stroked="f">
          <v:fill opacity=".5"/>
          <v:textpath style="font-family:&quot;Arial&quot;;font-size:48pt" string="MJAS Vol 24 No 2 (2020)"/>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7086"/>
    <w:multiLevelType w:val="hybridMultilevel"/>
    <w:tmpl w:val="F79806F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54473BB"/>
    <w:multiLevelType w:val="hybridMultilevel"/>
    <w:tmpl w:val="F79806F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241B4B55"/>
    <w:multiLevelType w:val="hybridMultilevel"/>
    <w:tmpl w:val="F728866E"/>
    <w:lvl w:ilvl="0" w:tplc="0464D196">
      <w:start w:val="4"/>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29C819E0"/>
    <w:multiLevelType w:val="hybridMultilevel"/>
    <w:tmpl w:val="E23251DC"/>
    <w:lvl w:ilvl="0" w:tplc="0464D196">
      <w:start w:val="4"/>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3B23656A"/>
    <w:multiLevelType w:val="hybridMultilevel"/>
    <w:tmpl w:val="A3BABBE2"/>
    <w:lvl w:ilvl="0" w:tplc="AF9A5C26">
      <w:start w:val="8"/>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638E791D"/>
    <w:multiLevelType w:val="hybridMultilevel"/>
    <w:tmpl w:val="374244B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731362B1"/>
    <w:multiLevelType w:val="hybridMultilevel"/>
    <w:tmpl w:val="603AEA44"/>
    <w:lvl w:ilvl="0" w:tplc="0464D196">
      <w:start w:val="4"/>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1"/>
  </w:num>
  <w:num w:numId="5">
    <w:abstractNumId w:val="0"/>
  </w:num>
  <w:num w:numId="6">
    <w:abstractNumId w:val="3"/>
  </w:num>
  <w:num w:numId="7">
    <w:abstractNumId w:val="2"/>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124"/>
    <o:shapelayout v:ext="edit">
      <o:idmap v:ext="edit" data="5"/>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6385"/>
    <w:rsid w:val="00022C54"/>
    <w:rsid w:val="00070690"/>
    <w:rsid w:val="0007266E"/>
    <w:rsid w:val="00084936"/>
    <w:rsid w:val="000C49FF"/>
    <w:rsid w:val="000C5261"/>
    <w:rsid w:val="000E5AF1"/>
    <w:rsid w:val="000F77DA"/>
    <w:rsid w:val="001068E8"/>
    <w:rsid w:val="00117BCD"/>
    <w:rsid w:val="001462C7"/>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07E6C"/>
    <w:rsid w:val="00420074"/>
    <w:rsid w:val="004760D4"/>
    <w:rsid w:val="00494C46"/>
    <w:rsid w:val="004A12DD"/>
    <w:rsid w:val="004B43FF"/>
    <w:rsid w:val="00502641"/>
    <w:rsid w:val="00534441"/>
    <w:rsid w:val="00545363"/>
    <w:rsid w:val="00567D9E"/>
    <w:rsid w:val="00583C85"/>
    <w:rsid w:val="00584156"/>
    <w:rsid w:val="005C6768"/>
    <w:rsid w:val="005E5251"/>
    <w:rsid w:val="00624C7C"/>
    <w:rsid w:val="00634C25"/>
    <w:rsid w:val="006412EF"/>
    <w:rsid w:val="006416AB"/>
    <w:rsid w:val="00672075"/>
    <w:rsid w:val="006768E9"/>
    <w:rsid w:val="00687982"/>
    <w:rsid w:val="00695D0E"/>
    <w:rsid w:val="006A3A0F"/>
    <w:rsid w:val="006B3EC8"/>
    <w:rsid w:val="006D695E"/>
    <w:rsid w:val="00711E34"/>
    <w:rsid w:val="00725A6A"/>
    <w:rsid w:val="00730CB3"/>
    <w:rsid w:val="00735444"/>
    <w:rsid w:val="007703FE"/>
    <w:rsid w:val="007859BE"/>
    <w:rsid w:val="007943F3"/>
    <w:rsid w:val="007A738C"/>
    <w:rsid w:val="007B1349"/>
    <w:rsid w:val="007E25BD"/>
    <w:rsid w:val="007F4ECC"/>
    <w:rsid w:val="00801B6F"/>
    <w:rsid w:val="00801E18"/>
    <w:rsid w:val="00802C35"/>
    <w:rsid w:val="008047AC"/>
    <w:rsid w:val="0082181A"/>
    <w:rsid w:val="0086622B"/>
    <w:rsid w:val="008B02C7"/>
    <w:rsid w:val="008B470E"/>
    <w:rsid w:val="008C14D6"/>
    <w:rsid w:val="008E1211"/>
    <w:rsid w:val="008E5BBF"/>
    <w:rsid w:val="008E6968"/>
    <w:rsid w:val="008F2DC2"/>
    <w:rsid w:val="009110FB"/>
    <w:rsid w:val="00917637"/>
    <w:rsid w:val="00987E68"/>
    <w:rsid w:val="00992776"/>
    <w:rsid w:val="00A14DB9"/>
    <w:rsid w:val="00A4762A"/>
    <w:rsid w:val="00A74A7E"/>
    <w:rsid w:val="00A87399"/>
    <w:rsid w:val="00AD1B8A"/>
    <w:rsid w:val="00AD76AF"/>
    <w:rsid w:val="00AE713F"/>
    <w:rsid w:val="00AF1601"/>
    <w:rsid w:val="00B049CB"/>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237B2"/>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12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0726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07266E"/>
    <w:rPr>
      <w:color w:val="0000FF" w:themeColor="hyperlink"/>
      <w:u w:val="single"/>
    </w:rPr>
  </w:style>
  <w:style w:type="table" w:styleId="TableGrid">
    <w:name w:val="Table Grid"/>
    <w:basedOn w:val="TableNormal"/>
    <w:uiPriority w:val="39"/>
    <w:rsid w:val="000726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A7"/>
    <w:uiPriority w:val="99"/>
    <w:rsid w:val="0007266E"/>
    <w:rPr>
      <w:rFonts w:cs="Times"/>
      <w:color w:val="000000"/>
      <w:sz w:val="11"/>
      <w:szCs w:val="11"/>
    </w:rPr>
  </w:style>
  <w:style w:type="paragraph" w:customStyle="1" w:styleId="Pa11">
    <w:name w:val="Pa11"/>
    <w:basedOn w:val="Normal"/>
    <w:next w:val="Normal"/>
    <w:uiPriority w:val="99"/>
    <w:rsid w:val="0007266E"/>
    <w:pPr>
      <w:autoSpaceDE w:val="0"/>
      <w:autoSpaceDN w:val="0"/>
      <w:adjustRightInd w:val="0"/>
      <w:spacing w:after="0" w:line="201" w:lineRule="atLeast"/>
    </w:pPr>
    <w:rPr>
      <w:rFonts w:ascii="Times" w:eastAsiaTheme="minorHAnsi" w:hAnsi="Times" w:cstheme="minorBidi"/>
      <w:sz w:val="24"/>
      <w:szCs w:val="24"/>
      <w:lang w:val="en-MY" w:bidi="ar-SA"/>
    </w:rPr>
  </w:style>
  <w:style w:type="paragraph" w:customStyle="1" w:styleId="Pa14">
    <w:name w:val="Pa14"/>
    <w:basedOn w:val="Normal"/>
    <w:next w:val="Normal"/>
    <w:uiPriority w:val="99"/>
    <w:rsid w:val="0007266E"/>
    <w:pPr>
      <w:autoSpaceDE w:val="0"/>
      <w:autoSpaceDN w:val="0"/>
      <w:adjustRightInd w:val="0"/>
      <w:spacing w:after="0" w:line="171" w:lineRule="atLeast"/>
    </w:pPr>
    <w:rPr>
      <w:rFonts w:ascii="Times" w:eastAsiaTheme="minorHAnsi" w:hAnsi="Times" w:cstheme="minorBidi"/>
      <w:sz w:val="24"/>
      <w:szCs w:val="24"/>
      <w:lang w:val="en-MY" w:bidi="ar-SA"/>
    </w:rPr>
  </w:style>
  <w:style w:type="character" w:customStyle="1" w:styleId="A1">
    <w:name w:val="A1"/>
    <w:uiPriority w:val="99"/>
    <w:rsid w:val="0007266E"/>
    <w:rPr>
      <w:rFonts w:cs="Times"/>
      <w:color w:val="000000"/>
      <w:sz w:val="14"/>
      <w:szCs w:val="14"/>
    </w:rPr>
  </w:style>
  <w:style w:type="character" w:customStyle="1" w:styleId="UnresolvedMention1">
    <w:name w:val="Unresolved Mention1"/>
    <w:basedOn w:val="DefaultParagraphFont"/>
    <w:uiPriority w:val="99"/>
    <w:semiHidden/>
    <w:unhideWhenUsed/>
    <w:rsid w:val="0007266E"/>
    <w:rPr>
      <w:color w:val="605E5C"/>
      <w:shd w:val="clear" w:color="auto" w:fill="E1DFDD"/>
    </w:rPr>
  </w:style>
  <w:style w:type="character" w:styleId="CommentReference">
    <w:name w:val="annotation reference"/>
    <w:basedOn w:val="DefaultParagraphFont"/>
    <w:uiPriority w:val="99"/>
    <w:semiHidden/>
    <w:unhideWhenUsed/>
    <w:rsid w:val="0007266E"/>
    <w:rPr>
      <w:sz w:val="16"/>
      <w:szCs w:val="16"/>
    </w:rPr>
  </w:style>
  <w:style w:type="paragraph" w:styleId="CommentText">
    <w:name w:val="annotation text"/>
    <w:basedOn w:val="Normal"/>
    <w:link w:val="CommentTextChar"/>
    <w:uiPriority w:val="99"/>
    <w:semiHidden/>
    <w:unhideWhenUsed/>
    <w:rsid w:val="000726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0726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07266E"/>
    <w:rPr>
      <w:b/>
      <w:bCs/>
    </w:rPr>
  </w:style>
  <w:style w:type="character" w:customStyle="1" w:styleId="CommentSubjectChar">
    <w:name w:val="Comment Subject Char"/>
    <w:basedOn w:val="CommentTextChar"/>
    <w:link w:val="CommentSubject"/>
    <w:uiPriority w:val="99"/>
    <w:semiHidden/>
    <w:rsid w:val="0007266E"/>
    <w:rPr>
      <w:rFonts w:asciiTheme="minorHAnsi" w:eastAsiaTheme="minorEastAsia" w:hAnsiTheme="minorHAnsi" w:cstheme="minorBidi"/>
      <w:b/>
      <w:bCs/>
      <w:kern w:val="2"/>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0726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07266E"/>
    <w:rPr>
      <w:color w:val="0000FF" w:themeColor="hyperlink"/>
      <w:u w:val="single"/>
    </w:rPr>
  </w:style>
  <w:style w:type="table" w:styleId="TableGrid">
    <w:name w:val="Table Grid"/>
    <w:basedOn w:val="TableNormal"/>
    <w:uiPriority w:val="39"/>
    <w:rsid w:val="000726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A7"/>
    <w:uiPriority w:val="99"/>
    <w:rsid w:val="0007266E"/>
    <w:rPr>
      <w:rFonts w:cs="Times"/>
      <w:color w:val="000000"/>
      <w:sz w:val="11"/>
      <w:szCs w:val="11"/>
    </w:rPr>
  </w:style>
  <w:style w:type="paragraph" w:customStyle="1" w:styleId="Pa11">
    <w:name w:val="Pa11"/>
    <w:basedOn w:val="Normal"/>
    <w:next w:val="Normal"/>
    <w:uiPriority w:val="99"/>
    <w:rsid w:val="0007266E"/>
    <w:pPr>
      <w:autoSpaceDE w:val="0"/>
      <w:autoSpaceDN w:val="0"/>
      <w:adjustRightInd w:val="0"/>
      <w:spacing w:after="0" w:line="201" w:lineRule="atLeast"/>
    </w:pPr>
    <w:rPr>
      <w:rFonts w:ascii="Times" w:eastAsiaTheme="minorHAnsi" w:hAnsi="Times" w:cstheme="minorBidi"/>
      <w:sz w:val="24"/>
      <w:szCs w:val="24"/>
      <w:lang w:val="en-MY" w:bidi="ar-SA"/>
    </w:rPr>
  </w:style>
  <w:style w:type="paragraph" w:customStyle="1" w:styleId="Pa14">
    <w:name w:val="Pa14"/>
    <w:basedOn w:val="Normal"/>
    <w:next w:val="Normal"/>
    <w:uiPriority w:val="99"/>
    <w:rsid w:val="0007266E"/>
    <w:pPr>
      <w:autoSpaceDE w:val="0"/>
      <w:autoSpaceDN w:val="0"/>
      <w:adjustRightInd w:val="0"/>
      <w:spacing w:after="0" w:line="171" w:lineRule="atLeast"/>
    </w:pPr>
    <w:rPr>
      <w:rFonts w:ascii="Times" w:eastAsiaTheme="minorHAnsi" w:hAnsi="Times" w:cstheme="minorBidi"/>
      <w:sz w:val="24"/>
      <w:szCs w:val="24"/>
      <w:lang w:val="en-MY" w:bidi="ar-SA"/>
    </w:rPr>
  </w:style>
  <w:style w:type="character" w:customStyle="1" w:styleId="A1">
    <w:name w:val="A1"/>
    <w:uiPriority w:val="99"/>
    <w:rsid w:val="0007266E"/>
    <w:rPr>
      <w:rFonts w:cs="Times"/>
      <w:color w:val="000000"/>
      <w:sz w:val="14"/>
      <w:szCs w:val="14"/>
    </w:rPr>
  </w:style>
  <w:style w:type="character" w:customStyle="1" w:styleId="UnresolvedMention1">
    <w:name w:val="Unresolved Mention1"/>
    <w:basedOn w:val="DefaultParagraphFont"/>
    <w:uiPriority w:val="99"/>
    <w:semiHidden/>
    <w:unhideWhenUsed/>
    <w:rsid w:val="0007266E"/>
    <w:rPr>
      <w:color w:val="605E5C"/>
      <w:shd w:val="clear" w:color="auto" w:fill="E1DFDD"/>
    </w:rPr>
  </w:style>
  <w:style w:type="character" w:styleId="CommentReference">
    <w:name w:val="annotation reference"/>
    <w:basedOn w:val="DefaultParagraphFont"/>
    <w:uiPriority w:val="99"/>
    <w:semiHidden/>
    <w:unhideWhenUsed/>
    <w:rsid w:val="0007266E"/>
    <w:rPr>
      <w:sz w:val="16"/>
      <w:szCs w:val="16"/>
    </w:rPr>
  </w:style>
  <w:style w:type="paragraph" w:styleId="CommentText">
    <w:name w:val="annotation text"/>
    <w:basedOn w:val="Normal"/>
    <w:link w:val="CommentTextChar"/>
    <w:uiPriority w:val="99"/>
    <w:semiHidden/>
    <w:unhideWhenUsed/>
    <w:rsid w:val="000726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0726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07266E"/>
    <w:rPr>
      <w:b/>
      <w:bCs/>
    </w:rPr>
  </w:style>
  <w:style w:type="character" w:customStyle="1" w:styleId="CommentSubjectChar">
    <w:name w:val="Comment Subject Char"/>
    <w:basedOn w:val="CommentTextChar"/>
    <w:link w:val="CommentSubject"/>
    <w:uiPriority w:val="99"/>
    <w:semiHidden/>
    <w:rsid w:val="0007266E"/>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9.w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oleObject1.bin"/><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image" Target="media/image10.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oleObject" Target="embeddings/oleObject4.bin"/><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oleObject" Target="embeddings/oleObject2.bin"/><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1.wmf"/><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2112C-634C-4D5E-9672-FBB867A01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12</Pages>
  <Words>4784</Words>
  <Characters>28704</Characters>
  <Application>Microsoft Office Word</Application>
  <DocSecurity>0</DocSecurity>
  <Lines>562</Lines>
  <Paragraphs>157</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33331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11</cp:revision>
  <cp:lastPrinted>2020-03-30T06:45:00Z</cp:lastPrinted>
  <dcterms:created xsi:type="dcterms:W3CDTF">2020-03-30T05:57:00Z</dcterms:created>
  <dcterms:modified xsi:type="dcterms:W3CDTF">2020-03-30T10:53:00Z</dcterms:modified>
</cp:coreProperties>
</file>