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A17755" w:rsidP="00CD41CA">
      <w:pPr>
        <w:spacing w:after="0" w:line="240" w:lineRule="auto"/>
        <w:jc w:val="center"/>
        <w:rPr>
          <w:rFonts w:ascii="Times New Roman" w:hAnsi="Times New Roman"/>
          <w:b/>
          <w:noProof/>
          <w:color w:val="FFFFFF"/>
          <w:sz w:val="24"/>
          <w:szCs w:val="28"/>
          <w:lang w:bidi="ar-SA"/>
        </w:rPr>
      </w:pPr>
      <w:bookmarkStart w:id="0" w:name="_GoBack"/>
      <w:bookmarkEnd w:id="0"/>
      <w:r>
        <w:rPr>
          <w:noProof/>
          <w:lang w:val="en-MY" w:eastAsia="en-MY"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rsidR="006859D5" w:rsidRPr="004B2AE3" w:rsidRDefault="006859D5" w:rsidP="006859D5">
      <w:pPr>
        <w:spacing w:after="0" w:line="240" w:lineRule="auto"/>
        <w:jc w:val="center"/>
        <w:outlineLvl w:val="0"/>
        <w:rPr>
          <w:rFonts w:ascii="Times New Roman" w:hAnsi="Times New Roman"/>
          <w:sz w:val="28"/>
        </w:rPr>
      </w:pPr>
      <w:r w:rsidRPr="004B2AE3">
        <w:rPr>
          <w:rFonts w:ascii="Times New Roman" w:hAnsi="Times New Roman"/>
          <w:sz w:val="28"/>
        </w:rPr>
        <w:t>ENZYME CATAL</w:t>
      </w:r>
      <w:r>
        <w:rPr>
          <w:rFonts w:ascii="Times New Roman" w:hAnsi="Times New Roman"/>
          <w:sz w:val="28"/>
        </w:rPr>
        <w:t xml:space="preserve">YZED ESTERIFICATION OF SUGAR BY </w:t>
      </w:r>
      <w:r w:rsidRPr="004B2AE3">
        <w:rPr>
          <w:rFonts w:ascii="Times New Roman" w:hAnsi="Times New Roman"/>
          <w:sz w:val="28"/>
        </w:rPr>
        <w:t xml:space="preserve">THERMOSTABLE T1 LIPASE FROM </w:t>
      </w:r>
      <w:r w:rsidRPr="004B2AE3">
        <w:rPr>
          <w:rFonts w:ascii="Times New Roman" w:hAnsi="Times New Roman"/>
          <w:i/>
          <w:sz w:val="28"/>
        </w:rPr>
        <w:t>Geobacillus zalihae</w:t>
      </w:r>
      <w:r>
        <w:rPr>
          <w:rFonts w:ascii="Times New Roman" w:hAnsi="Times New Roman"/>
          <w:sz w:val="28"/>
        </w:rPr>
        <w:t xml:space="preserve"> </w:t>
      </w:r>
      <w:r w:rsidRPr="004B2AE3">
        <w:rPr>
          <w:rFonts w:ascii="Times New Roman" w:hAnsi="Times New Roman"/>
          <w:sz w:val="28"/>
        </w:rPr>
        <w:t>IN IONIC LIQUID</w:t>
      </w:r>
    </w:p>
    <w:p w:rsidR="006859D5" w:rsidRPr="004B2AE3" w:rsidRDefault="006859D5" w:rsidP="006859D5">
      <w:pPr>
        <w:spacing w:after="0" w:line="240" w:lineRule="auto"/>
        <w:jc w:val="center"/>
        <w:outlineLvl w:val="0"/>
        <w:rPr>
          <w:rFonts w:ascii="Times New Roman" w:hAnsi="Times New Roman"/>
          <w:b/>
          <w:sz w:val="24"/>
        </w:rPr>
      </w:pPr>
    </w:p>
    <w:p w:rsidR="006859D5" w:rsidRPr="006859D5" w:rsidRDefault="006859D5" w:rsidP="006859D5">
      <w:pPr>
        <w:spacing w:after="0" w:line="240" w:lineRule="auto"/>
        <w:jc w:val="center"/>
        <w:outlineLvl w:val="0"/>
        <w:rPr>
          <w:rFonts w:ascii="Times New Roman" w:hAnsi="Times New Roman"/>
          <w:noProof/>
          <w:sz w:val="24"/>
          <w:lang w:val="ms-MY"/>
        </w:rPr>
      </w:pPr>
      <w:r w:rsidRPr="004B2AE3">
        <w:rPr>
          <w:rFonts w:ascii="Times New Roman" w:hAnsi="Times New Roman"/>
          <w:sz w:val="24"/>
        </w:rPr>
        <w:t>(</w:t>
      </w:r>
      <w:r w:rsidRPr="004B2AE3">
        <w:rPr>
          <w:rFonts w:ascii="Times New Roman" w:hAnsi="Times New Roman"/>
          <w:noProof/>
          <w:sz w:val="24"/>
          <w:lang w:val="ms-MY"/>
        </w:rPr>
        <w:t xml:space="preserve">Pengesteran Berenzim Gula </w:t>
      </w:r>
      <w:r>
        <w:rPr>
          <w:rFonts w:ascii="Times New Roman" w:hAnsi="Times New Roman"/>
          <w:noProof/>
          <w:sz w:val="24"/>
          <w:lang w:val="ms-MY"/>
        </w:rPr>
        <w:t>o</w:t>
      </w:r>
      <w:r w:rsidRPr="004B2AE3">
        <w:rPr>
          <w:rFonts w:ascii="Times New Roman" w:hAnsi="Times New Roman"/>
          <w:noProof/>
          <w:sz w:val="24"/>
          <w:lang w:val="ms-MY"/>
        </w:rPr>
        <w:t xml:space="preserve">leh Lipase Termostabil T1 dari </w:t>
      </w:r>
      <w:r w:rsidRPr="004B2AE3">
        <w:rPr>
          <w:rFonts w:ascii="Times New Roman" w:hAnsi="Times New Roman"/>
          <w:i/>
          <w:noProof/>
          <w:sz w:val="24"/>
          <w:lang w:val="ms-MY"/>
        </w:rPr>
        <w:t>Geobacillus zalihae</w:t>
      </w:r>
      <w:r w:rsidRPr="004B2AE3">
        <w:rPr>
          <w:rFonts w:ascii="Times New Roman" w:hAnsi="Times New Roman"/>
          <w:noProof/>
          <w:sz w:val="24"/>
          <w:lang w:val="ms-MY"/>
        </w:rPr>
        <w:t xml:space="preserve"> dalam Cecair Ionik</w:t>
      </w:r>
      <w:r w:rsidRPr="004B2AE3">
        <w:rPr>
          <w:rFonts w:ascii="Times New Roman" w:hAnsi="Times New Roman"/>
          <w:sz w:val="24"/>
        </w:rPr>
        <w:t>)</w:t>
      </w:r>
    </w:p>
    <w:p w:rsidR="006859D5" w:rsidRPr="006859D5" w:rsidRDefault="006859D5" w:rsidP="006859D5">
      <w:pPr>
        <w:spacing w:after="0" w:line="240" w:lineRule="auto"/>
        <w:jc w:val="center"/>
        <w:outlineLvl w:val="0"/>
        <w:rPr>
          <w:rFonts w:ascii="Times New Roman" w:hAnsi="Times New Roman"/>
          <w:b/>
          <w:sz w:val="20"/>
          <w:szCs w:val="20"/>
        </w:rPr>
      </w:pPr>
    </w:p>
    <w:p w:rsidR="006859D5" w:rsidRPr="006859D5" w:rsidRDefault="006859D5" w:rsidP="006859D5">
      <w:pPr>
        <w:spacing w:after="0" w:line="240" w:lineRule="auto"/>
        <w:jc w:val="center"/>
        <w:outlineLvl w:val="0"/>
        <w:rPr>
          <w:rFonts w:ascii="Times New Roman" w:hAnsi="Times New Roman"/>
          <w:noProof/>
          <w:sz w:val="20"/>
          <w:szCs w:val="20"/>
          <w:lang w:val="ms-MY"/>
        </w:rPr>
      </w:pPr>
      <w:r w:rsidRPr="006859D5">
        <w:rPr>
          <w:rFonts w:ascii="Times New Roman" w:hAnsi="Times New Roman"/>
          <w:noProof/>
          <w:sz w:val="20"/>
          <w:szCs w:val="20"/>
          <w:lang w:val="ms-MY"/>
        </w:rPr>
        <w:t>Emilia Abdulmalek</w:t>
      </w:r>
      <w:r w:rsidRPr="006859D5">
        <w:rPr>
          <w:rFonts w:ascii="Times New Roman" w:hAnsi="Times New Roman"/>
          <w:noProof/>
          <w:sz w:val="20"/>
          <w:szCs w:val="20"/>
          <w:vertAlign w:val="superscript"/>
          <w:lang w:val="ms-MY"/>
        </w:rPr>
        <w:t>1,2</w:t>
      </w:r>
      <w:r w:rsidRPr="006859D5">
        <w:rPr>
          <w:rFonts w:ascii="Times New Roman" w:hAnsi="Times New Roman"/>
          <w:noProof/>
          <w:sz w:val="20"/>
          <w:szCs w:val="20"/>
          <w:lang w:val="ms-MY"/>
        </w:rPr>
        <w:t>*, Hanim Salami Mohd Saupi</w:t>
      </w:r>
      <w:r w:rsidRPr="006859D5">
        <w:rPr>
          <w:rFonts w:ascii="Times New Roman" w:hAnsi="Times New Roman"/>
          <w:noProof/>
          <w:sz w:val="20"/>
          <w:szCs w:val="20"/>
          <w:vertAlign w:val="superscript"/>
          <w:lang w:val="ms-MY"/>
        </w:rPr>
        <w:t>1</w:t>
      </w:r>
      <w:r w:rsidRPr="006859D5">
        <w:rPr>
          <w:rFonts w:ascii="Times New Roman" w:hAnsi="Times New Roman"/>
          <w:noProof/>
          <w:sz w:val="20"/>
          <w:szCs w:val="20"/>
          <w:lang w:val="ms-MY"/>
        </w:rPr>
        <w:t>, Syarilaida Zulkefli</w:t>
      </w:r>
      <w:r w:rsidRPr="006859D5">
        <w:rPr>
          <w:rFonts w:ascii="Times New Roman" w:hAnsi="Times New Roman"/>
          <w:noProof/>
          <w:sz w:val="20"/>
          <w:szCs w:val="20"/>
          <w:vertAlign w:val="superscript"/>
          <w:lang w:val="ms-MY"/>
        </w:rPr>
        <w:t>1</w:t>
      </w:r>
      <w:r w:rsidRPr="006859D5">
        <w:rPr>
          <w:rFonts w:ascii="Times New Roman" w:hAnsi="Times New Roman"/>
          <w:noProof/>
          <w:sz w:val="20"/>
          <w:szCs w:val="20"/>
          <w:lang w:val="ms-MY"/>
        </w:rPr>
        <w:t>, Raja Nor Zaliha Raja Abd Rahman</w:t>
      </w:r>
      <w:r w:rsidRPr="006859D5">
        <w:rPr>
          <w:rFonts w:ascii="Times New Roman" w:hAnsi="Times New Roman"/>
          <w:noProof/>
          <w:sz w:val="20"/>
          <w:szCs w:val="20"/>
          <w:vertAlign w:val="superscript"/>
          <w:lang w:val="ms-MY"/>
        </w:rPr>
        <w:t>3</w:t>
      </w:r>
      <w:r w:rsidRPr="006859D5">
        <w:rPr>
          <w:rFonts w:ascii="Times New Roman" w:hAnsi="Times New Roman"/>
          <w:noProof/>
          <w:sz w:val="20"/>
          <w:szCs w:val="20"/>
          <w:lang w:val="ms-MY"/>
        </w:rPr>
        <w:t>, Mohd Basyaruddin Abdul Rahman</w:t>
      </w:r>
      <w:r w:rsidRPr="006859D5">
        <w:rPr>
          <w:rFonts w:ascii="Times New Roman" w:hAnsi="Times New Roman"/>
          <w:noProof/>
          <w:sz w:val="20"/>
          <w:szCs w:val="20"/>
          <w:vertAlign w:val="superscript"/>
          <w:lang w:val="ms-MY"/>
        </w:rPr>
        <w:t>1,2</w:t>
      </w:r>
    </w:p>
    <w:p w:rsidR="006859D5" w:rsidRPr="004B2AE3" w:rsidRDefault="006859D5" w:rsidP="006859D5">
      <w:pPr>
        <w:spacing w:after="0" w:line="240" w:lineRule="auto"/>
        <w:jc w:val="center"/>
        <w:outlineLvl w:val="0"/>
        <w:rPr>
          <w:rFonts w:ascii="Times New Roman" w:hAnsi="Times New Roman"/>
        </w:rPr>
      </w:pPr>
    </w:p>
    <w:p w:rsidR="006859D5" w:rsidRPr="004B2AE3" w:rsidRDefault="006859D5" w:rsidP="006859D5">
      <w:pPr>
        <w:spacing w:after="0" w:line="240" w:lineRule="auto"/>
        <w:jc w:val="center"/>
        <w:outlineLvl w:val="0"/>
        <w:rPr>
          <w:rFonts w:ascii="Times New Roman" w:hAnsi="Times New Roman"/>
          <w:i/>
          <w:sz w:val="18"/>
          <w:szCs w:val="18"/>
        </w:rPr>
      </w:pPr>
      <w:r w:rsidRPr="004B2AE3">
        <w:rPr>
          <w:rFonts w:ascii="Times New Roman" w:hAnsi="Times New Roman"/>
          <w:i/>
          <w:sz w:val="18"/>
          <w:szCs w:val="18"/>
          <w:vertAlign w:val="superscript"/>
        </w:rPr>
        <w:t>1</w:t>
      </w:r>
      <w:r w:rsidRPr="004B2AE3">
        <w:rPr>
          <w:rFonts w:ascii="Times New Roman" w:hAnsi="Times New Roman"/>
          <w:i/>
          <w:sz w:val="18"/>
          <w:szCs w:val="18"/>
        </w:rPr>
        <w:t>Integrated Chemical BioPhysics Research, Faculty of Science</w:t>
      </w:r>
    </w:p>
    <w:p w:rsidR="006859D5" w:rsidRDefault="006859D5" w:rsidP="006859D5">
      <w:pPr>
        <w:spacing w:after="0" w:line="240" w:lineRule="auto"/>
        <w:jc w:val="center"/>
        <w:outlineLvl w:val="0"/>
        <w:rPr>
          <w:rFonts w:ascii="Times New Roman" w:hAnsi="Times New Roman"/>
          <w:i/>
          <w:sz w:val="18"/>
          <w:szCs w:val="18"/>
        </w:rPr>
      </w:pPr>
      <w:r w:rsidRPr="004B2AE3">
        <w:rPr>
          <w:rFonts w:ascii="Times New Roman" w:hAnsi="Times New Roman"/>
          <w:i/>
          <w:sz w:val="18"/>
          <w:szCs w:val="18"/>
          <w:vertAlign w:val="superscript"/>
        </w:rPr>
        <w:t>2</w:t>
      </w:r>
      <w:r w:rsidRPr="004B2AE3">
        <w:rPr>
          <w:rFonts w:ascii="Times New Roman" w:hAnsi="Times New Roman"/>
          <w:i/>
          <w:sz w:val="18"/>
          <w:szCs w:val="18"/>
        </w:rPr>
        <w:t>Department of Chemistry, Faculty of Science</w:t>
      </w:r>
    </w:p>
    <w:p w:rsidR="006859D5" w:rsidRPr="004B2AE3" w:rsidRDefault="006859D5" w:rsidP="006859D5">
      <w:pPr>
        <w:spacing w:after="0" w:line="240" w:lineRule="auto"/>
        <w:jc w:val="center"/>
        <w:outlineLvl w:val="0"/>
        <w:rPr>
          <w:rFonts w:ascii="Times New Roman" w:hAnsi="Times New Roman"/>
          <w:i/>
          <w:sz w:val="18"/>
          <w:szCs w:val="18"/>
        </w:rPr>
      </w:pPr>
      <w:r w:rsidRPr="004B2AE3">
        <w:rPr>
          <w:rFonts w:ascii="Times New Roman" w:hAnsi="Times New Roman"/>
          <w:i/>
          <w:sz w:val="18"/>
          <w:szCs w:val="18"/>
          <w:vertAlign w:val="superscript"/>
        </w:rPr>
        <w:t>3</w:t>
      </w:r>
      <w:r w:rsidRPr="004B2AE3">
        <w:rPr>
          <w:rFonts w:ascii="Times New Roman" w:hAnsi="Times New Roman"/>
          <w:i/>
          <w:sz w:val="18"/>
          <w:szCs w:val="18"/>
        </w:rPr>
        <w:t>Enzyme and Microbial Technology Research, Department of Microbiology, Faculty of Biotechnology and Biomolecular Science</w:t>
      </w:r>
    </w:p>
    <w:p w:rsidR="006859D5" w:rsidRPr="004B2AE3" w:rsidRDefault="006859D5" w:rsidP="006859D5">
      <w:pPr>
        <w:spacing w:after="0" w:line="240" w:lineRule="auto"/>
        <w:jc w:val="center"/>
        <w:outlineLvl w:val="0"/>
        <w:rPr>
          <w:rFonts w:ascii="Times New Roman" w:hAnsi="Times New Roman"/>
          <w:i/>
          <w:sz w:val="18"/>
          <w:szCs w:val="18"/>
        </w:rPr>
      </w:pPr>
      <w:r w:rsidRPr="004B2AE3">
        <w:rPr>
          <w:rFonts w:ascii="Times New Roman" w:hAnsi="Times New Roman"/>
          <w:i/>
          <w:sz w:val="18"/>
          <w:szCs w:val="18"/>
        </w:rPr>
        <w:t>Universiti Putra Malaysia, 43400, UPM Serdang, Selangor, Malaysia</w:t>
      </w:r>
    </w:p>
    <w:p w:rsidR="006859D5" w:rsidRPr="004B2AE3" w:rsidRDefault="006859D5" w:rsidP="006859D5">
      <w:pPr>
        <w:spacing w:after="0" w:line="240" w:lineRule="auto"/>
        <w:jc w:val="center"/>
        <w:outlineLvl w:val="0"/>
        <w:rPr>
          <w:rFonts w:ascii="Times New Roman" w:hAnsi="Times New Roman"/>
          <w:b/>
          <w:sz w:val="18"/>
          <w:szCs w:val="18"/>
        </w:rPr>
      </w:pPr>
      <w:r w:rsidRPr="004B2AE3">
        <w:rPr>
          <w:rFonts w:ascii="Times New Roman" w:hAnsi="Times New Roman"/>
          <w:b/>
          <w:sz w:val="18"/>
          <w:szCs w:val="18"/>
        </w:rPr>
        <w:t xml:space="preserve"> </w:t>
      </w:r>
    </w:p>
    <w:p w:rsidR="006859D5" w:rsidRPr="004B2AE3" w:rsidRDefault="006859D5" w:rsidP="006859D5">
      <w:pPr>
        <w:spacing w:after="0" w:line="240" w:lineRule="auto"/>
        <w:jc w:val="center"/>
        <w:outlineLvl w:val="0"/>
        <w:rPr>
          <w:rFonts w:ascii="Times New Roman" w:hAnsi="Times New Roman"/>
          <w:i/>
          <w:sz w:val="18"/>
          <w:szCs w:val="18"/>
        </w:rPr>
      </w:pPr>
      <w:r w:rsidRPr="006859D5">
        <w:rPr>
          <w:rFonts w:ascii="Times New Roman" w:hAnsi="Times New Roman"/>
          <w:i/>
          <w:sz w:val="18"/>
          <w:szCs w:val="18"/>
        </w:rPr>
        <w:t>*</w:t>
      </w:r>
      <w:r w:rsidRPr="004B2AE3">
        <w:rPr>
          <w:rFonts w:ascii="Times New Roman" w:hAnsi="Times New Roman"/>
          <w:i/>
          <w:sz w:val="18"/>
          <w:szCs w:val="18"/>
        </w:rPr>
        <w:t xml:space="preserve">Corresponding author: </w:t>
      </w:r>
      <w:r>
        <w:rPr>
          <w:rFonts w:ascii="Times New Roman" w:hAnsi="Times New Roman"/>
          <w:i/>
          <w:sz w:val="18"/>
          <w:szCs w:val="18"/>
        </w:rPr>
        <w:t xml:space="preserve"> </w:t>
      </w:r>
      <w:r w:rsidRPr="004B2AE3">
        <w:rPr>
          <w:rFonts w:ascii="Times New Roman" w:hAnsi="Times New Roman"/>
          <w:i/>
          <w:sz w:val="18"/>
          <w:szCs w:val="18"/>
        </w:rPr>
        <w:t>emilia@upm.edu.my</w:t>
      </w:r>
    </w:p>
    <w:p w:rsidR="006768E9" w:rsidRPr="00F447A7" w:rsidRDefault="006768E9" w:rsidP="006859D5">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859D5">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6859D5">
        <w:rPr>
          <w:rFonts w:ascii="Times New Roman" w:hAnsi="Times New Roman"/>
          <w:noProof/>
          <w:sz w:val="18"/>
          <w:szCs w:val="18"/>
          <w:lang w:bidi="ar-SA"/>
        </w:rPr>
        <w:t>11 February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859D5" w:rsidRPr="004B2AE3" w:rsidRDefault="006859D5" w:rsidP="006859D5">
      <w:pPr>
        <w:spacing w:after="0" w:line="240" w:lineRule="auto"/>
        <w:jc w:val="both"/>
        <w:outlineLvl w:val="0"/>
        <w:rPr>
          <w:rFonts w:ascii="Times New Roman" w:hAnsi="Times New Roman"/>
          <w:sz w:val="18"/>
          <w:szCs w:val="18"/>
        </w:rPr>
      </w:pPr>
      <w:r w:rsidRPr="004B2AE3">
        <w:rPr>
          <w:rFonts w:ascii="Times New Roman" w:hAnsi="Times New Roman"/>
          <w:sz w:val="18"/>
          <w:szCs w:val="18"/>
        </w:rPr>
        <w:t>Thermostable T1 lipase from</w:t>
      </w:r>
      <w:r w:rsidRPr="004B2AE3">
        <w:t xml:space="preserve"> </w:t>
      </w:r>
      <w:r w:rsidRPr="004B2AE3">
        <w:rPr>
          <w:rFonts w:ascii="Times New Roman" w:hAnsi="Times New Roman"/>
          <w:i/>
          <w:sz w:val="18"/>
          <w:szCs w:val="18"/>
        </w:rPr>
        <w:t>Geobacillus zalihae</w:t>
      </w:r>
      <w:r w:rsidRPr="004B2AE3">
        <w:rPr>
          <w:rFonts w:ascii="Times New Roman" w:hAnsi="Times New Roman"/>
          <w:sz w:val="18"/>
          <w:szCs w:val="18"/>
        </w:rPr>
        <w:t xml:space="preserve"> strain was utilized in esterification of various sugars with fatty acids to form fatty acid sugar esters. Fatty acid sugar esters (FASE) are an important class of non-ionic surfactant which possesses good emulsifying, stabilizing and conditioning properties. In this work the esterification reaction was done in [Bmim][BF</w:t>
      </w:r>
      <w:r w:rsidRPr="004B2AE3">
        <w:rPr>
          <w:rFonts w:ascii="Times New Roman" w:hAnsi="Times New Roman"/>
          <w:sz w:val="18"/>
          <w:szCs w:val="18"/>
          <w:vertAlign w:val="subscript"/>
        </w:rPr>
        <w:t>4</w:t>
      </w:r>
      <w:r w:rsidRPr="004B2AE3">
        <w:rPr>
          <w:rFonts w:ascii="Times New Roman" w:hAnsi="Times New Roman"/>
          <w:sz w:val="18"/>
          <w:szCs w:val="18"/>
        </w:rPr>
        <w:t>] ionic liquid with dimethylsulfoxide (DMSO) as co-solvent. Esterification of galactose with oleic acid was initially screened by varying the conditions (temperature, time, enzyme loading and the fatty acid chain length). It was found that the reaction was optimum at the following conditions:</w:t>
      </w:r>
      <w:r w:rsidRPr="004B2AE3">
        <w:t xml:space="preserve"> </w:t>
      </w:r>
      <w:r w:rsidRPr="004B2AE3">
        <w:rPr>
          <w:rFonts w:ascii="Times New Roman" w:hAnsi="Times New Roman"/>
          <w:sz w:val="18"/>
          <w:szCs w:val="18"/>
        </w:rPr>
        <w:t>temperature (65</w:t>
      </w:r>
      <w:r>
        <w:rPr>
          <w:rFonts w:ascii="Times New Roman" w:hAnsi="Times New Roman"/>
          <w:sz w:val="18"/>
          <w:szCs w:val="18"/>
        </w:rPr>
        <w:t xml:space="preserve"> </w:t>
      </w:r>
      <w:r w:rsidRPr="004B2AE3">
        <w:rPr>
          <w:rFonts w:ascii="Times New Roman" w:hAnsi="Times New Roman"/>
          <w:sz w:val="18"/>
          <w:szCs w:val="18"/>
        </w:rPr>
        <w:t>°C), time (120 min</w:t>
      </w:r>
      <w:r>
        <w:rPr>
          <w:rFonts w:ascii="Times New Roman" w:hAnsi="Times New Roman"/>
          <w:sz w:val="18"/>
          <w:szCs w:val="18"/>
        </w:rPr>
        <w:t>utes</w:t>
      </w:r>
      <w:r w:rsidRPr="004B2AE3">
        <w:rPr>
          <w:rFonts w:ascii="Times New Roman" w:hAnsi="Times New Roman"/>
          <w:sz w:val="18"/>
          <w:szCs w:val="18"/>
        </w:rPr>
        <w:t>) and enzyme loading (2% (w/w)) when carried out in mixture of DMSO: [Bmim][BF</w:t>
      </w:r>
      <w:r w:rsidRPr="004B2AE3">
        <w:rPr>
          <w:rFonts w:ascii="Times New Roman" w:hAnsi="Times New Roman"/>
          <w:sz w:val="18"/>
          <w:szCs w:val="18"/>
          <w:vertAlign w:val="subscript"/>
        </w:rPr>
        <w:t>4</w:t>
      </w:r>
      <w:r w:rsidRPr="004B2AE3">
        <w:rPr>
          <w:rFonts w:ascii="Times New Roman" w:hAnsi="Times New Roman"/>
          <w:sz w:val="18"/>
          <w:szCs w:val="18"/>
        </w:rPr>
        <w:t>] (1:20). Interestingly, the percentage of conversion was not affected by the chain length of the acyl donor (C8 – C18) or the unsaturation degree. When the reaction was repeated with linoleic acid as acyl donor and different acyl acceptor (galactose, glucose, fructose, sucrose, maltose, trehalose and xylitol), sucrose gave the best conversion at 65%. In conclusion, TI lipase showed broad substrate specificity either for the acyl donor or acyl acceptor during the esterification of sugars in ionic liquid.</w:t>
      </w:r>
    </w:p>
    <w:p w:rsidR="006859D5" w:rsidRPr="004B2AE3" w:rsidRDefault="006859D5" w:rsidP="006859D5">
      <w:pPr>
        <w:spacing w:after="0" w:line="240" w:lineRule="auto"/>
        <w:jc w:val="both"/>
        <w:outlineLvl w:val="0"/>
        <w:rPr>
          <w:rFonts w:ascii="Times New Roman" w:hAnsi="Times New Roman"/>
          <w:sz w:val="24"/>
          <w:szCs w:val="24"/>
        </w:rPr>
      </w:pPr>
    </w:p>
    <w:p w:rsidR="006859D5" w:rsidRPr="004B2AE3" w:rsidRDefault="006859D5" w:rsidP="006859D5">
      <w:pPr>
        <w:spacing w:after="0" w:line="240" w:lineRule="auto"/>
        <w:jc w:val="both"/>
        <w:outlineLvl w:val="0"/>
        <w:rPr>
          <w:rFonts w:ascii="Times New Roman" w:hAnsi="Times New Roman"/>
        </w:rPr>
      </w:pPr>
      <w:r w:rsidRPr="004B2AE3">
        <w:rPr>
          <w:rFonts w:ascii="Times New Roman" w:hAnsi="Times New Roman"/>
          <w:b/>
          <w:sz w:val="18"/>
          <w:szCs w:val="18"/>
        </w:rPr>
        <w:t>Keywords</w:t>
      </w:r>
      <w:r w:rsidRPr="004B2AE3">
        <w:rPr>
          <w:rFonts w:ascii="Times New Roman" w:hAnsi="Times New Roman"/>
          <w:b/>
          <w:bCs/>
          <w:sz w:val="18"/>
          <w:szCs w:val="18"/>
        </w:rPr>
        <w:t>:</w:t>
      </w:r>
      <w:r w:rsidRPr="004B2AE3">
        <w:rPr>
          <w:rFonts w:ascii="Times New Roman" w:hAnsi="Times New Roman"/>
        </w:rPr>
        <w:t xml:space="preserve"> </w:t>
      </w:r>
      <w:r>
        <w:rPr>
          <w:rFonts w:ascii="Times New Roman" w:hAnsi="Times New Roman"/>
        </w:rPr>
        <w:t xml:space="preserve"> </w:t>
      </w:r>
      <w:r w:rsidRPr="004B2AE3">
        <w:rPr>
          <w:rFonts w:ascii="Times New Roman" w:hAnsi="Times New Roman"/>
          <w:sz w:val="18"/>
          <w:szCs w:val="18"/>
        </w:rPr>
        <w:t>T1 lipase, fatty acid sugar ester, ionic liquid, esterification, [Bmim][BF</w:t>
      </w:r>
      <w:r w:rsidRPr="004B2AE3">
        <w:rPr>
          <w:rFonts w:ascii="Times New Roman" w:hAnsi="Times New Roman"/>
          <w:sz w:val="18"/>
          <w:szCs w:val="18"/>
          <w:vertAlign w:val="subscript"/>
        </w:rPr>
        <w:t>4</w:t>
      </w:r>
      <w:r w:rsidRPr="004B2AE3">
        <w:rPr>
          <w:rFonts w:ascii="Times New Roman" w:hAnsi="Times New Roman"/>
          <w:sz w:val="18"/>
          <w:szCs w:val="18"/>
        </w:rPr>
        <w:t>]</w:t>
      </w:r>
    </w:p>
    <w:p w:rsidR="006859D5" w:rsidRPr="004B2AE3" w:rsidRDefault="006859D5" w:rsidP="006859D5">
      <w:pPr>
        <w:spacing w:after="0" w:line="240" w:lineRule="auto"/>
        <w:jc w:val="center"/>
        <w:outlineLvl w:val="0"/>
        <w:rPr>
          <w:rFonts w:ascii="Times New Roman" w:hAnsi="Times New Roman"/>
          <w:b/>
          <w:sz w:val="18"/>
          <w:szCs w:val="18"/>
        </w:rPr>
      </w:pPr>
    </w:p>
    <w:p w:rsidR="006859D5" w:rsidRPr="004B2AE3" w:rsidRDefault="006859D5" w:rsidP="006859D5">
      <w:pPr>
        <w:spacing w:after="0" w:line="240" w:lineRule="auto"/>
        <w:jc w:val="center"/>
        <w:outlineLvl w:val="0"/>
        <w:rPr>
          <w:rFonts w:ascii="Times New Roman" w:hAnsi="Times New Roman"/>
          <w:b/>
          <w:noProof/>
          <w:sz w:val="18"/>
          <w:szCs w:val="18"/>
          <w:lang w:val="ms-MY"/>
        </w:rPr>
      </w:pPr>
      <w:r w:rsidRPr="004B2AE3">
        <w:rPr>
          <w:rFonts w:ascii="Times New Roman" w:hAnsi="Times New Roman"/>
          <w:b/>
          <w:noProof/>
          <w:sz w:val="18"/>
          <w:szCs w:val="18"/>
          <w:lang w:val="ms-MY"/>
        </w:rPr>
        <w:t>Abstrak</w:t>
      </w:r>
    </w:p>
    <w:p w:rsidR="006859D5" w:rsidRPr="004B2AE3" w:rsidRDefault="006859D5" w:rsidP="006859D5">
      <w:pPr>
        <w:spacing w:after="0" w:line="240" w:lineRule="auto"/>
        <w:jc w:val="both"/>
        <w:outlineLvl w:val="0"/>
        <w:rPr>
          <w:rFonts w:ascii="Times New Roman" w:hAnsi="Times New Roman"/>
          <w:noProof/>
          <w:sz w:val="18"/>
          <w:szCs w:val="18"/>
          <w:lang w:val="ms-MY"/>
        </w:rPr>
      </w:pPr>
      <w:r w:rsidRPr="004B2AE3">
        <w:rPr>
          <w:rFonts w:ascii="Times New Roman" w:hAnsi="Times New Roman"/>
          <w:noProof/>
          <w:sz w:val="18"/>
          <w:szCs w:val="18"/>
          <w:lang w:val="ms-MY"/>
        </w:rPr>
        <w:t>Lipase termostabil T1 dari strain</w:t>
      </w:r>
      <w:r w:rsidRPr="004B2AE3">
        <w:rPr>
          <w:rFonts w:ascii="Times New Roman" w:hAnsi="Times New Roman"/>
          <w:i/>
          <w:noProof/>
          <w:sz w:val="18"/>
          <w:szCs w:val="18"/>
          <w:lang w:val="ms-MY"/>
        </w:rPr>
        <w:t xml:space="preserve"> Geobacillus zalihae </w:t>
      </w:r>
      <w:r w:rsidRPr="004B2AE3">
        <w:rPr>
          <w:rFonts w:ascii="Times New Roman" w:hAnsi="Times New Roman"/>
          <w:noProof/>
          <w:sz w:val="18"/>
          <w:szCs w:val="18"/>
          <w:lang w:val="ms-MY"/>
        </w:rPr>
        <w:t>telah digunakan dalam pengesteran pelbagai gula dengan asid lemak untuk membentuk ester gula asid lemak. Ester gula asid lemak (FASE) adalah kelas surfaktan bukan ionik yang penting yang mempunyai sifat pengemulsi, penstabilan dan penyesuaian yang baik. Dalam kerja ini tindak balas pengesteraan dilakukan dalam cecair ionik [Bmim][BF</w:t>
      </w:r>
      <w:r w:rsidRPr="004B2AE3">
        <w:rPr>
          <w:rFonts w:ascii="Times New Roman" w:hAnsi="Times New Roman"/>
          <w:noProof/>
          <w:sz w:val="18"/>
          <w:szCs w:val="18"/>
          <w:vertAlign w:val="subscript"/>
          <w:lang w:val="ms-MY"/>
        </w:rPr>
        <w:t>4</w:t>
      </w:r>
      <w:r w:rsidRPr="004B2AE3">
        <w:rPr>
          <w:rFonts w:ascii="Times New Roman" w:hAnsi="Times New Roman"/>
          <w:noProof/>
          <w:sz w:val="18"/>
          <w:szCs w:val="18"/>
          <w:lang w:val="ms-MY"/>
        </w:rPr>
        <w:t>] dengan dimetilsulfoksida (DMSO) sebagai pelarut bersama. Pengesteran galaktosa dengan asid oleik pada mulanya disaring dengan mempelbagaikan keadaan (suhu, masa, muatan enzim dan panjang rantai asid lemak.) Ia didapati bahawa tindak balas adalah optimum pada keadaan berikut: suhu (65</w:t>
      </w:r>
      <w:r>
        <w:rPr>
          <w:rFonts w:ascii="Times New Roman" w:hAnsi="Times New Roman"/>
          <w:noProof/>
          <w:sz w:val="18"/>
          <w:szCs w:val="18"/>
          <w:lang w:val="ms-MY"/>
        </w:rPr>
        <w:t xml:space="preserve"> </w:t>
      </w:r>
      <w:r w:rsidRPr="004B2AE3">
        <w:rPr>
          <w:rFonts w:ascii="Times New Roman" w:hAnsi="Times New Roman"/>
          <w:noProof/>
          <w:sz w:val="18"/>
          <w:szCs w:val="18"/>
          <w:lang w:val="ms-MY"/>
        </w:rPr>
        <w:t>°C), masa (120 min</w:t>
      </w:r>
      <w:r>
        <w:rPr>
          <w:rFonts w:ascii="Times New Roman" w:hAnsi="Times New Roman"/>
          <w:noProof/>
          <w:sz w:val="18"/>
          <w:szCs w:val="18"/>
          <w:lang w:val="ms-MY"/>
        </w:rPr>
        <w:t>utes</w:t>
      </w:r>
      <w:r w:rsidRPr="004B2AE3">
        <w:rPr>
          <w:rFonts w:ascii="Times New Roman" w:hAnsi="Times New Roman"/>
          <w:noProof/>
          <w:sz w:val="18"/>
          <w:szCs w:val="18"/>
          <w:lang w:val="ms-MY"/>
        </w:rPr>
        <w:t>) dan muatan enzim (2% (w/w)) apabila dijalankan dalam campuran DMSO:[Bmim][BF</w:t>
      </w:r>
      <w:r w:rsidRPr="004B2AE3">
        <w:rPr>
          <w:rFonts w:ascii="Times New Roman" w:hAnsi="Times New Roman"/>
          <w:noProof/>
          <w:sz w:val="18"/>
          <w:szCs w:val="18"/>
          <w:vertAlign w:val="subscript"/>
          <w:lang w:val="ms-MY"/>
        </w:rPr>
        <w:t>4</w:t>
      </w:r>
      <w:r w:rsidRPr="004B2AE3">
        <w:rPr>
          <w:rFonts w:ascii="Times New Roman" w:hAnsi="Times New Roman"/>
          <w:noProof/>
          <w:sz w:val="18"/>
          <w:szCs w:val="18"/>
          <w:lang w:val="ms-MY"/>
        </w:rPr>
        <w:t>] (1:20). Menariknya, peratusan penukaran tidak terjejas oleh panjang rantai asil dari C8 – C18 atau darjah ketaktepuan. Apabila tindak balas diulang dengan asid linoleik sebagai penderma asil dan penerima asil yang berbeza (galaktosa, glukosa, fruktosa, sukrosa, maltosa, trehalosa dan xilitol), sukrosa memberikan penukaran terbaik pada 65%.</w:t>
      </w:r>
      <w:r w:rsidRPr="004B2AE3">
        <w:rPr>
          <w:noProof/>
          <w:lang w:val="ms-MY"/>
        </w:rPr>
        <w:t xml:space="preserve"> </w:t>
      </w:r>
      <w:r w:rsidRPr="004B2AE3">
        <w:rPr>
          <w:rFonts w:ascii="Times New Roman" w:hAnsi="Times New Roman"/>
          <w:noProof/>
          <w:sz w:val="18"/>
          <w:szCs w:val="18"/>
          <w:lang w:val="ms-MY"/>
        </w:rPr>
        <w:t xml:space="preserve">Kesimpulannya, lipase TI menunjukkan kekhususan substrat yang luas sama ada untuk penderma asil atau penerima asil semasa pengesteran gula dalam cecair ionik. </w:t>
      </w:r>
    </w:p>
    <w:p w:rsidR="006859D5" w:rsidRPr="004B2AE3" w:rsidRDefault="006859D5" w:rsidP="006859D5">
      <w:pPr>
        <w:spacing w:after="0" w:line="240" w:lineRule="auto"/>
        <w:jc w:val="both"/>
        <w:outlineLvl w:val="0"/>
        <w:rPr>
          <w:rFonts w:ascii="Times New Roman" w:hAnsi="Times New Roman"/>
          <w:noProof/>
          <w:sz w:val="18"/>
          <w:szCs w:val="18"/>
          <w:lang w:val="ms-MY"/>
        </w:rPr>
      </w:pPr>
    </w:p>
    <w:p w:rsidR="006859D5" w:rsidRPr="004B2AE3" w:rsidRDefault="006859D5" w:rsidP="006859D5">
      <w:pPr>
        <w:spacing w:after="0" w:line="240" w:lineRule="auto"/>
        <w:jc w:val="both"/>
        <w:outlineLvl w:val="0"/>
        <w:rPr>
          <w:rFonts w:ascii="Times New Roman" w:hAnsi="Times New Roman"/>
          <w:noProof/>
          <w:lang w:val="ms-MY"/>
        </w:rPr>
      </w:pPr>
      <w:r w:rsidRPr="004B2AE3">
        <w:rPr>
          <w:rFonts w:ascii="Times New Roman" w:hAnsi="Times New Roman"/>
          <w:b/>
          <w:noProof/>
          <w:sz w:val="18"/>
          <w:szCs w:val="18"/>
          <w:lang w:val="ms-MY"/>
        </w:rPr>
        <w:t>Kata kunci:</w:t>
      </w:r>
      <w:r w:rsidRPr="004B2AE3">
        <w:rPr>
          <w:rFonts w:ascii="Times New Roman" w:hAnsi="Times New Roman"/>
          <w:b/>
          <w:noProof/>
          <w:lang w:val="ms-MY"/>
        </w:rPr>
        <w:t xml:space="preserve"> </w:t>
      </w:r>
      <w:r>
        <w:rPr>
          <w:rFonts w:ascii="Times New Roman" w:hAnsi="Times New Roman"/>
          <w:b/>
          <w:noProof/>
          <w:lang w:val="ms-MY"/>
        </w:rPr>
        <w:t xml:space="preserve"> </w:t>
      </w:r>
      <w:r w:rsidRPr="004B2AE3">
        <w:rPr>
          <w:rFonts w:ascii="Times New Roman" w:hAnsi="Times New Roman"/>
          <w:noProof/>
          <w:sz w:val="18"/>
          <w:szCs w:val="18"/>
          <w:lang w:val="ms-MY"/>
        </w:rPr>
        <w:t>lipase T1, ester gula asid lemak, cecair ionik, pengesteran, [Bmim][BF</w:t>
      </w:r>
      <w:r w:rsidRPr="004B2AE3">
        <w:rPr>
          <w:rFonts w:ascii="Times New Roman" w:hAnsi="Times New Roman"/>
          <w:noProof/>
          <w:sz w:val="18"/>
          <w:szCs w:val="18"/>
          <w:vertAlign w:val="subscript"/>
          <w:lang w:val="ms-MY"/>
        </w:rPr>
        <w:t>4</w:t>
      </w:r>
      <w:r w:rsidRPr="004B2AE3">
        <w:rPr>
          <w:rFonts w:ascii="Times New Roman" w:hAnsi="Times New Roman"/>
          <w:noProof/>
          <w:sz w:val="18"/>
          <w:szCs w:val="18"/>
          <w:lang w:val="ms-MY"/>
        </w:rPr>
        <w:t>]</w:t>
      </w:r>
    </w:p>
    <w:p w:rsidR="00494C46" w:rsidRPr="00BE7C30" w:rsidRDefault="00494C46" w:rsidP="006859D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6859D5" w:rsidRP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 xml:space="preserve">Thermostable T1 lipase from </w:t>
      </w:r>
      <w:r w:rsidRPr="006859D5">
        <w:rPr>
          <w:rFonts w:ascii="Times New Roman" w:hAnsi="Times New Roman"/>
          <w:i/>
          <w:sz w:val="20"/>
          <w:szCs w:val="20"/>
        </w:rPr>
        <w:t>Geobacillus zalihae</w:t>
      </w:r>
      <w:r w:rsidRPr="006859D5">
        <w:rPr>
          <w:rFonts w:ascii="Times New Roman" w:hAnsi="Times New Roman"/>
          <w:sz w:val="20"/>
          <w:szCs w:val="20"/>
        </w:rPr>
        <w:t xml:space="preserve"> sp. strain was first introduced and isolated by Leow and his co-workers [1, 2] with an aim to produce excellent thermostable lipase which can retain its activity and stability at higher temperature. Thermal stability is one of the important features of successful commercial biocatalyst as it would allow the reaction to be conducted at high temperature and in turn improve substrate solubility, increase conversion rates, reduce viscosity of reaction medium and lower microbial growth prospect [3]. Although, the thermostable T1 lipase has been discovered since 2004, to date there are still limited reports on the utilization of this enzyme in organic reactions that little is known about its substrate specificity and selectivity. </w:t>
      </w:r>
    </w:p>
    <w:p w:rsidR="006859D5" w:rsidRPr="006859D5" w:rsidRDefault="006859D5" w:rsidP="006859D5">
      <w:pPr>
        <w:spacing w:after="0" w:line="240" w:lineRule="auto"/>
        <w:jc w:val="both"/>
        <w:outlineLvl w:val="0"/>
        <w:rPr>
          <w:rFonts w:ascii="Times New Roman" w:hAnsi="Times New Roman"/>
          <w:sz w:val="20"/>
          <w:szCs w:val="20"/>
        </w:rPr>
      </w:pPr>
    </w:p>
    <w:p w:rsidR="006859D5" w:rsidRPr="006859D5" w:rsidRDefault="006859D5" w:rsidP="006859D5">
      <w:pPr>
        <w:spacing w:after="0" w:line="240" w:lineRule="auto"/>
        <w:jc w:val="both"/>
        <w:outlineLvl w:val="0"/>
        <w:rPr>
          <w:rFonts w:ascii="Times New Roman" w:hAnsi="Times New Roman"/>
          <w:sz w:val="20"/>
          <w:szCs w:val="20"/>
          <w:shd w:val="clear" w:color="auto" w:fill="FFFFFF"/>
        </w:rPr>
      </w:pPr>
      <w:r w:rsidRPr="006859D5">
        <w:rPr>
          <w:rFonts w:ascii="Times New Roman" w:hAnsi="Times New Roman"/>
          <w:sz w:val="20"/>
          <w:szCs w:val="20"/>
        </w:rPr>
        <w:t xml:space="preserve">Fatty acid sugar ester (FASE) is widely known as non-toxic, odorless and biodegradable surfactant [4] which has good emulsifying, stabilizing, conditioning effect and antimicrobial properties [5]. This result in widespread usage of sugar ester in food, cosmetics, pharmaceutical and detergents [6]. Current commercial FASE is typically obtained via chemical synthesis but enzymatic synthesis of FASE catalyzed by free or immobilized lipase has become more prominent recently [7, 8]. The biocatalytic production of sugar ester is favored over the conventional process due to its advantages in term of mild reaction conditions, better regioselectivity and easy product separation to name a few [9, 10]. </w:t>
      </w:r>
    </w:p>
    <w:p w:rsidR="006859D5" w:rsidRPr="006859D5" w:rsidRDefault="006859D5" w:rsidP="006859D5">
      <w:pPr>
        <w:spacing w:after="0" w:line="240" w:lineRule="auto"/>
        <w:jc w:val="both"/>
        <w:outlineLvl w:val="0"/>
        <w:rPr>
          <w:rFonts w:ascii="Times New Roman" w:hAnsi="Times New Roman"/>
          <w:sz w:val="20"/>
          <w:szCs w:val="20"/>
        </w:rPr>
      </w:pPr>
    </w:p>
    <w:p w:rsidR="006859D5" w:rsidRP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In large industrial scale organic solvent offers many advantages such as low price and viscosity. However, esterification of sugars in organic media suffers from low solubility of the highly polar sugars. Although polar solvent like dimethysulfoxide (DMSO) and dimethylformamide (DMF) can fully dissolve most sugars, their usage in enzymatic reaction is limited as they caused enzyme deactivation. Ionic liquid (IL) is a good alternative media for biocatalytic reactions and had been extensively studied for lipase-catalyzed esterification reaction of sugars [11]. It is an organic molten salt consists of pure ions that remains as liquid at room temperature [12]. Ionic liquid showed excellent potential in biocatalytic production of sugar ester due to higher sugar solubility, excellent enzymatic activity and selectivity [13]. Our previous work on the enzymatic esterification of galactose [14] and xylose [15] in ILs and organic solvents respectively, showed that small amount of DMSO for initial solubilization of the sugars was beneficial to get a good conversion. Other works have also demonstrated the utility of polar solvent like DMSO as co-solvent in sugar ester synthesis [16]. Similarly, super saturated sugar solution has been utilized for the same purpose [17, 18, 19].</w:t>
      </w:r>
    </w:p>
    <w:p w:rsidR="006859D5" w:rsidRPr="006859D5" w:rsidRDefault="006859D5" w:rsidP="006859D5">
      <w:pPr>
        <w:spacing w:after="0" w:line="240" w:lineRule="auto"/>
        <w:jc w:val="both"/>
        <w:outlineLvl w:val="0"/>
        <w:rPr>
          <w:rFonts w:ascii="Times New Roman" w:hAnsi="Times New Roman"/>
          <w:sz w:val="20"/>
          <w:szCs w:val="20"/>
        </w:rPr>
      </w:pPr>
    </w:p>
    <w:p w:rsidR="006859D5" w:rsidRP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In this work, we aim to investigate the utility of thermostable T1 lipase in esterification of sugars with fatty acids in order to further understand the lipase selectivity and specificity. The initial screening of the reaction conditions was done using the esterification of galactose with oleic acid in DMSO:[Bmim][BF</w:t>
      </w:r>
      <w:r w:rsidRPr="006859D5">
        <w:rPr>
          <w:rFonts w:ascii="Times New Roman" w:hAnsi="Times New Roman"/>
          <w:sz w:val="20"/>
          <w:szCs w:val="20"/>
          <w:vertAlign w:val="subscript"/>
        </w:rPr>
        <w:t>4</w:t>
      </w:r>
      <w:r w:rsidRPr="006859D5">
        <w:rPr>
          <w:rFonts w:ascii="Times New Roman" w:hAnsi="Times New Roman"/>
          <w:sz w:val="20"/>
          <w:szCs w:val="20"/>
        </w:rPr>
        <w:t>] (1:20) mixture followed by reaction of galactose with various fatty acids to see the lipase preference, if any. The sugar preference of the lipase was also studied. This report is one of the earliest reports on T1 lipase as enzyme for biocatalysis reaction. This could be one of the main references for application of T1 lipase.</w:t>
      </w:r>
    </w:p>
    <w:p w:rsidR="006859D5" w:rsidRPr="006859D5" w:rsidRDefault="006859D5" w:rsidP="006859D5">
      <w:pPr>
        <w:spacing w:after="0" w:line="240" w:lineRule="auto"/>
        <w:jc w:val="center"/>
        <w:outlineLvl w:val="0"/>
        <w:rPr>
          <w:rFonts w:ascii="Times New Roman" w:hAnsi="Times New Roman"/>
          <w:sz w:val="20"/>
          <w:szCs w:val="20"/>
        </w:rPr>
      </w:pPr>
    </w:p>
    <w:p w:rsidR="006859D5" w:rsidRPr="006859D5" w:rsidRDefault="006859D5" w:rsidP="006859D5">
      <w:pPr>
        <w:spacing w:after="0" w:line="240" w:lineRule="auto"/>
        <w:jc w:val="center"/>
        <w:outlineLvl w:val="0"/>
        <w:rPr>
          <w:rFonts w:ascii="Times New Roman" w:hAnsi="Times New Roman"/>
          <w:b/>
          <w:sz w:val="20"/>
          <w:szCs w:val="20"/>
        </w:rPr>
      </w:pPr>
      <w:r w:rsidRPr="006859D5">
        <w:rPr>
          <w:rFonts w:ascii="Times New Roman" w:hAnsi="Times New Roman"/>
          <w:b/>
          <w:sz w:val="20"/>
          <w:szCs w:val="20"/>
        </w:rPr>
        <w:t>Materials and Methods</w:t>
      </w:r>
    </w:p>
    <w:p w:rsidR="006859D5" w:rsidRPr="006859D5" w:rsidRDefault="006859D5" w:rsidP="006859D5">
      <w:pPr>
        <w:spacing w:after="0" w:line="240" w:lineRule="auto"/>
        <w:jc w:val="both"/>
        <w:outlineLvl w:val="0"/>
        <w:rPr>
          <w:rFonts w:ascii="Times New Roman" w:hAnsi="Times New Roman"/>
          <w:b/>
          <w:sz w:val="20"/>
          <w:szCs w:val="20"/>
        </w:rPr>
      </w:pPr>
      <w:r w:rsidRPr="006859D5">
        <w:rPr>
          <w:rFonts w:ascii="Times New Roman" w:hAnsi="Times New Roman"/>
          <w:b/>
          <w:sz w:val="20"/>
          <w:szCs w:val="20"/>
        </w:rPr>
        <w:t xml:space="preserve">Materials </w:t>
      </w:r>
    </w:p>
    <w:p w:rsidR="006859D5" w:rsidRP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 xml:space="preserve">Crude free lipase from </w:t>
      </w:r>
      <w:r w:rsidRPr="006859D5">
        <w:rPr>
          <w:rFonts w:ascii="Times New Roman" w:hAnsi="Times New Roman"/>
          <w:i/>
          <w:sz w:val="20"/>
          <w:szCs w:val="20"/>
        </w:rPr>
        <w:t>Geobacillus zalihae strain</w:t>
      </w:r>
      <w:r w:rsidRPr="006859D5">
        <w:rPr>
          <w:rFonts w:ascii="Times New Roman" w:hAnsi="Times New Roman"/>
          <w:sz w:val="20"/>
          <w:szCs w:val="20"/>
        </w:rPr>
        <w:t xml:space="preserve"> T1 was obtained from UPM, Selangor, Malaysia. 1-butyl-3-methylimidazolium tetrafluoroborate ([Bmim][BF</w:t>
      </w:r>
      <w:r w:rsidRPr="006859D5">
        <w:rPr>
          <w:rFonts w:ascii="Times New Roman" w:hAnsi="Times New Roman"/>
          <w:sz w:val="20"/>
          <w:szCs w:val="20"/>
          <w:vertAlign w:val="subscript"/>
        </w:rPr>
        <w:t>4</w:t>
      </w:r>
      <w:r w:rsidRPr="006859D5">
        <w:rPr>
          <w:rFonts w:ascii="Times New Roman" w:hAnsi="Times New Roman"/>
          <w:sz w:val="20"/>
          <w:szCs w:val="20"/>
        </w:rPr>
        <w:t xml:space="preserve">]), DMSO, caprylic acid and lauric acid were purchased from Merck, Germany. Oleic acid was obtained from TCI Tokyo Kasei. All sugars (galactose, glucose, fructose, sucrose, maltose, trehalose and xylitol) and linoleic acid were purchased from Sigma Aldrich, USA. </w:t>
      </w:r>
    </w:p>
    <w:p w:rsidR="006859D5" w:rsidRPr="006859D5" w:rsidRDefault="006859D5" w:rsidP="006859D5">
      <w:pPr>
        <w:spacing w:after="0" w:line="240" w:lineRule="auto"/>
        <w:jc w:val="both"/>
        <w:outlineLvl w:val="0"/>
        <w:rPr>
          <w:rFonts w:ascii="Times New Roman" w:hAnsi="Times New Roman"/>
          <w:sz w:val="20"/>
          <w:szCs w:val="20"/>
        </w:rPr>
      </w:pPr>
    </w:p>
    <w:p w:rsidR="006859D5" w:rsidRPr="006859D5" w:rsidRDefault="006859D5" w:rsidP="006859D5">
      <w:pPr>
        <w:spacing w:after="0" w:line="240" w:lineRule="auto"/>
        <w:jc w:val="both"/>
        <w:outlineLvl w:val="0"/>
        <w:rPr>
          <w:rFonts w:ascii="Times New Roman" w:hAnsi="Times New Roman"/>
          <w:b/>
          <w:sz w:val="20"/>
          <w:szCs w:val="20"/>
        </w:rPr>
      </w:pPr>
      <w:r w:rsidRPr="006859D5">
        <w:rPr>
          <w:rFonts w:ascii="Times New Roman" w:hAnsi="Times New Roman"/>
          <w:b/>
          <w:sz w:val="20"/>
          <w:szCs w:val="20"/>
        </w:rPr>
        <w:t>Lipase-catalyzed esterification and parameter screening</w:t>
      </w:r>
    </w:p>
    <w:p w:rsidR="006859D5" w:rsidRP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The reactions were carried out in Eppendorf microcentrifuge tube (2 mL) and incubated in Eppendorf Thermomixer. Sugar (galactose, glucose, fructose, sucrose, maltose, trehalose or xylitol; 0.05 mmol) was dissolved in DMSO (50 µL) at 60 °C for 30 minutes until homogenous solution was observed by visual. Fatty acid (oleic, caprylic, lauric or linoleic acid; 0.10 mmol) and [Bmim][BF</w:t>
      </w:r>
      <w:r w:rsidRPr="006859D5">
        <w:rPr>
          <w:rFonts w:ascii="Times New Roman" w:hAnsi="Times New Roman"/>
          <w:sz w:val="20"/>
          <w:szCs w:val="20"/>
          <w:vertAlign w:val="subscript"/>
        </w:rPr>
        <w:t>4</w:t>
      </w:r>
      <w:r w:rsidRPr="006859D5">
        <w:rPr>
          <w:rFonts w:ascii="Times New Roman" w:hAnsi="Times New Roman"/>
          <w:sz w:val="20"/>
          <w:szCs w:val="20"/>
        </w:rPr>
        <w:t xml:space="preserve">] (1.0 mL) were then added into homogeneous solution and stirred. The reaction was incubated after the addition of 2% (w/w) of total amount mixture except for enzyme loading study. The reaction was conducted at different temperature within a range of 50-80 °C for 2 hours and stirred at 250 rpm. Sample (20 µL) was taken after 2 hours for all experiments except for reaction profile experiment where sample was taken in 5 minutes interval. All reactions were conducted in triplicates. Determination of remaining fatty acid </w:t>
      </w:r>
      <w:r w:rsidRPr="006859D5">
        <w:rPr>
          <w:rFonts w:ascii="Times New Roman" w:hAnsi="Times New Roman"/>
          <w:sz w:val="20"/>
          <w:szCs w:val="20"/>
        </w:rPr>
        <w:lastRenderedPageBreak/>
        <w:t>by high performance liquid chromatography (HPLC) was then conducted on the sample and was used to calculate the percentage of conversion.</w:t>
      </w:r>
    </w:p>
    <w:p w:rsidR="006859D5" w:rsidRPr="006859D5" w:rsidRDefault="006859D5" w:rsidP="006859D5">
      <w:pPr>
        <w:spacing w:after="0" w:line="240" w:lineRule="auto"/>
        <w:jc w:val="both"/>
        <w:outlineLvl w:val="0"/>
        <w:rPr>
          <w:rFonts w:ascii="Times New Roman" w:hAnsi="Times New Roman"/>
          <w:sz w:val="20"/>
          <w:szCs w:val="20"/>
        </w:rPr>
      </w:pPr>
    </w:p>
    <w:p w:rsidR="006859D5" w:rsidRPr="006859D5" w:rsidRDefault="006859D5" w:rsidP="006859D5">
      <w:pPr>
        <w:spacing w:after="0" w:line="240" w:lineRule="auto"/>
        <w:jc w:val="both"/>
        <w:outlineLvl w:val="0"/>
        <w:rPr>
          <w:rFonts w:ascii="Times New Roman" w:hAnsi="Times New Roman"/>
          <w:b/>
          <w:sz w:val="20"/>
          <w:szCs w:val="20"/>
        </w:rPr>
      </w:pPr>
      <w:r w:rsidRPr="006859D5">
        <w:rPr>
          <w:rFonts w:ascii="Times New Roman" w:hAnsi="Times New Roman"/>
          <w:b/>
          <w:sz w:val="20"/>
          <w:szCs w:val="20"/>
        </w:rPr>
        <w:t>Analysis and characterization</w:t>
      </w:r>
    </w:p>
    <w:p w:rsidR="006859D5" w:rsidRP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Sample for HPLC analysis was prepared by dilution of 20 µL of reaction mixture into 40 µL of acetonitrile: methanol (1:1) and centrifuged at 4000 rpm for 15 minutes. The clear supernatant was filtered into micro volume vial inserts and injected to HPLC (Agilent 1200 series) equipped with an Evaporative Light Scattering Detector (ELSD) and an eclipsed XDB-C</w:t>
      </w:r>
      <w:r w:rsidRPr="006859D5">
        <w:rPr>
          <w:rFonts w:ascii="Times New Roman" w:hAnsi="Times New Roman"/>
          <w:sz w:val="20"/>
          <w:szCs w:val="20"/>
          <w:vertAlign w:val="subscript"/>
        </w:rPr>
        <w:t>18</w:t>
      </w:r>
      <w:r w:rsidRPr="006859D5">
        <w:rPr>
          <w:rFonts w:ascii="Times New Roman" w:hAnsi="Times New Roman"/>
          <w:sz w:val="20"/>
          <w:szCs w:val="20"/>
        </w:rPr>
        <w:t xml:space="preserve">, 5 µm column (150 mm x 4.6 mm). The HPLC conditions were as follows: mobile phase (acetonitrile: water with ratio of 80:20 (v/v)), flow rate (0.5 mL/min) and injection volume (10 µL). The sample was analyzed for 25 minutes. Percentage of conversion was calculated by observing the concentration of remaining free fatty acid. </w:t>
      </w:r>
    </w:p>
    <w:p w:rsidR="006768E9" w:rsidRPr="00F447A7" w:rsidRDefault="006768E9" w:rsidP="006859D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859D5" w:rsidRPr="006859D5" w:rsidRDefault="006859D5" w:rsidP="006859D5">
      <w:pPr>
        <w:spacing w:after="0" w:line="240" w:lineRule="auto"/>
        <w:jc w:val="both"/>
        <w:outlineLvl w:val="0"/>
        <w:rPr>
          <w:rFonts w:ascii="Times New Roman" w:hAnsi="Times New Roman"/>
          <w:b/>
          <w:sz w:val="20"/>
          <w:szCs w:val="20"/>
        </w:rPr>
      </w:pPr>
      <w:r w:rsidRPr="006859D5">
        <w:rPr>
          <w:rFonts w:ascii="Times New Roman" w:hAnsi="Times New Roman"/>
          <w:b/>
          <w:sz w:val="20"/>
          <w:szCs w:val="20"/>
        </w:rPr>
        <w:t>Effect of temperature</w:t>
      </w:r>
    </w:p>
    <w:p w:rsidR="006859D5" w:rsidRP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The effect of temperature on the activity of T1 lipase in the esterification reaction was studied at 50-80 °C. Initially, the percentage conversion increased as the temperature was raised and the highest conversion (67%) was recorded at 65 °C (</w:t>
      </w:r>
      <w:r w:rsidRPr="006859D5">
        <w:rPr>
          <w:rFonts w:ascii="Times New Roman" w:hAnsi="Times New Roman"/>
          <w:bCs/>
          <w:sz w:val="20"/>
          <w:szCs w:val="20"/>
        </w:rPr>
        <w:t>Figure 1)</w:t>
      </w:r>
      <w:r w:rsidRPr="006859D5">
        <w:rPr>
          <w:rFonts w:ascii="Times New Roman" w:hAnsi="Times New Roman"/>
          <w:sz w:val="20"/>
          <w:szCs w:val="20"/>
        </w:rPr>
        <w:t xml:space="preserve">, the same optimum temperature that was reported for T1 lipase by Leow </w:t>
      </w:r>
      <w:r w:rsidRPr="006859D5">
        <w:rPr>
          <w:rFonts w:ascii="Times New Roman" w:hAnsi="Times New Roman"/>
          <w:iCs/>
          <w:sz w:val="20"/>
          <w:szCs w:val="20"/>
        </w:rPr>
        <w:t>et al.</w:t>
      </w:r>
      <w:r w:rsidRPr="006859D5">
        <w:rPr>
          <w:rFonts w:ascii="Times New Roman" w:hAnsi="Times New Roman"/>
          <w:sz w:val="20"/>
          <w:szCs w:val="20"/>
        </w:rPr>
        <w:t xml:space="preserve"> [2]. However, the conversion began to slowly decrease when the temperature exceeded 65 °C which could be caused by thermal denaturation of T1 lipase. Temperature is crucial parameters in an enzymatic reaction as it can affect the stability and activity of enzyme used. In addition, the solubility of reactants and reaction rate will also be influenced [3]. </w:t>
      </w:r>
      <w:r w:rsidRPr="006859D5">
        <w:rPr>
          <w:rFonts w:ascii="Times New Roman" w:hAnsi="Times New Roman"/>
          <w:i/>
          <w:sz w:val="20"/>
          <w:szCs w:val="20"/>
        </w:rPr>
        <w:t>Candida antarctica</w:t>
      </w:r>
      <w:r w:rsidRPr="006859D5">
        <w:rPr>
          <w:rFonts w:ascii="Times New Roman" w:hAnsi="Times New Roman"/>
          <w:sz w:val="20"/>
          <w:szCs w:val="20"/>
        </w:rPr>
        <w:t xml:space="preserve"> lipase B (CALB) immobilized within a macroporous resin (Novozyme 435) was reported to exhibit its highest conversion at 50 °C in the esterification of glucose with lauric acid in mixture of [Bmim][TfO] and [Omim][Tf</w:t>
      </w:r>
      <w:r w:rsidRPr="006859D5">
        <w:rPr>
          <w:rFonts w:ascii="Times New Roman" w:hAnsi="Times New Roman"/>
          <w:sz w:val="20"/>
          <w:szCs w:val="20"/>
          <w:vertAlign w:val="subscript"/>
        </w:rPr>
        <w:t>2</w:t>
      </w:r>
      <w:r w:rsidRPr="006859D5">
        <w:rPr>
          <w:rFonts w:ascii="Times New Roman" w:hAnsi="Times New Roman"/>
          <w:sz w:val="20"/>
          <w:szCs w:val="20"/>
        </w:rPr>
        <w:t xml:space="preserve">N] (1:1) [19] and at 60 °C in the synthesis of propyl caffeate </w:t>
      </w:r>
      <w:r w:rsidRPr="006859D5">
        <w:rPr>
          <w:rFonts w:ascii="Times New Roman" w:hAnsi="Times New Roman"/>
          <w:i/>
          <w:iCs/>
          <w:sz w:val="20"/>
          <w:szCs w:val="20"/>
        </w:rPr>
        <w:t>via</w:t>
      </w:r>
      <w:r w:rsidRPr="006859D5">
        <w:rPr>
          <w:rFonts w:ascii="Times New Roman" w:hAnsi="Times New Roman"/>
          <w:sz w:val="20"/>
          <w:szCs w:val="20"/>
        </w:rPr>
        <w:t xml:space="preserve"> transesterification reaction in ILs [20]. Immobilized </w:t>
      </w:r>
      <w:r w:rsidRPr="006859D5">
        <w:rPr>
          <w:rFonts w:ascii="Times New Roman" w:hAnsi="Times New Roman"/>
          <w:i/>
          <w:sz w:val="20"/>
          <w:szCs w:val="20"/>
        </w:rPr>
        <w:t>Thermomyces lanuginose</w:t>
      </w:r>
      <w:r w:rsidRPr="006859D5">
        <w:rPr>
          <w:rFonts w:ascii="Times New Roman" w:hAnsi="Times New Roman"/>
          <w:sz w:val="20"/>
          <w:szCs w:val="20"/>
        </w:rPr>
        <w:t xml:space="preserve"> lipase (Immozyme TLL) was shown to be optimum at 50 °C during the synthesis of temsirolimus in methyl </w:t>
      </w:r>
      <w:r w:rsidRPr="006859D5">
        <w:rPr>
          <w:rFonts w:ascii="Times New Roman" w:hAnsi="Times New Roman"/>
          <w:i/>
          <w:sz w:val="20"/>
          <w:szCs w:val="20"/>
        </w:rPr>
        <w:t>ter</w:t>
      </w:r>
      <w:r w:rsidRPr="006859D5">
        <w:rPr>
          <w:rFonts w:ascii="Times New Roman" w:hAnsi="Times New Roman"/>
          <w:sz w:val="20"/>
          <w:szCs w:val="20"/>
        </w:rPr>
        <w:t>t-butyl ether [21]. This shows that at 65 °C optimum temperature, T1 lipase was able to surpass the thermal stability of commercial enzymes. Although T1 lipase can maintain its activity and stability at 65 °C, the rest of the parameter study were done at 60 °C for comparative purposes since most lipase catalyzed reaction rarely goes beyond 60 °C. It was also the same temperature used in our previous report using Lipozyme RMIM [14].</w:t>
      </w:r>
    </w:p>
    <w:p w:rsidR="006859D5" w:rsidRPr="006859D5" w:rsidRDefault="006859D5" w:rsidP="006859D5">
      <w:pPr>
        <w:spacing w:after="120" w:line="240" w:lineRule="auto"/>
        <w:jc w:val="both"/>
        <w:outlineLvl w:val="0"/>
        <w:rPr>
          <w:rFonts w:ascii="Times New Roman" w:hAnsi="Times New Roman"/>
          <w:sz w:val="20"/>
          <w:szCs w:val="20"/>
        </w:rPr>
      </w:pPr>
    </w:p>
    <w:p w:rsidR="006859D5" w:rsidRPr="006859D5" w:rsidRDefault="006859D5" w:rsidP="006859D5">
      <w:pPr>
        <w:spacing w:after="120" w:line="240" w:lineRule="auto"/>
        <w:jc w:val="center"/>
        <w:outlineLvl w:val="0"/>
        <w:rPr>
          <w:rFonts w:ascii="Times New Roman" w:hAnsi="Times New Roman"/>
          <w:sz w:val="20"/>
          <w:szCs w:val="20"/>
        </w:rPr>
      </w:pPr>
      <w:r w:rsidRPr="006859D5">
        <w:rPr>
          <w:rFonts w:ascii="Times New Roman" w:hAnsi="Times New Roman"/>
          <w:noProof/>
          <w:sz w:val="20"/>
          <w:szCs w:val="20"/>
          <w:lang w:val="en-MY" w:eastAsia="en-MY" w:bidi="ar-SA"/>
        </w:rPr>
        <w:drawing>
          <wp:inline distT="0" distB="0" distL="0" distR="0" wp14:anchorId="20970E4B" wp14:editId="5E0C0D77">
            <wp:extent cx="3689986" cy="2194560"/>
            <wp:effectExtent l="19050" t="19050" r="24765"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9986" cy="2194560"/>
                    </a:xfrm>
                    <a:prstGeom prst="rect">
                      <a:avLst/>
                    </a:prstGeom>
                    <a:noFill/>
                    <a:ln w="6350">
                      <a:solidFill>
                        <a:schemeClr val="tx1"/>
                      </a:solidFill>
                    </a:ln>
                  </pic:spPr>
                </pic:pic>
              </a:graphicData>
            </a:graphic>
          </wp:inline>
        </w:drawing>
      </w:r>
    </w:p>
    <w:p w:rsidR="006859D5" w:rsidRPr="006859D5" w:rsidRDefault="006859D5" w:rsidP="006859D5">
      <w:pPr>
        <w:spacing w:after="0" w:line="240" w:lineRule="auto"/>
        <w:ind w:left="851" w:hanging="851"/>
        <w:jc w:val="both"/>
        <w:outlineLvl w:val="0"/>
        <w:rPr>
          <w:rFonts w:ascii="Times New Roman" w:hAnsi="Times New Roman"/>
          <w:sz w:val="20"/>
          <w:szCs w:val="20"/>
        </w:rPr>
      </w:pPr>
      <w:r w:rsidRPr="006859D5">
        <w:rPr>
          <w:rFonts w:ascii="Times New Roman" w:hAnsi="Times New Roman"/>
          <w:sz w:val="20"/>
          <w:szCs w:val="20"/>
        </w:rPr>
        <w:t xml:space="preserve">Figure 1. </w:t>
      </w:r>
      <w:r w:rsidR="0094273E">
        <w:rPr>
          <w:rFonts w:ascii="Times New Roman" w:hAnsi="Times New Roman"/>
          <w:sz w:val="20"/>
          <w:szCs w:val="20"/>
        </w:rPr>
        <w:tab/>
      </w:r>
      <w:r w:rsidRPr="006859D5">
        <w:rPr>
          <w:rFonts w:ascii="Times New Roman" w:hAnsi="Times New Roman"/>
          <w:sz w:val="20"/>
          <w:szCs w:val="20"/>
        </w:rPr>
        <w:t>Effect of reaction temperature on percentage of conversion in esterification of galactose with oleic acid. Conditions: galactose (0.05 mmol), oleic acid (0.1 mmol), DMSO:[Bmim][BF</w:t>
      </w:r>
      <w:r w:rsidRPr="006859D5">
        <w:rPr>
          <w:rFonts w:ascii="Times New Roman" w:hAnsi="Times New Roman"/>
          <w:sz w:val="20"/>
          <w:szCs w:val="20"/>
          <w:vertAlign w:val="subscript"/>
        </w:rPr>
        <w:t>4</w:t>
      </w:r>
      <w:r w:rsidRPr="006859D5">
        <w:rPr>
          <w:rFonts w:ascii="Times New Roman" w:hAnsi="Times New Roman"/>
          <w:sz w:val="20"/>
          <w:szCs w:val="20"/>
        </w:rPr>
        <w:t>] (1:20, 50 μL:1 mL), T1 lipase  (2%, w/w), 2 hours.</w:t>
      </w:r>
    </w:p>
    <w:p w:rsidR="006859D5" w:rsidRDefault="006859D5" w:rsidP="0094273E">
      <w:pPr>
        <w:spacing w:after="120" w:line="240" w:lineRule="auto"/>
        <w:jc w:val="both"/>
        <w:outlineLvl w:val="0"/>
        <w:rPr>
          <w:rFonts w:ascii="Times New Roman" w:hAnsi="Times New Roman"/>
          <w:sz w:val="20"/>
          <w:szCs w:val="20"/>
        </w:rPr>
      </w:pPr>
    </w:p>
    <w:p w:rsidR="0094273E" w:rsidRDefault="0094273E" w:rsidP="0094273E">
      <w:pPr>
        <w:spacing w:after="120" w:line="240" w:lineRule="auto"/>
        <w:jc w:val="both"/>
        <w:outlineLvl w:val="0"/>
        <w:rPr>
          <w:rFonts w:ascii="Times New Roman" w:hAnsi="Times New Roman"/>
          <w:sz w:val="20"/>
          <w:szCs w:val="20"/>
        </w:rPr>
      </w:pPr>
    </w:p>
    <w:p w:rsidR="0094273E" w:rsidRPr="006859D5" w:rsidRDefault="0094273E" w:rsidP="0094273E">
      <w:pPr>
        <w:spacing w:after="120" w:line="240" w:lineRule="auto"/>
        <w:jc w:val="both"/>
        <w:outlineLvl w:val="0"/>
        <w:rPr>
          <w:rFonts w:ascii="Times New Roman" w:hAnsi="Times New Roman"/>
          <w:sz w:val="20"/>
          <w:szCs w:val="20"/>
        </w:rPr>
      </w:pPr>
    </w:p>
    <w:p w:rsidR="006859D5" w:rsidRPr="006859D5" w:rsidRDefault="006859D5" w:rsidP="006859D5">
      <w:pPr>
        <w:spacing w:after="0" w:line="240" w:lineRule="auto"/>
        <w:jc w:val="both"/>
        <w:outlineLvl w:val="0"/>
        <w:rPr>
          <w:rFonts w:ascii="Times New Roman" w:hAnsi="Times New Roman"/>
          <w:b/>
          <w:sz w:val="20"/>
          <w:szCs w:val="20"/>
        </w:rPr>
      </w:pPr>
      <w:r w:rsidRPr="006859D5">
        <w:rPr>
          <w:rFonts w:ascii="Times New Roman" w:hAnsi="Times New Roman"/>
          <w:b/>
          <w:sz w:val="20"/>
          <w:szCs w:val="20"/>
        </w:rPr>
        <w:lastRenderedPageBreak/>
        <w:t>The time profile of the esterification reaction</w:t>
      </w:r>
    </w:p>
    <w:p w:rsid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The time profile of the reaction was studied in the range of 0-240 minutes. Previously, we reported that for esterification of galactose in DMSO:[Bmim][BF</w:t>
      </w:r>
      <w:r w:rsidRPr="006859D5">
        <w:rPr>
          <w:rFonts w:ascii="Times New Roman" w:hAnsi="Times New Roman"/>
          <w:sz w:val="20"/>
          <w:szCs w:val="20"/>
          <w:vertAlign w:val="subscript"/>
        </w:rPr>
        <w:t>4</w:t>
      </w:r>
      <w:r w:rsidRPr="006859D5">
        <w:rPr>
          <w:rFonts w:ascii="Times New Roman" w:hAnsi="Times New Roman"/>
          <w:sz w:val="20"/>
          <w:szCs w:val="20"/>
        </w:rPr>
        <w:t>] (1:20) mixture, the maximum conversion can be achieved within 2 hours and the reaction was followed for up to 4 hours only compared to the usual 72 hours when the reaction was carried out in organic solvent [14]. The percentage of conversion steadily increased as the reaction progress and achieved the maximum conversion at 120 minutes (Figure 2). After 2 hours the conversion started to decrease probably due to the deactivation of the lipase in the presence of very polar DMSO. Various factors affecting enzymes’ activity in organic media have been previously reported such as loss of critical water, decrease flexibility, distortment of active site and disruption of quaternary structure of protein complexes, to name a few [22]. A short reaction time is not only advantageous in term of conserving the catalytic activity of the lipase but at the same time it would provide huge saving in production cost. At only 2 hours reaction time, these conversion rates are very promising as almost all reported enzymatic esterification of sugar ester were done at much longer period. Enzymatic transesterification of vinyl linoleate ester with trehalose was reported to give 64% yield of the sugar ester after 12 days using protease (Bioprase) enzyme in DMF [23] Whereas, glucose palmitate  preparation using Novozyme 435 in [Bmim][PF</w:t>
      </w:r>
      <w:r w:rsidRPr="006859D5">
        <w:rPr>
          <w:rFonts w:ascii="Times New Roman" w:hAnsi="Times New Roman"/>
          <w:sz w:val="20"/>
          <w:szCs w:val="20"/>
          <w:vertAlign w:val="subscript"/>
        </w:rPr>
        <w:t>6</w:t>
      </w:r>
      <w:r w:rsidRPr="006859D5">
        <w:rPr>
          <w:rFonts w:ascii="Times New Roman" w:hAnsi="Times New Roman"/>
          <w:sz w:val="20"/>
          <w:szCs w:val="20"/>
        </w:rPr>
        <w:t>] (with 0.1% water) achieved the best conversion of 77% after 48 h [24].</w:t>
      </w:r>
    </w:p>
    <w:p w:rsidR="0094273E" w:rsidRPr="006859D5" w:rsidRDefault="0094273E" w:rsidP="0094273E">
      <w:pPr>
        <w:spacing w:after="120" w:line="240" w:lineRule="auto"/>
        <w:jc w:val="both"/>
        <w:outlineLvl w:val="0"/>
        <w:rPr>
          <w:rFonts w:ascii="Times New Roman" w:hAnsi="Times New Roman"/>
          <w:sz w:val="20"/>
          <w:szCs w:val="20"/>
        </w:rPr>
      </w:pPr>
    </w:p>
    <w:p w:rsidR="006859D5" w:rsidRPr="006859D5" w:rsidRDefault="006859D5" w:rsidP="0094273E">
      <w:pPr>
        <w:spacing w:after="120" w:line="240" w:lineRule="auto"/>
        <w:jc w:val="center"/>
        <w:outlineLvl w:val="0"/>
        <w:rPr>
          <w:rFonts w:ascii="Times New Roman" w:hAnsi="Times New Roman"/>
          <w:sz w:val="20"/>
          <w:szCs w:val="20"/>
        </w:rPr>
      </w:pPr>
      <w:r w:rsidRPr="006859D5">
        <w:rPr>
          <w:rFonts w:ascii="Times New Roman" w:hAnsi="Times New Roman"/>
          <w:noProof/>
          <w:sz w:val="20"/>
          <w:szCs w:val="20"/>
          <w:lang w:val="en-MY" w:eastAsia="en-MY" w:bidi="ar-SA"/>
        </w:rPr>
        <w:drawing>
          <wp:inline distT="0" distB="0" distL="0" distR="0" wp14:anchorId="25386475" wp14:editId="7F7290BA">
            <wp:extent cx="3785335" cy="2194560"/>
            <wp:effectExtent l="19050" t="19050" r="24765" b="152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85335" cy="2194560"/>
                    </a:xfrm>
                    <a:prstGeom prst="rect">
                      <a:avLst/>
                    </a:prstGeom>
                    <a:noFill/>
                    <a:ln w="6350">
                      <a:solidFill>
                        <a:schemeClr val="tx1"/>
                      </a:solidFill>
                    </a:ln>
                  </pic:spPr>
                </pic:pic>
              </a:graphicData>
            </a:graphic>
          </wp:inline>
        </w:drawing>
      </w:r>
    </w:p>
    <w:p w:rsidR="006859D5" w:rsidRPr="006859D5" w:rsidRDefault="006859D5" w:rsidP="006859D5">
      <w:pPr>
        <w:spacing w:after="0" w:line="240" w:lineRule="auto"/>
        <w:ind w:left="851" w:hanging="851"/>
        <w:jc w:val="both"/>
        <w:outlineLvl w:val="0"/>
        <w:rPr>
          <w:rFonts w:ascii="Times New Roman" w:hAnsi="Times New Roman"/>
          <w:sz w:val="20"/>
          <w:szCs w:val="20"/>
        </w:rPr>
      </w:pPr>
      <w:r w:rsidRPr="006859D5">
        <w:rPr>
          <w:rFonts w:ascii="Times New Roman" w:hAnsi="Times New Roman"/>
          <w:sz w:val="20"/>
          <w:szCs w:val="20"/>
        </w:rPr>
        <w:t xml:space="preserve">Figure 2. </w:t>
      </w:r>
      <w:r w:rsidR="0094273E">
        <w:rPr>
          <w:rFonts w:ascii="Times New Roman" w:hAnsi="Times New Roman"/>
          <w:sz w:val="20"/>
          <w:szCs w:val="20"/>
        </w:rPr>
        <w:tab/>
      </w:r>
      <w:r w:rsidRPr="006859D5">
        <w:rPr>
          <w:rFonts w:ascii="Times New Roman" w:hAnsi="Times New Roman"/>
          <w:sz w:val="20"/>
          <w:szCs w:val="20"/>
        </w:rPr>
        <w:t>The time profile of esterification of galactose with oleic acid. Conditions: galactose (0.05 mmol), oleic acid (0.10 mmol), DMSO:[Bmim][BF</w:t>
      </w:r>
      <w:r w:rsidRPr="006859D5">
        <w:rPr>
          <w:rFonts w:ascii="Times New Roman" w:hAnsi="Times New Roman"/>
          <w:sz w:val="20"/>
          <w:szCs w:val="20"/>
          <w:vertAlign w:val="subscript"/>
        </w:rPr>
        <w:t>4</w:t>
      </w:r>
      <w:r w:rsidRPr="006859D5">
        <w:rPr>
          <w:rFonts w:ascii="Times New Roman" w:hAnsi="Times New Roman"/>
          <w:sz w:val="20"/>
          <w:szCs w:val="20"/>
        </w:rPr>
        <w:t>] (1:20, 50 μL:1 mL), T1 lipase  (2%, w/w), 60 °C.</w:t>
      </w:r>
    </w:p>
    <w:p w:rsidR="006859D5" w:rsidRPr="006859D5" w:rsidRDefault="006859D5" w:rsidP="0094273E">
      <w:pPr>
        <w:spacing w:after="120" w:line="240" w:lineRule="auto"/>
        <w:jc w:val="both"/>
        <w:outlineLvl w:val="0"/>
        <w:rPr>
          <w:rFonts w:ascii="Times New Roman" w:hAnsi="Times New Roman"/>
          <w:sz w:val="20"/>
          <w:szCs w:val="20"/>
        </w:rPr>
      </w:pPr>
    </w:p>
    <w:p w:rsidR="006859D5" w:rsidRPr="006859D5" w:rsidRDefault="006859D5" w:rsidP="006859D5">
      <w:pPr>
        <w:spacing w:after="0" w:line="240" w:lineRule="auto"/>
        <w:jc w:val="both"/>
        <w:outlineLvl w:val="0"/>
        <w:rPr>
          <w:rFonts w:ascii="Times New Roman" w:hAnsi="Times New Roman"/>
          <w:b/>
          <w:sz w:val="20"/>
          <w:szCs w:val="20"/>
        </w:rPr>
      </w:pPr>
      <w:r w:rsidRPr="006859D5">
        <w:rPr>
          <w:rFonts w:ascii="Times New Roman" w:hAnsi="Times New Roman"/>
          <w:b/>
          <w:sz w:val="20"/>
          <w:szCs w:val="20"/>
        </w:rPr>
        <w:t>The effect T1 lipase loading</w:t>
      </w:r>
    </w:p>
    <w:p w:rsidR="006859D5" w:rsidRP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The effect of T1 lipase loading amount was studied by varying the amount of T1 lipase from 1-5% (w/w). It was found that at low loading amount, 1-3% (w/w), the conversion was already optimum in the range of 60-63%. However, when the enzyme loading was increased to 4-5%, the conversion rapidly decreased. As the amount of enzyme is increased more active sites becomes available to accommodate the substrates which resulted in rate increase. However,  above certain value, the number of active sites would exceed the number of available substrates. As a result, further increase in the amount of enzyme would not yield higher rate of conversion   [25,26]. It has also been known that at high enzyme loading the reaction mixture can be quite viscous that enzyme tends to aggregate, and this will reduce the accessibility of the enzyme’s catalytic site to the reactants. The mass transfer limit may have been reached at 3% enzyme loading. Thus, further increase resulted in the decrease of conversion [27]. For the rest of the study, the optimum  enzyme loading of 2% (w/w) was used.</w:t>
      </w:r>
    </w:p>
    <w:p w:rsidR="006859D5" w:rsidRPr="006859D5" w:rsidRDefault="006859D5" w:rsidP="006859D5">
      <w:pPr>
        <w:spacing w:after="0" w:line="240" w:lineRule="auto"/>
        <w:jc w:val="both"/>
        <w:outlineLvl w:val="0"/>
        <w:rPr>
          <w:rFonts w:ascii="Times New Roman" w:hAnsi="Times New Roman"/>
          <w:sz w:val="20"/>
          <w:szCs w:val="20"/>
        </w:rPr>
      </w:pPr>
    </w:p>
    <w:p w:rsidR="006859D5" w:rsidRPr="006859D5" w:rsidRDefault="006859D5" w:rsidP="0094273E">
      <w:pPr>
        <w:spacing w:after="120" w:line="240" w:lineRule="auto"/>
        <w:jc w:val="center"/>
        <w:outlineLvl w:val="0"/>
        <w:rPr>
          <w:rFonts w:ascii="Times New Roman" w:hAnsi="Times New Roman"/>
          <w:sz w:val="20"/>
          <w:szCs w:val="20"/>
        </w:rPr>
      </w:pPr>
      <w:r w:rsidRPr="006859D5">
        <w:rPr>
          <w:rFonts w:ascii="Times New Roman" w:hAnsi="Times New Roman"/>
          <w:noProof/>
          <w:sz w:val="20"/>
          <w:szCs w:val="20"/>
          <w:lang w:val="en-MY" w:eastAsia="en-MY" w:bidi="ar-SA"/>
        </w:rPr>
        <w:lastRenderedPageBreak/>
        <w:drawing>
          <wp:inline distT="0" distB="0" distL="0" distR="0" wp14:anchorId="3B482D6F" wp14:editId="5B03C4C1">
            <wp:extent cx="3130456" cy="2194560"/>
            <wp:effectExtent l="19050" t="19050" r="13335" b="152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0456" cy="2194560"/>
                    </a:xfrm>
                    <a:prstGeom prst="rect">
                      <a:avLst/>
                    </a:prstGeom>
                    <a:noFill/>
                    <a:ln w="6350">
                      <a:solidFill>
                        <a:schemeClr val="tx1"/>
                      </a:solidFill>
                    </a:ln>
                  </pic:spPr>
                </pic:pic>
              </a:graphicData>
            </a:graphic>
          </wp:inline>
        </w:drawing>
      </w:r>
    </w:p>
    <w:p w:rsidR="006859D5" w:rsidRPr="006859D5" w:rsidRDefault="006859D5" w:rsidP="006859D5">
      <w:pPr>
        <w:spacing w:after="0" w:line="240" w:lineRule="auto"/>
        <w:ind w:left="851" w:hanging="851"/>
        <w:jc w:val="both"/>
        <w:outlineLvl w:val="0"/>
        <w:rPr>
          <w:rFonts w:ascii="Times New Roman" w:hAnsi="Times New Roman"/>
          <w:sz w:val="20"/>
          <w:szCs w:val="20"/>
        </w:rPr>
      </w:pPr>
      <w:r w:rsidRPr="006859D5">
        <w:rPr>
          <w:rFonts w:ascii="Times New Roman" w:hAnsi="Times New Roman"/>
          <w:sz w:val="20"/>
          <w:szCs w:val="20"/>
        </w:rPr>
        <w:t xml:space="preserve">Figure 3. </w:t>
      </w:r>
      <w:r w:rsidR="0094273E">
        <w:rPr>
          <w:rFonts w:ascii="Times New Roman" w:hAnsi="Times New Roman"/>
          <w:sz w:val="20"/>
          <w:szCs w:val="20"/>
        </w:rPr>
        <w:tab/>
      </w:r>
      <w:r w:rsidRPr="006859D5">
        <w:rPr>
          <w:rFonts w:ascii="Times New Roman" w:hAnsi="Times New Roman"/>
          <w:sz w:val="20"/>
          <w:szCs w:val="20"/>
        </w:rPr>
        <w:t>Effect of enzyme loading on percentage of conversion in esterification of galactose with oleic acid. Conditions: galactose</w:t>
      </w:r>
      <w:r w:rsidR="0094273E">
        <w:rPr>
          <w:rFonts w:ascii="Times New Roman" w:hAnsi="Times New Roman"/>
          <w:sz w:val="20"/>
          <w:szCs w:val="20"/>
        </w:rPr>
        <w:t xml:space="preserve"> </w:t>
      </w:r>
      <w:r w:rsidRPr="006859D5">
        <w:rPr>
          <w:rFonts w:ascii="Times New Roman" w:hAnsi="Times New Roman"/>
          <w:sz w:val="20"/>
          <w:szCs w:val="20"/>
        </w:rPr>
        <w:t xml:space="preserve"> (0.05 mmol),</w:t>
      </w:r>
      <w:r w:rsidR="0094273E">
        <w:rPr>
          <w:rFonts w:ascii="Times New Roman" w:hAnsi="Times New Roman"/>
          <w:sz w:val="20"/>
          <w:szCs w:val="20"/>
        </w:rPr>
        <w:t xml:space="preserve"> </w:t>
      </w:r>
      <w:r w:rsidRPr="006859D5">
        <w:rPr>
          <w:rFonts w:ascii="Times New Roman" w:hAnsi="Times New Roman"/>
          <w:sz w:val="20"/>
          <w:szCs w:val="20"/>
        </w:rPr>
        <w:t xml:space="preserve"> oleic acid (0.10 mmol), DMSO:[Bmim][BF</w:t>
      </w:r>
      <w:r w:rsidRPr="006859D5">
        <w:rPr>
          <w:rFonts w:ascii="Times New Roman" w:hAnsi="Times New Roman"/>
          <w:sz w:val="20"/>
          <w:szCs w:val="20"/>
          <w:vertAlign w:val="subscript"/>
        </w:rPr>
        <w:t>4</w:t>
      </w:r>
      <w:r w:rsidRPr="006859D5">
        <w:rPr>
          <w:rFonts w:ascii="Times New Roman" w:hAnsi="Times New Roman"/>
          <w:sz w:val="20"/>
          <w:szCs w:val="20"/>
        </w:rPr>
        <w:t xml:space="preserve">] (1:20, 50 μL:1 mL), 60 °C, 2 hours. </w:t>
      </w:r>
    </w:p>
    <w:p w:rsidR="006859D5" w:rsidRPr="006859D5" w:rsidRDefault="006859D5" w:rsidP="0094273E">
      <w:pPr>
        <w:spacing w:after="120" w:line="240" w:lineRule="auto"/>
        <w:jc w:val="both"/>
        <w:outlineLvl w:val="0"/>
        <w:rPr>
          <w:rFonts w:ascii="Times New Roman" w:hAnsi="Times New Roman"/>
          <w:b/>
          <w:sz w:val="20"/>
          <w:szCs w:val="20"/>
        </w:rPr>
      </w:pPr>
    </w:p>
    <w:p w:rsidR="006859D5" w:rsidRPr="006859D5" w:rsidRDefault="006859D5" w:rsidP="006859D5">
      <w:pPr>
        <w:spacing w:after="0" w:line="240" w:lineRule="auto"/>
        <w:jc w:val="both"/>
        <w:outlineLvl w:val="0"/>
        <w:rPr>
          <w:rFonts w:ascii="Times New Roman" w:hAnsi="Times New Roman"/>
          <w:b/>
          <w:sz w:val="20"/>
          <w:szCs w:val="20"/>
        </w:rPr>
      </w:pPr>
      <w:r w:rsidRPr="006859D5">
        <w:rPr>
          <w:rFonts w:ascii="Times New Roman" w:hAnsi="Times New Roman"/>
          <w:b/>
          <w:sz w:val="20"/>
          <w:szCs w:val="20"/>
        </w:rPr>
        <w:t>The effect of fatty acids chain length</w:t>
      </w:r>
    </w:p>
    <w:p w:rsidR="006859D5" w:rsidRP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In the galactose esterification reaction, different aliphatic fatty acids with varying length and unsaturation level [levulinic acid (C5), caprylic (C8), lauric (C12), oleic (C18:1) and linoleic acid (C18:2)] were utilized to investigate the selectivity and specificity of T1 lipase. It was found that esterification with the shortest fatty acid, levulinic acid was the least favored at only 28% conversion (Figure 4). The conversions were more favorable for longer chain acids, C8 – C18 at 51 – 62%. However, lower conversion for lauric acid (C12) at 51% compared to caprylic (C8, 62%), oleic (C18:1, 62%) or linoleic acid (C18:2, 64%) was more likely due to high viscosity of the reaction mixture as lauric acid exist as solid at room temperature (m.p. 44-45°C) [28] while the other fatty acids are liquids. Higher viscosity may result in higher friction against enzymes molecule and decrease motion thus inhibiting catalysis [29]. Similarly, levulinic acid also exists as solid at room temperature which may also account for the low conversion. Previous work has reported that when comparing the activity of various lipases (Novozyme 435, Lipozyme TL IM, Lipozyme RM IM, and immobilized CRL) for esterification of levulinic acid in [Bmim][PF</w:t>
      </w:r>
      <w:r w:rsidRPr="006859D5">
        <w:rPr>
          <w:rFonts w:ascii="Times New Roman" w:hAnsi="Times New Roman"/>
          <w:sz w:val="20"/>
          <w:szCs w:val="20"/>
          <w:vertAlign w:val="subscript"/>
        </w:rPr>
        <w:t>6</w:t>
      </w:r>
      <w:r w:rsidRPr="006859D5">
        <w:rPr>
          <w:rFonts w:ascii="Times New Roman" w:hAnsi="Times New Roman"/>
          <w:sz w:val="20"/>
          <w:szCs w:val="20"/>
        </w:rPr>
        <w:t xml:space="preserve">], only Novozyme 435 showed good activity [30]. This suggests that levulinic acid is not a favorable substrate for many lipases and not just T1 lipase.  Although, levulinic acid as a keto acid, did not really fit well as substrate of choice to investigate the effect of acid’s length, we were interested to see whether enzymatic esterification of levulinic acid can be done using T1 lipase in IL as part of our study on production of biofuel [31]. For its hydrolytic activity, T1 lipase has been shown previously favor medium to long chain fatty acids (C10 – C14) [32] and it seemed that for esterification the chain length can be extended further. </w:t>
      </w:r>
    </w:p>
    <w:p w:rsidR="006859D5" w:rsidRDefault="006859D5"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Default="0094273E" w:rsidP="006859D5">
      <w:pPr>
        <w:spacing w:after="0" w:line="240" w:lineRule="auto"/>
        <w:jc w:val="both"/>
        <w:outlineLvl w:val="0"/>
        <w:rPr>
          <w:rFonts w:ascii="Times New Roman" w:hAnsi="Times New Roman"/>
          <w:sz w:val="20"/>
          <w:szCs w:val="20"/>
        </w:rPr>
      </w:pPr>
    </w:p>
    <w:p w:rsidR="0094273E" w:rsidRPr="006859D5" w:rsidRDefault="0094273E" w:rsidP="006859D5">
      <w:pPr>
        <w:spacing w:after="0" w:line="240" w:lineRule="auto"/>
        <w:jc w:val="both"/>
        <w:outlineLvl w:val="0"/>
        <w:rPr>
          <w:rFonts w:ascii="Times New Roman" w:hAnsi="Times New Roman"/>
          <w:sz w:val="20"/>
          <w:szCs w:val="20"/>
        </w:rPr>
      </w:pPr>
    </w:p>
    <w:p w:rsidR="006859D5" w:rsidRPr="006859D5" w:rsidRDefault="0094273E" w:rsidP="0094273E">
      <w:pPr>
        <w:spacing w:after="120" w:line="240" w:lineRule="auto"/>
        <w:jc w:val="both"/>
        <w:outlineLvl w:val="0"/>
        <w:rPr>
          <w:rFonts w:ascii="Times New Roman" w:hAnsi="Times New Roman"/>
          <w:sz w:val="20"/>
          <w:szCs w:val="20"/>
        </w:rPr>
      </w:pPr>
      <w:r>
        <w:rPr>
          <w:rFonts w:ascii="Times New Roman" w:hAnsi="Times New Roman"/>
          <w:sz w:val="20"/>
          <w:szCs w:val="20"/>
        </w:rPr>
        <w:t xml:space="preserve">                                    </w:t>
      </w:r>
      <w:r w:rsidRPr="006859D5">
        <w:rPr>
          <w:rFonts w:ascii="Times New Roman" w:hAnsi="Times New Roman"/>
          <w:noProof/>
          <w:sz w:val="20"/>
          <w:szCs w:val="20"/>
          <w:lang w:val="en-MY" w:eastAsia="en-MY" w:bidi="ar-SA"/>
        </w:rPr>
        <w:drawing>
          <wp:inline distT="0" distB="0" distL="0" distR="0" wp14:anchorId="0D730942" wp14:editId="1136D82F">
            <wp:extent cx="3618000" cy="2160000"/>
            <wp:effectExtent l="0" t="0" r="1905" b="1206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859D5" w:rsidRPr="006859D5" w:rsidRDefault="006859D5" w:rsidP="006859D5">
      <w:pPr>
        <w:spacing w:after="0" w:line="240" w:lineRule="auto"/>
        <w:ind w:left="851" w:hanging="851"/>
        <w:jc w:val="both"/>
        <w:outlineLvl w:val="0"/>
        <w:rPr>
          <w:rFonts w:ascii="Times New Roman" w:hAnsi="Times New Roman"/>
          <w:sz w:val="20"/>
          <w:szCs w:val="20"/>
        </w:rPr>
      </w:pPr>
      <w:r w:rsidRPr="006859D5">
        <w:rPr>
          <w:rFonts w:ascii="Times New Roman" w:hAnsi="Times New Roman"/>
          <w:sz w:val="20"/>
          <w:szCs w:val="20"/>
        </w:rPr>
        <w:t xml:space="preserve">Figure 4. </w:t>
      </w:r>
      <w:r w:rsidR="0094273E">
        <w:rPr>
          <w:rFonts w:ascii="Times New Roman" w:hAnsi="Times New Roman"/>
          <w:sz w:val="20"/>
          <w:szCs w:val="20"/>
        </w:rPr>
        <w:tab/>
      </w:r>
      <w:r w:rsidRPr="006859D5">
        <w:rPr>
          <w:rFonts w:ascii="Times New Roman" w:hAnsi="Times New Roman"/>
          <w:sz w:val="20"/>
          <w:szCs w:val="20"/>
        </w:rPr>
        <w:t xml:space="preserve">Effect of acyl donor on percentage of conversion in esterification of galactose with oleic acid. Conditions: </w:t>
      </w:r>
      <w:r w:rsidR="0094273E">
        <w:rPr>
          <w:rFonts w:ascii="Times New Roman" w:hAnsi="Times New Roman"/>
          <w:sz w:val="20"/>
          <w:szCs w:val="20"/>
        </w:rPr>
        <w:t xml:space="preserve">  </w:t>
      </w:r>
      <w:r w:rsidRPr="006859D5">
        <w:rPr>
          <w:rFonts w:ascii="Times New Roman" w:hAnsi="Times New Roman"/>
          <w:sz w:val="20"/>
          <w:szCs w:val="20"/>
        </w:rPr>
        <w:t xml:space="preserve"> (0.05 mmol), oleic acid (0.10 mmol), DMSO:[Bmim][BF</w:t>
      </w:r>
      <w:r w:rsidRPr="006859D5">
        <w:rPr>
          <w:rFonts w:ascii="Times New Roman" w:hAnsi="Times New Roman"/>
          <w:sz w:val="20"/>
          <w:szCs w:val="20"/>
          <w:vertAlign w:val="subscript"/>
        </w:rPr>
        <w:t>4</w:t>
      </w:r>
      <w:r w:rsidRPr="006859D5">
        <w:rPr>
          <w:rFonts w:ascii="Times New Roman" w:hAnsi="Times New Roman"/>
          <w:sz w:val="20"/>
          <w:szCs w:val="20"/>
        </w:rPr>
        <w:t xml:space="preserve">] (1:20, 50 μL:1 mL), T1 lipase  (2% (w/w), 60 °C, 2 hours. </w:t>
      </w:r>
    </w:p>
    <w:p w:rsidR="006859D5" w:rsidRPr="006859D5" w:rsidRDefault="006859D5" w:rsidP="0094273E">
      <w:pPr>
        <w:spacing w:after="120" w:line="240" w:lineRule="auto"/>
        <w:jc w:val="both"/>
        <w:outlineLvl w:val="0"/>
        <w:rPr>
          <w:rFonts w:ascii="Times New Roman" w:hAnsi="Times New Roman"/>
          <w:sz w:val="20"/>
          <w:szCs w:val="20"/>
        </w:rPr>
      </w:pPr>
    </w:p>
    <w:p w:rsidR="006859D5" w:rsidRPr="006859D5" w:rsidRDefault="006859D5" w:rsidP="006859D5">
      <w:pPr>
        <w:spacing w:after="0" w:line="240" w:lineRule="auto"/>
        <w:jc w:val="both"/>
        <w:outlineLvl w:val="0"/>
        <w:rPr>
          <w:rFonts w:ascii="Times New Roman" w:hAnsi="Times New Roman"/>
          <w:b/>
          <w:sz w:val="20"/>
          <w:szCs w:val="20"/>
        </w:rPr>
      </w:pPr>
      <w:r w:rsidRPr="006859D5">
        <w:rPr>
          <w:rFonts w:ascii="Times New Roman" w:hAnsi="Times New Roman"/>
          <w:b/>
          <w:sz w:val="20"/>
          <w:szCs w:val="20"/>
        </w:rPr>
        <w:t>The effect of acyl acceptor</w:t>
      </w:r>
    </w:p>
    <w:p w:rsidR="006859D5" w:rsidRPr="006859D5" w:rsidRDefault="006859D5" w:rsidP="006859D5">
      <w:pPr>
        <w:spacing w:after="0" w:line="240" w:lineRule="auto"/>
        <w:jc w:val="both"/>
        <w:outlineLvl w:val="0"/>
        <w:rPr>
          <w:rFonts w:ascii="Times New Roman" w:hAnsi="Times New Roman"/>
          <w:sz w:val="20"/>
          <w:szCs w:val="20"/>
        </w:rPr>
      </w:pPr>
      <w:r w:rsidRPr="006859D5">
        <w:rPr>
          <w:rFonts w:ascii="Times New Roman" w:hAnsi="Times New Roman"/>
          <w:sz w:val="20"/>
          <w:szCs w:val="20"/>
        </w:rPr>
        <w:t>In order to investigate the sugar preference of T1 lipase, esterification of linoleic acid with various sugars (glucose, fructose, sucrose, maltose, trehalose, xylitol and galactose) were carried out. Linoleic acid was chosen as the acyl donor in this study as it gave the best conversion in the study of the effect of fatty acid length previously. All monosaccharide’s (glucose, fructose and galactose) gave moderate conversion at above 54%</w:t>
      </w:r>
      <w:r w:rsidR="0094273E">
        <w:rPr>
          <w:rFonts w:ascii="Times New Roman" w:hAnsi="Times New Roman"/>
          <w:sz w:val="20"/>
          <w:szCs w:val="20"/>
        </w:rPr>
        <w:t xml:space="preserve"> (Figure 5)</w:t>
      </w:r>
      <w:r w:rsidRPr="006859D5">
        <w:rPr>
          <w:rFonts w:ascii="Times New Roman" w:hAnsi="Times New Roman"/>
          <w:sz w:val="20"/>
          <w:szCs w:val="20"/>
        </w:rPr>
        <w:t xml:space="preserve">. The non-reducing disaccharides, sucrose and trehalose, gave better conversion than maltose (a reducing disaccharides), with sucrose exhibited the best conversion at 65%. Xylitol (a sugar alcohol) which would have better solubility in ILs than mono- and disaccharides, gave moderate conversion of 57%. These results showed that T1 lipase has no specificity for monosaccharides, disaccharides or sugar alcohol as the conversions were all above 45%. T1 lipase has also exhibited broad substrate specificity for its hydrolytic ability that it was able to degrade amorphous plastics as well as oils [33]. Only maltose gave slightly poorer conversion. </w:t>
      </w:r>
    </w:p>
    <w:p w:rsidR="006859D5" w:rsidRPr="006859D5" w:rsidRDefault="006859D5" w:rsidP="001A7D58">
      <w:pPr>
        <w:spacing w:after="120" w:line="240" w:lineRule="auto"/>
        <w:jc w:val="both"/>
        <w:outlineLvl w:val="0"/>
        <w:rPr>
          <w:rFonts w:ascii="Times New Roman" w:hAnsi="Times New Roman"/>
          <w:sz w:val="20"/>
          <w:szCs w:val="20"/>
        </w:rPr>
      </w:pPr>
    </w:p>
    <w:p w:rsidR="006859D5" w:rsidRPr="006859D5" w:rsidRDefault="006859D5" w:rsidP="0094273E">
      <w:pPr>
        <w:spacing w:after="120" w:line="240" w:lineRule="auto"/>
        <w:jc w:val="center"/>
        <w:outlineLvl w:val="0"/>
        <w:rPr>
          <w:rFonts w:ascii="Times New Roman" w:hAnsi="Times New Roman"/>
          <w:sz w:val="20"/>
          <w:szCs w:val="20"/>
        </w:rPr>
      </w:pPr>
      <w:r w:rsidRPr="006859D5">
        <w:rPr>
          <w:rFonts w:ascii="Times New Roman" w:hAnsi="Times New Roman"/>
          <w:noProof/>
          <w:sz w:val="20"/>
          <w:szCs w:val="20"/>
          <w:lang w:val="en-MY" w:eastAsia="en-MY" w:bidi="ar-SA"/>
        </w:rPr>
        <w:drawing>
          <wp:inline distT="0" distB="0" distL="0" distR="0" wp14:anchorId="3A52BD0E" wp14:editId="132B8DFE">
            <wp:extent cx="3129662" cy="2194560"/>
            <wp:effectExtent l="19050" t="19050" r="13970" b="152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29662" cy="2194560"/>
                    </a:xfrm>
                    <a:prstGeom prst="rect">
                      <a:avLst/>
                    </a:prstGeom>
                    <a:noFill/>
                    <a:ln w="6350">
                      <a:solidFill>
                        <a:schemeClr val="tx1"/>
                      </a:solidFill>
                    </a:ln>
                  </pic:spPr>
                </pic:pic>
              </a:graphicData>
            </a:graphic>
          </wp:inline>
        </w:drawing>
      </w:r>
    </w:p>
    <w:p w:rsidR="006859D5" w:rsidRPr="006859D5" w:rsidRDefault="006859D5" w:rsidP="006859D5">
      <w:pPr>
        <w:spacing w:after="0" w:line="240" w:lineRule="auto"/>
        <w:ind w:left="851" w:hanging="851"/>
        <w:jc w:val="both"/>
        <w:outlineLvl w:val="0"/>
        <w:rPr>
          <w:rFonts w:ascii="Times New Roman" w:hAnsi="Times New Roman"/>
          <w:sz w:val="20"/>
          <w:szCs w:val="20"/>
        </w:rPr>
      </w:pPr>
      <w:r w:rsidRPr="006859D5">
        <w:rPr>
          <w:rFonts w:ascii="Times New Roman" w:hAnsi="Times New Roman"/>
          <w:sz w:val="20"/>
          <w:szCs w:val="20"/>
        </w:rPr>
        <w:t xml:space="preserve">Figure 5. </w:t>
      </w:r>
      <w:r w:rsidR="0094273E">
        <w:rPr>
          <w:rFonts w:ascii="Times New Roman" w:hAnsi="Times New Roman"/>
          <w:sz w:val="20"/>
          <w:szCs w:val="20"/>
        </w:rPr>
        <w:tab/>
      </w:r>
      <w:r w:rsidRPr="006859D5">
        <w:rPr>
          <w:rFonts w:ascii="Times New Roman" w:hAnsi="Times New Roman"/>
          <w:sz w:val="20"/>
          <w:szCs w:val="20"/>
        </w:rPr>
        <w:t>Effect of acyl donor on percentage of conversion in esterification of linoleic acid with various sugars. Conditions: sugar (0.05 mmol), oleic acid (0.10 mmol), DMSO:[Bmim][BF</w:t>
      </w:r>
      <w:r w:rsidRPr="006859D5">
        <w:rPr>
          <w:rFonts w:ascii="Times New Roman" w:hAnsi="Times New Roman"/>
          <w:sz w:val="20"/>
          <w:szCs w:val="20"/>
          <w:vertAlign w:val="subscript"/>
        </w:rPr>
        <w:t>4</w:t>
      </w:r>
      <w:r w:rsidRPr="006859D5">
        <w:rPr>
          <w:rFonts w:ascii="Times New Roman" w:hAnsi="Times New Roman"/>
          <w:sz w:val="20"/>
          <w:szCs w:val="20"/>
        </w:rPr>
        <w:t xml:space="preserve">] (1:20, 50 μL:1 mL), T1 lipase  (2% (w/w), 60 °C, 2 hours. </w:t>
      </w:r>
    </w:p>
    <w:p w:rsidR="006768E9" w:rsidRDefault="006768E9" w:rsidP="006859D5">
      <w:pPr>
        <w:spacing w:after="0" w:line="240" w:lineRule="auto"/>
        <w:jc w:val="center"/>
        <w:rPr>
          <w:rFonts w:ascii="Times New Roman" w:hAnsi="Times New Roman"/>
          <w:noProof/>
          <w:sz w:val="20"/>
          <w:szCs w:val="20"/>
          <w:lang w:bidi="ar-SA"/>
        </w:rPr>
      </w:pPr>
    </w:p>
    <w:p w:rsidR="001A7D58" w:rsidRDefault="001A7D58" w:rsidP="001A7D58">
      <w:pPr>
        <w:spacing w:after="0" w:line="240" w:lineRule="auto"/>
        <w:jc w:val="both"/>
        <w:outlineLvl w:val="0"/>
        <w:rPr>
          <w:rFonts w:ascii="Times New Roman" w:hAnsi="Times New Roman"/>
          <w:sz w:val="20"/>
          <w:szCs w:val="20"/>
        </w:rPr>
      </w:pPr>
      <w:r w:rsidRPr="006859D5">
        <w:rPr>
          <w:rFonts w:ascii="Times New Roman" w:hAnsi="Times New Roman"/>
          <w:sz w:val="20"/>
          <w:szCs w:val="20"/>
        </w:rPr>
        <w:lastRenderedPageBreak/>
        <w:t xml:space="preserve">Enzymatic transesterification of maltose has previously been achieved in good yield in organic solvents and using various lipases; </w:t>
      </w:r>
      <w:r w:rsidRPr="006859D5">
        <w:rPr>
          <w:rFonts w:ascii="Times New Roman" w:hAnsi="Times New Roman"/>
          <w:i/>
          <w:sz w:val="20"/>
          <w:szCs w:val="20"/>
        </w:rPr>
        <w:t>tert</w:t>
      </w:r>
      <w:r w:rsidRPr="006859D5">
        <w:rPr>
          <w:rFonts w:ascii="Times New Roman" w:hAnsi="Times New Roman"/>
          <w:sz w:val="20"/>
          <w:szCs w:val="20"/>
        </w:rPr>
        <w:t xml:space="preserve">-butanol/DMSO, lipase from </w:t>
      </w:r>
      <w:r w:rsidRPr="006859D5">
        <w:rPr>
          <w:rFonts w:ascii="Times New Roman" w:hAnsi="Times New Roman"/>
          <w:i/>
          <w:sz w:val="20"/>
          <w:szCs w:val="20"/>
        </w:rPr>
        <w:t>Humicola lanuginosa</w:t>
      </w:r>
      <w:r w:rsidRPr="006859D5">
        <w:rPr>
          <w:rFonts w:ascii="Times New Roman" w:hAnsi="Times New Roman"/>
          <w:sz w:val="20"/>
          <w:szCs w:val="20"/>
        </w:rPr>
        <w:t xml:space="preserve"> (immobilized on Celite) [34]; </w:t>
      </w:r>
      <w:r w:rsidRPr="006859D5">
        <w:rPr>
          <w:rFonts w:ascii="Times New Roman" w:hAnsi="Times New Roman" w:hint="eastAsia"/>
          <w:sz w:val="20"/>
          <w:szCs w:val="20"/>
        </w:rPr>
        <w:t>tert</w:t>
      </w:r>
      <w:r w:rsidRPr="006859D5">
        <w:rPr>
          <w:rFonts w:ascii="Times New Roman" w:hAnsi="Times New Roman"/>
          <w:sz w:val="20"/>
          <w:szCs w:val="20"/>
        </w:rPr>
        <w:t>-</w:t>
      </w:r>
      <w:r w:rsidRPr="006859D5">
        <w:rPr>
          <w:rFonts w:ascii="Times New Roman" w:hAnsi="Times New Roman" w:hint="eastAsia"/>
          <w:sz w:val="20"/>
          <w:szCs w:val="20"/>
        </w:rPr>
        <w:t>but</w:t>
      </w:r>
      <w:r w:rsidRPr="006859D5">
        <w:rPr>
          <w:rFonts w:ascii="Times New Roman" w:hAnsi="Times New Roman"/>
          <w:sz w:val="20"/>
          <w:szCs w:val="20"/>
        </w:rPr>
        <w:t xml:space="preserve">anol, </w:t>
      </w:r>
      <w:r w:rsidRPr="006859D5">
        <w:rPr>
          <w:rFonts w:ascii="Times New Roman" w:hAnsi="Times New Roman" w:hint="eastAsia"/>
          <w:i/>
          <w:sz w:val="20"/>
          <w:szCs w:val="20"/>
        </w:rPr>
        <w:t>C</w:t>
      </w:r>
      <w:r w:rsidRPr="006859D5">
        <w:rPr>
          <w:rFonts w:ascii="Times New Roman" w:hAnsi="Times New Roman"/>
          <w:i/>
          <w:sz w:val="20"/>
          <w:szCs w:val="20"/>
        </w:rPr>
        <w:t>.</w:t>
      </w:r>
      <w:r w:rsidRPr="006859D5">
        <w:rPr>
          <w:rFonts w:ascii="Times New Roman" w:hAnsi="Times New Roman" w:hint="eastAsia"/>
          <w:i/>
          <w:sz w:val="20"/>
          <w:szCs w:val="20"/>
        </w:rPr>
        <w:t xml:space="preserve"> antarctica</w:t>
      </w:r>
      <w:r w:rsidRPr="006859D5">
        <w:rPr>
          <w:rFonts w:ascii="Times New Roman" w:hAnsi="Times New Roman" w:hint="eastAsia"/>
          <w:sz w:val="20"/>
          <w:szCs w:val="20"/>
        </w:rPr>
        <w:t xml:space="preserve"> lipase </w:t>
      </w:r>
      <w:r w:rsidRPr="006859D5">
        <w:rPr>
          <w:rFonts w:ascii="Times New Roman" w:hAnsi="Times New Roman"/>
          <w:sz w:val="20"/>
          <w:szCs w:val="20"/>
        </w:rPr>
        <w:t xml:space="preserve"> [35]; acetone/n-hexane,</w:t>
      </w:r>
      <w:r w:rsidRPr="006859D5">
        <w:rPr>
          <w:sz w:val="20"/>
          <w:szCs w:val="20"/>
        </w:rPr>
        <w:t xml:space="preserve"> </w:t>
      </w:r>
      <w:r w:rsidRPr="006859D5">
        <w:rPr>
          <w:rFonts w:ascii="Times New Roman" w:hAnsi="Times New Roman"/>
          <w:i/>
          <w:sz w:val="20"/>
          <w:szCs w:val="20"/>
        </w:rPr>
        <w:t>C. antarctica lipase</w:t>
      </w:r>
      <w:r w:rsidRPr="006859D5">
        <w:rPr>
          <w:rFonts w:ascii="Times New Roman" w:hAnsi="Times New Roman"/>
          <w:sz w:val="20"/>
          <w:szCs w:val="20"/>
        </w:rPr>
        <w:t xml:space="preserve"> B (Novozyme 435) [36]. Poorer yield for maltose esterification (21.9%) with acrylic acid in </w:t>
      </w:r>
      <w:r w:rsidRPr="006859D5">
        <w:rPr>
          <w:rFonts w:ascii="Times New Roman" w:hAnsi="Times New Roman"/>
          <w:i/>
          <w:sz w:val="20"/>
          <w:szCs w:val="20"/>
        </w:rPr>
        <w:t>tert</w:t>
      </w:r>
      <w:r w:rsidRPr="006859D5">
        <w:rPr>
          <w:rFonts w:ascii="Times New Roman" w:hAnsi="Times New Roman"/>
          <w:sz w:val="20"/>
          <w:szCs w:val="20"/>
        </w:rPr>
        <w:t xml:space="preserve">-butanol was reported by </w:t>
      </w:r>
      <w:r w:rsidRPr="006859D5">
        <w:rPr>
          <w:rFonts w:ascii="Times New Roman" w:hAnsi="Times New Roman" w:hint="eastAsia"/>
          <w:sz w:val="20"/>
          <w:szCs w:val="20"/>
        </w:rPr>
        <w:t xml:space="preserve">Tsukamoto </w:t>
      </w:r>
      <w:r w:rsidRPr="006859D5">
        <w:rPr>
          <w:rFonts w:ascii="Times New Roman" w:hAnsi="Times New Roman"/>
          <w:iCs/>
          <w:sz w:val="20"/>
          <w:szCs w:val="20"/>
        </w:rPr>
        <w:t>et al.</w:t>
      </w:r>
      <w:r w:rsidRPr="006859D5">
        <w:rPr>
          <w:rFonts w:ascii="Times New Roman" w:hAnsi="Times New Roman"/>
          <w:sz w:val="20"/>
          <w:szCs w:val="20"/>
        </w:rPr>
        <w:t xml:space="preserve"> when glucose (80.3%) and fructose (64%) fared better using immobilized </w:t>
      </w:r>
      <w:r w:rsidRPr="006859D5">
        <w:rPr>
          <w:rFonts w:ascii="Times New Roman" w:hAnsi="Times New Roman"/>
          <w:i/>
          <w:sz w:val="20"/>
          <w:szCs w:val="20"/>
        </w:rPr>
        <w:t>C. antarctica lipase</w:t>
      </w:r>
      <w:r w:rsidRPr="006859D5">
        <w:rPr>
          <w:rFonts w:ascii="Times New Roman" w:hAnsi="Times New Roman"/>
          <w:sz w:val="20"/>
          <w:szCs w:val="20"/>
        </w:rPr>
        <w:t xml:space="preserve"> B [37]. However, there is limited report on enzymatic esterification or transesterification of maltose in ILs. Most enzymatic preparation of sugar esters utilized immobilized lipase and it is useful to note that we are reporting the use of free lipase for similar work. This shows that T1 lipase has good stability for organic transformation on par with commercial immobilized lipase.</w:t>
      </w:r>
    </w:p>
    <w:p w:rsidR="0094273E" w:rsidRPr="00F447A7" w:rsidRDefault="0094273E" w:rsidP="006859D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1A7D58" w:rsidRDefault="001A7D58" w:rsidP="001A7D58">
      <w:pPr>
        <w:spacing w:after="0" w:line="240" w:lineRule="auto"/>
        <w:jc w:val="both"/>
        <w:outlineLvl w:val="0"/>
        <w:rPr>
          <w:rFonts w:ascii="Times New Roman" w:hAnsi="Times New Roman"/>
          <w:sz w:val="20"/>
          <w:szCs w:val="20"/>
        </w:rPr>
      </w:pPr>
      <w:r w:rsidRPr="001A7D58">
        <w:rPr>
          <w:rFonts w:ascii="Times New Roman" w:hAnsi="Times New Roman"/>
          <w:sz w:val="20"/>
          <w:szCs w:val="20"/>
        </w:rPr>
        <w:t>Successful enzymatic esterification of sugars in IL using thermostable T1 lipase with various fatty acid has been reported. Optimum temperature for T1 lipase in this work was like previous report. We can conclude that T1 lipase has the potential to synthesize sugar ester at or above 60 °C for short time incubation in ILs as reaction media, and T1 lipase exhibited broad specificity either for the sugars or fatty acids which is good for future commercial application of T1 lipase.</w:t>
      </w:r>
    </w:p>
    <w:p w:rsidR="001A7D58" w:rsidRPr="001A7D58" w:rsidRDefault="001A7D58" w:rsidP="001A7D58">
      <w:pPr>
        <w:spacing w:after="0" w:line="240" w:lineRule="auto"/>
        <w:jc w:val="center"/>
        <w:outlineLvl w:val="0"/>
        <w:rPr>
          <w:rFonts w:ascii="Times New Roman" w:hAnsi="Times New Roman"/>
          <w:sz w:val="20"/>
          <w:szCs w:val="20"/>
        </w:rPr>
      </w:pPr>
    </w:p>
    <w:p w:rsidR="001A7D58" w:rsidRPr="001A7D58" w:rsidRDefault="001A7D58" w:rsidP="001A7D58">
      <w:pPr>
        <w:spacing w:after="0" w:line="240" w:lineRule="auto"/>
        <w:jc w:val="center"/>
        <w:outlineLvl w:val="0"/>
        <w:rPr>
          <w:rFonts w:ascii="Times New Roman" w:hAnsi="Times New Roman"/>
          <w:b/>
          <w:sz w:val="20"/>
          <w:szCs w:val="20"/>
        </w:rPr>
      </w:pPr>
      <w:r w:rsidRPr="001A7D58">
        <w:rPr>
          <w:rFonts w:ascii="Times New Roman" w:hAnsi="Times New Roman"/>
          <w:b/>
          <w:sz w:val="20"/>
          <w:szCs w:val="20"/>
        </w:rPr>
        <w:t>Acknowledgement</w:t>
      </w:r>
    </w:p>
    <w:p w:rsidR="006768E9" w:rsidRPr="00F447A7" w:rsidRDefault="001A7D58" w:rsidP="001A7D58">
      <w:pPr>
        <w:spacing w:after="0" w:line="240" w:lineRule="auto"/>
        <w:jc w:val="both"/>
        <w:outlineLvl w:val="0"/>
        <w:rPr>
          <w:rFonts w:ascii="Times New Roman" w:hAnsi="Times New Roman"/>
          <w:sz w:val="20"/>
          <w:szCs w:val="20"/>
        </w:rPr>
      </w:pPr>
      <w:r w:rsidRPr="001A7D58">
        <w:rPr>
          <w:rFonts w:ascii="Times New Roman" w:hAnsi="Times New Roman"/>
          <w:sz w:val="20"/>
          <w:szCs w:val="20"/>
        </w:rPr>
        <w:t>This project was supported by the Ministry of Science, Technology and Innovation, Malaysia under Exploratory Research Grant Scheme ERGS/1/11/STG/UPM/03/11 with Vot. number 5527054.</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Leow, T. C., Rahman, R. N. Z. R. A., Basri, M. and Salleh, A. B. (2004). High level expression of thermostable lipase from </w:t>
      </w:r>
      <w:r w:rsidRPr="001A7D58">
        <w:rPr>
          <w:rFonts w:ascii="Times New Roman" w:hAnsi="Times New Roman"/>
          <w:i/>
          <w:iCs/>
          <w:sz w:val="20"/>
          <w:szCs w:val="20"/>
        </w:rPr>
        <w:t>Geobacillus</w:t>
      </w:r>
      <w:r w:rsidRPr="001A7D58">
        <w:rPr>
          <w:rFonts w:ascii="Times New Roman" w:hAnsi="Times New Roman"/>
          <w:sz w:val="20"/>
          <w:szCs w:val="20"/>
        </w:rPr>
        <w:t xml:space="preserve"> sp. strain T1. </w:t>
      </w:r>
      <w:r w:rsidRPr="001A7D58">
        <w:rPr>
          <w:rFonts w:ascii="Times New Roman" w:hAnsi="Times New Roman"/>
          <w:i/>
          <w:sz w:val="20"/>
          <w:szCs w:val="20"/>
        </w:rPr>
        <w:t>Bioscience, Biotechnology, and Biochemistry</w:t>
      </w:r>
      <w:r w:rsidRPr="001A7D58">
        <w:rPr>
          <w:rFonts w:ascii="Times New Roman" w:hAnsi="Times New Roman"/>
          <w:sz w:val="20"/>
          <w:szCs w:val="20"/>
        </w:rPr>
        <w:t>, 68(1): 96-103</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Rahman, R. N. Z. R. A., Leow, T. C., Salleh, A. B. and Basri, M. (2007). </w:t>
      </w:r>
      <w:r w:rsidRPr="001A7D58">
        <w:rPr>
          <w:rFonts w:ascii="Times New Roman" w:hAnsi="Times New Roman"/>
          <w:i/>
          <w:sz w:val="20"/>
          <w:szCs w:val="20"/>
        </w:rPr>
        <w:t xml:space="preserve">Geobacillus zalihae </w:t>
      </w:r>
      <w:r w:rsidRPr="001A7D58">
        <w:rPr>
          <w:rFonts w:ascii="Times New Roman" w:hAnsi="Times New Roman"/>
          <w:iCs/>
          <w:sz w:val="20"/>
          <w:szCs w:val="20"/>
        </w:rPr>
        <w:t>sp. nov.</w:t>
      </w:r>
      <w:r w:rsidRPr="001A7D58">
        <w:rPr>
          <w:rFonts w:ascii="Times New Roman" w:hAnsi="Times New Roman"/>
          <w:sz w:val="20"/>
          <w:szCs w:val="20"/>
        </w:rPr>
        <w:t xml:space="preserve">, a thermophilic lipolytic bacterium isolated from palm oil mill effluent in Malaysia. </w:t>
      </w:r>
      <w:r w:rsidRPr="001A7D58">
        <w:rPr>
          <w:rFonts w:ascii="Times New Roman" w:hAnsi="Times New Roman"/>
          <w:i/>
          <w:sz w:val="20"/>
          <w:szCs w:val="20"/>
        </w:rPr>
        <w:t>BMC Microbiology</w:t>
      </w:r>
      <w:r w:rsidRPr="001A7D58">
        <w:rPr>
          <w:rFonts w:ascii="Times New Roman" w:hAnsi="Times New Roman"/>
          <w:sz w:val="20"/>
          <w:szCs w:val="20"/>
        </w:rPr>
        <w:t>, 7: 77.</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Mozhaev, V. V., Berezin, I. V., and Martinek, K. (1988). Structure-stability relationship in proteins: Fundamental tasks and strategy for the development of stabilized enzyme catalyst for biotechnology. </w:t>
      </w:r>
      <w:r w:rsidRPr="001A7D58">
        <w:rPr>
          <w:rFonts w:ascii="Times New Roman" w:hAnsi="Times New Roman"/>
          <w:i/>
          <w:sz w:val="20"/>
          <w:szCs w:val="20"/>
        </w:rPr>
        <w:t>CRC Critical Review in Biochemistry</w:t>
      </w:r>
      <w:r w:rsidRPr="001A7D58">
        <w:rPr>
          <w:rFonts w:ascii="Times New Roman" w:hAnsi="Times New Roman"/>
          <w:sz w:val="20"/>
          <w:szCs w:val="20"/>
        </w:rPr>
        <w:t>, 173: 147-154.</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Baker, I. J. A., Matthews, B., Suares, H., Krodkiewska, I., Furlong, D. N., Grieser, F. and Drummond, C. J. (2000). Sugar fatty acid ester surfactants: Structure and ultimate aerobic biodegradability. </w:t>
      </w:r>
      <w:r w:rsidRPr="001A7D58">
        <w:rPr>
          <w:rFonts w:ascii="Times New Roman" w:hAnsi="Times New Roman"/>
          <w:i/>
          <w:sz w:val="20"/>
          <w:szCs w:val="20"/>
        </w:rPr>
        <w:t>Journal of Surfactants and Detergents</w:t>
      </w:r>
      <w:r w:rsidRPr="001A7D58">
        <w:rPr>
          <w:rFonts w:ascii="Times New Roman" w:hAnsi="Times New Roman"/>
          <w:sz w:val="20"/>
          <w:szCs w:val="20"/>
        </w:rPr>
        <w:t xml:space="preserve">, 3(1): 1-11. </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Staroń, J., Dąbrowski J. M., Cichoń, E. and Guzik, M. (2018) Lactose esters: synthesis and biotechnological applications. </w:t>
      </w:r>
      <w:r w:rsidRPr="001A7D58">
        <w:rPr>
          <w:rFonts w:ascii="Times New Roman" w:hAnsi="Times New Roman"/>
          <w:i/>
          <w:sz w:val="20"/>
          <w:szCs w:val="20"/>
        </w:rPr>
        <w:t>Critical Reviews in Biotechnology</w:t>
      </w:r>
      <w:r w:rsidRPr="001A7D58">
        <w:rPr>
          <w:rFonts w:ascii="Times New Roman" w:hAnsi="Times New Roman"/>
          <w:sz w:val="20"/>
          <w:szCs w:val="20"/>
        </w:rPr>
        <w:t>, 38(2): 245-258</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Pyo, S.-H., Chen, J., Ye, R. and Hayes, D. G. (2019). Chapter 10 - Sugar Esters, Editors: Hayes, D. G.,  Solaiman, D. K. Y. and Ashby, R. D.  Biobased Surfactants (Second Edition), AOCS Press, Urbana, USA: pp. 325-363.</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Chang, S. W. and Shaw, J. F. (2009). Biocatalysis for the production of carbohydrate esters. </w:t>
      </w:r>
      <w:r w:rsidRPr="001A7D58">
        <w:rPr>
          <w:rFonts w:ascii="Times New Roman" w:hAnsi="Times New Roman"/>
          <w:i/>
          <w:sz w:val="20"/>
          <w:szCs w:val="20"/>
        </w:rPr>
        <w:t>New Biotechnology</w:t>
      </w:r>
      <w:r w:rsidRPr="001A7D58">
        <w:rPr>
          <w:rFonts w:ascii="Times New Roman" w:hAnsi="Times New Roman"/>
          <w:sz w:val="20"/>
          <w:szCs w:val="20"/>
        </w:rPr>
        <w:t>, 26(3–4): 109-116.</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Yoo, I. S., Park, S. J. and Yoon, H. H. (2007). Enzymatic synthesis of sugar fatty acid esters. </w:t>
      </w:r>
      <w:r w:rsidRPr="001A7D58">
        <w:rPr>
          <w:rFonts w:ascii="Times New Roman" w:hAnsi="Times New Roman"/>
          <w:i/>
          <w:sz w:val="20"/>
          <w:szCs w:val="20"/>
        </w:rPr>
        <w:t>Journal of Industrial and Engineering Chemistry</w:t>
      </w:r>
      <w:r w:rsidRPr="001A7D58">
        <w:rPr>
          <w:rFonts w:ascii="Times New Roman" w:hAnsi="Times New Roman"/>
          <w:sz w:val="20"/>
          <w:szCs w:val="20"/>
        </w:rPr>
        <w:t>, 13(1): 1-6.</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Gumel, A. M., Annuara, M. S. M., Heidelberg, T. and Chisti, Y. (2011). Lipase mediated synthesis of sugar fatty acid esters. </w:t>
      </w:r>
      <w:r w:rsidRPr="001A7D58">
        <w:rPr>
          <w:rFonts w:ascii="Times New Roman" w:hAnsi="Times New Roman"/>
          <w:i/>
          <w:sz w:val="20"/>
          <w:szCs w:val="20"/>
        </w:rPr>
        <w:t>Process Biochemistry</w:t>
      </w:r>
      <w:r w:rsidRPr="001A7D58">
        <w:rPr>
          <w:rFonts w:ascii="Times New Roman" w:hAnsi="Times New Roman"/>
          <w:sz w:val="20"/>
          <w:szCs w:val="20"/>
        </w:rPr>
        <w:t xml:space="preserve">, 46: 2079-2090. </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Kennedy, J. F., Kumar, H., Panesar, P. S., Marwaha, S. S., Goyal, R., Parmar, A. and Kaur, S. (2006). Enzyme-catalyzed regioselective synthesis of sugar esters and related compounds. </w:t>
      </w:r>
      <w:r w:rsidRPr="001A7D58">
        <w:rPr>
          <w:rFonts w:ascii="Times New Roman" w:hAnsi="Times New Roman"/>
          <w:i/>
          <w:sz w:val="20"/>
          <w:szCs w:val="20"/>
        </w:rPr>
        <w:t>Journal of Chemical Technology &amp; Biotechnology</w:t>
      </w:r>
      <w:r w:rsidRPr="001A7D58">
        <w:rPr>
          <w:rFonts w:ascii="Times New Roman" w:hAnsi="Times New Roman"/>
          <w:sz w:val="20"/>
          <w:szCs w:val="20"/>
        </w:rPr>
        <w:t>, 81: 866-876.</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Kobayashi, T. (2011). Lipase-catalyzed syntheses of sugar esters in non-aqueous media, </w:t>
      </w:r>
      <w:r w:rsidRPr="001A7D58">
        <w:rPr>
          <w:rFonts w:ascii="Times New Roman" w:hAnsi="Times New Roman"/>
          <w:i/>
          <w:sz w:val="20"/>
          <w:szCs w:val="20"/>
        </w:rPr>
        <w:t>Biotechnology Letters,</w:t>
      </w:r>
      <w:r w:rsidRPr="001A7D58">
        <w:rPr>
          <w:rFonts w:ascii="Times New Roman" w:hAnsi="Times New Roman"/>
          <w:sz w:val="20"/>
          <w:szCs w:val="20"/>
        </w:rPr>
        <w:t xml:space="preserve"> 33: 1911-1919.</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Hallett, J. P. and Welton, T. (2011). Room-temperature ionic liquids: solvents for synthesis and catalysis. 2. </w:t>
      </w:r>
      <w:r w:rsidRPr="001A7D58">
        <w:rPr>
          <w:rFonts w:ascii="Times New Roman" w:hAnsi="Times New Roman"/>
          <w:i/>
          <w:sz w:val="20"/>
          <w:szCs w:val="20"/>
        </w:rPr>
        <w:t>Chemical Reviews</w:t>
      </w:r>
      <w:r w:rsidRPr="001A7D58">
        <w:rPr>
          <w:rFonts w:ascii="Times New Roman" w:hAnsi="Times New Roman"/>
          <w:sz w:val="20"/>
          <w:szCs w:val="20"/>
        </w:rPr>
        <w:t>, 111: 3508-3576.</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Yang, Z. and Huang, Z. L. (2012). Enzymatic synthesis of sugar fatty acid esters in ionic liquids. </w:t>
      </w:r>
      <w:r w:rsidRPr="001A7D58">
        <w:rPr>
          <w:rFonts w:ascii="Times New Roman" w:hAnsi="Times New Roman"/>
          <w:i/>
          <w:sz w:val="20"/>
          <w:szCs w:val="20"/>
        </w:rPr>
        <w:t>Catalysis Science &amp; Technology</w:t>
      </w:r>
      <w:r w:rsidRPr="001A7D58">
        <w:rPr>
          <w:rFonts w:ascii="Times New Roman" w:hAnsi="Times New Roman"/>
          <w:sz w:val="20"/>
          <w:szCs w:val="20"/>
        </w:rPr>
        <w:t>, 2: 1767-1775.</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lastRenderedPageBreak/>
        <w:t xml:space="preserve">Abdulmalek, E., Mohd. Saupi, H. S., Tejo, B. A., Basri, M., Salleh, A. B., Rahman, R. N. Z. R. A. and Abdul Rahman, M. B. (2012). Improved enzymatic synthesis of galactose oleate ester in ionic liquid. </w:t>
      </w:r>
      <w:r w:rsidRPr="001A7D58">
        <w:rPr>
          <w:rFonts w:ascii="Times New Roman" w:hAnsi="Times New Roman"/>
          <w:i/>
          <w:sz w:val="20"/>
          <w:szCs w:val="20"/>
        </w:rPr>
        <w:t>Journal of Molecular Catalysis B: Enzymatic</w:t>
      </w:r>
      <w:r w:rsidRPr="001A7D58">
        <w:rPr>
          <w:rFonts w:ascii="Times New Roman" w:hAnsi="Times New Roman"/>
          <w:sz w:val="20"/>
          <w:szCs w:val="20"/>
        </w:rPr>
        <w:t>, 76: 37-43.</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Abdulmalek, E., Hamidon, N. F. and Abdul Rahman, M. B. (2016) Optimization and characterization of lipase catalysed synthesis of xylose caproate ester in organic solvents. </w:t>
      </w:r>
      <w:r w:rsidRPr="001A7D58">
        <w:rPr>
          <w:rFonts w:ascii="Times New Roman" w:hAnsi="Times New Roman"/>
          <w:i/>
          <w:sz w:val="20"/>
          <w:szCs w:val="20"/>
        </w:rPr>
        <w:t>Journal of Molecular Catalysis B: Enzymatic,</w:t>
      </w:r>
      <w:r w:rsidRPr="001A7D58">
        <w:rPr>
          <w:rFonts w:ascii="Times New Roman" w:hAnsi="Times New Roman"/>
          <w:sz w:val="20"/>
          <w:szCs w:val="20"/>
        </w:rPr>
        <w:t xml:space="preserve"> 132: 1-4.</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Lee, K. P. and Kim, H. K. (2016). Antibacterial effect of fructose laurate synthesized by </w:t>
      </w:r>
      <w:r w:rsidRPr="001A7D58">
        <w:rPr>
          <w:rFonts w:ascii="Times New Roman" w:hAnsi="Times New Roman"/>
          <w:i/>
          <w:iCs/>
          <w:sz w:val="20"/>
          <w:szCs w:val="20"/>
        </w:rPr>
        <w:t>Candida antarctica</w:t>
      </w:r>
      <w:r w:rsidRPr="001A7D58">
        <w:rPr>
          <w:rFonts w:ascii="Times New Roman" w:hAnsi="Times New Roman"/>
          <w:sz w:val="20"/>
          <w:szCs w:val="20"/>
        </w:rPr>
        <w:t xml:space="preserve"> B lipase-mediated transesterification. </w:t>
      </w:r>
      <w:r w:rsidRPr="001A7D58">
        <w:rPr>
          <w:rFonts w:ascii="Times New Roman" w:hAnsi="Times New Roman"/>
          <w:i/>
          <w:sz w:val="20"/>
          <w:szCs w:val="20"/>
        </w:rPr>
        <w:t>Journal of Microbiology and Biotechnology</w:t>
      </w:r>
      <w:r w:rsidRPr="001A7D58">
        <w:rPr>
          <w:rFonts w:ascii="Times New Roman" w:hAnsi="Times New Roman"/>
          <w:sz w:val="20"/>
          <w:szCs w:val="20"/>
        </w:rPr>
        <w:t>, 26(9): 1579-1585.</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Shin, D. W., Mai, N. L., Bae, S.-W. and Koo, Y. (2019). Enhanced lipase-catalyzed synthesis of sugar fatty acid esters using supersaturated sugar solution in ionic liquids. </w:t>
      </w:r>
      <w:r w:rsidRPr="001A7D58">
        <w:rPr>
          <w:rFonts w:ascii="Times New Roman" w:hAnsi="Times New Roman"/>
          <w:i/>
          <w:sz w:val="20"/>
          <w:szCs w:val="20"/>
        </w:rPr>
        <w:t>Enzyme and Microbial Technology</w:t>
      </w:r>
      <w:r w:rsidRPr="001A7D58">
        <w:rPr>
          <w:rFonts w:ascii="Times New Roman" w:hAnsi="Times New Roman"/>
          <w:sz w:val="20"/>
          <w:szCs w:val="20"/>
        </w:rPr>
        <w:t>, 126: 18-23.</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Sang, H. L., Dung, T. D., Sung, H. H., Chang, W.-J. and Koo, Y.-M. (2008). Lipase-catalyzed synthesis of fatty acid sugar ester using extremely supersaturated sugar solution in ionic liquids. </w:t>
      </w:r>
      <w:r w:rsidRPr="001A7D58">
        <w:rPr>
          <w:rFonts w:ascii="Times New Roman" w:hAnsi="Times New Roman"/>
          <w:i/>
          <w:sz w:val="20"/>
          <w:szCs w:val="20"/>
        </w:rPr>
        <w:t>Biotechnology and Bioengineering</w:t>
      </w:r>
      <w:r w:rsidRPr="001A7D58">
        <w:rPr>
          <w:rFonts w:ascii="Times New Roman" w:hAnsi="Times New Roman"/>
          <w:sz w:val="20"/>
          <w:szCs w:val="20"/>
        </w:rPr>
        <w:t xml:space="preserve">, 99(1): 1-8. </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Ha, S. H., Hiep, N. M., Lee, S. H. and Koo, Y.-M. (2009). Optimization of lipase-catalyzed glucose ester synthesis in ionic liquids. </w:t>
      </w:r>
      <w:r w:rsidRPr="001A7D58">
        <w:rPr>
          <w:rFonts w:ascii="Times New Roman" w:hAnsi="Times New Roman"/>
          <w:i/>
          <w:sz w:val="20"/>
          <w:szCs w:val="20"/>
        </w:rPr>
        <w:t>Bioprocess and Biosystems Engineering</w:t>
      </w:r>
      <w:r w:rsidRPr="001A7D58">
        <w:rPr>
          <w:rFonts w:ascii="Times New Roman" w:hAnsi="Times New Roman"/>
          <w:sz w:val="20"/>
          <w:szCs w:val="20"/>
        </w:rPr>
        <w:t xml:space="preserve">, 33(1): 63-70. </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Pang, N., Gu, S.-S, Wang, J., Cui, H.-S., Wang, F.-Q., Liu, X., Zhao, X.-Y. and Wu, F.-A. (2013). A novel chemoenzymatic synthesis of propyl caffeate using lipase-catalyzed transesterification in ionic liquid. </w:t>
      </w:r>
      <w:r w:rsidRPr="001A7D58">
        <w:rPr>
          <w:rFonts w:ascii="Times New Roman" w:hAnsi="Times New Roman"/>
          <w:i/>
          <w:sz w:val="20"/>
          <w:szCs w:val="20"/>
        </w:rPr>
        <w:t>Bioresource Technology</w:t>
      </w:r>
      <w:r w:rsidRPr="001A7D58">
        <w:rPr>
          <w:rFonts w:ascii="Times New Roman" w:hAnsi="Times New Roman"/>
          <w:sz w:val="20"/>
          <w:szCs w:val="20"/>
        </w:rPr>
        <w:t>, 139: 337-342.</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Ju1, X., Li, J., Hou, M. and Tao, J. (2015). A lipase-catalyzed process for green synthesis of temsirolimus. </w:t>
      </w:r>
      <w:r w:rsidRPr="001A7D58">
        <w:rPr>
          <w:rFonts w:ascii="Times New Roman" w:hAnsi="Times New Roman"/>
          <w:i/>
          <w:sz w:val="20"/>
          <w:szCs w:val="20"/>
        </w:rPr>
        <w:t>Engineering in Life Sciences</w:t>
      </w:r>
      <w:r w:rsidRPr="001A7D58">
        <w:rPr>
          <w:rFonts w:ascii="Times New Roman" w:hAnsi="Times New Roman"/>
          <w:sz w:val="20"/>
          <w:szCs w:val="20"/>
        </w:rPr>
        <w:t>, 15: 229-233.</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Kumar, A., Dhar, K., Kanwar, S. S., Arora, P. K. (2016), Lipase catalysis in organic solvents: Advantages and applications. </w:t>
      </w:r>
      <w:r w:rsidRPr="001A7D58">
        <w:rPr>
          <w:rFonts w:ascii="Times New Roman" w:hAnsi="Times New Roman"/>
          <w:i/>
          <w:sz w:val="20"/>
          <w:szCs w:val="20"/>
        </w:rPr>
        <w:t>Biological Procedures Online</w:t>
      </w:r>
      <w:r w:rsidRPr="001A7D58">
        <w:rPr>
          <w:rFonts w:ascii="Times New Roman" w:hAnsi="Times New Roman"/>
          <w:sz w:val="20"/>
          <w:szCs w:val="20"/>
        </w:rPr>
        <w:t>, 18: 1-11.</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Raku, T., Kitagawa, M., Shimakawa, H. and Tokiwa, Y. (2003). Enzymatic synthesis of trehalose esters having lipophilicity. </w:t>
      </w:r>
      <w:r w:rsidRPr="001A7D58">
        <w:rPr>
          <w:rFonts w:ascii="Times New Roman" w:hAnsi="Times New Roman"/>
          <w:i/>
          <w:sz w:val="20"/>
          <w:szCs w:val="20"/>
        </w:rPr>
        <w:t>Journal of Biotechnology</w:t>
      </w:r>
      <w:r w:rsidRPr="001A7D58">
        <w:rPr>
          <w:rFonts w:ascii="Times New Roman" w:hAnsi="Times New Roman"/>
          <w:sz w:val="20"/>
          <w:szCs w:val="20"/>
        </w:rPr>
        <w:t>, 100(3): 203-208.</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Findrik, Z., Megyeri, G., Gubicza, L., Bélafi-Bakó, K., Nemestóthy, N. and Sudar, M. (2016). Lipase catalyzed synthesis of glucose palmitate in ionic liquid. </w:t>
      </w:r>
      <w:r w:rsidRPr="001A7D58">
        <w:rPr>
          <w:rFonts w:ascii="Times New Roman" w:hAnsi="Times New Roman"/>
          <w:i/>
          <w:sz w:val="20"/>
          <w:szCs w:val="20"/>
        </w:rPr>
        <w:t>Journal of Cleaner Production</w:t>
      </w:r>
      <w:r w:rsidRPr="001A7D58">
        <w:rPr>
          <w:rFonts w:ascii="Times New Roman" w:hAnsi="Times New Roman"/>
          <w:sz w:val="20"/>
          <w:szCs w:val="20"/>
        </w:rPr>
        <w:t>, 112(1): 1106- 1111.</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Wang, X., Li, D., Qu, M., Durrani, R., Yang, B. and Wang, Y. (2017). Immobilized MAS1 lipase showed high esterification activity in the production of triacylglycerols with n-3 polyunsaturated fatty acids. </w:t>
      </w:r>
      <w:r w:rsidRPr="001A7D58">
        <w:rPr>
          <w:rFonts w:ascii="Times New Roman" w:hAnsi="Times New Roman"/>
          <w:i/>
          <w:sz w:val="20"/>
          <w:szCs w:val="20"/>
        </w:rPr>
        <w:t>Food Chemistry</w:t>
      </w:r>
      <w:r w:rsidRPr="001A7D58">
        <w:rPr>
          <w:rFonts w:ascii="Times New Roman" w:hAnsi="Times New Roman"/>
          <w:sz w:val="20"/>
          <w:szCs w:val="20"/>
        </w:rPr>
        <w:t>, 216: 260-267.</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Onoja, E., Chandren, S., Razak, F. I. A. and Wahab, R. A. (2018). Enzymatic synthesis of butyl butyrate by </w:t>
      </w:r>
      <w:r w:rsidRPr="001A7D58">
        <w:rPr>
          <w:rFonts w:ascii="Times New Roman" w:hAnsi="Times New Roman"/>
          <w:i/>
          <w:sz w:val="20"/>
          <w:szCs w:val="20"/>
        </w:rPr>
        <w:t>Candida rugosa</w:t>
      </w:r>
      <w:r w:rsidRPr="001A7D58">
        <w:rPr>
          <w:rFonts w:ascii="Times New Roman" w:hAnsi="Times New Roman"/>
          <w:sz w:val="20"/>
          <w:szCs w:val="20"/>
        </w:rPr>
        <w:t xml:space="preserve"> lipase supported on magnetized-nanosilica from oil palm leaves: Process optimization, kinetic and thermodynamic study. </w:t>
      </w:r>
      <w:r w:rsidRPr="001A7D58">
        <w:rPr>
          <w:rFonts w:ascii="Times New Roman" w:hAnsi="Times New Roman"/>
          <w:i/>
          <w:sz w:val="20"/>
          <w:szCs w:val="20"/>
        </w:rPr>
        <w:t>Journal of the Taiwan Institute of Chemical Engineers</w:t>
      </w:r>
      <w:r w:rsidRPr="001A7D58">
        <w:rPr>
          <w:rFonts w:ascii="Times New Roman" w:hAnsi="Times New Roman"/>
          <w:sz w:val="20"/>
          <w:szCs w:val="20"/>
        </w:rPr>
        <w:t>, 91: 105-118.</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Yadav, G. D. and Devendran, S. (2012). Lipase catalyzed synthesis of cinnamyl acetate via transesterification in non-aqueous medium. </w:t>
      </w:r>
      <w:r w:rsidRPr="001A7D58">
        <w:rPr>
          <w:rFonts w:ascii="Times New Roman" w:hAnsi="Times New Roman"/>
          <w:i/>
          <w:sz w:val="20"/>
          <w:szCs w:val="20"/>
        </w:rPr>
        <w:t>Process Biochemistry</w:t>
      </w:r>
      <w:r w:rsidRPr="001A7D58">
        <w:rPr>
          <w:rFonts w:ascii="Times New Roman" w:hAnsi="Times New Roman"/>
          <w:sz w:val="20"/>
          <w:szCs w:val="20"/>
        </w:rPr>
        <w:t xml:space="preserve">, 47(3): 496-502. </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ChemSpider (Royal Society of Chemistry) http://www.chemspider.com/Chemical-Structure.3756.html [Access online 19th July 2019].</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Uribe, S. and Sampedro, J. G. (2003). Measuring solution viscosity and its effect on enzyme activity. </w:t>
      </w:r>
      <w:r w:rsidRPr="001A7D58">
        <w:rPr>
          <w:rFonts w:ascii="Times New Roman" w:hAnsi="Times New Roman"/>
          <w:i/>
          <w:sz w:val="20"/>
          <w:szCs w:val="20"/>
        </w:rPr>
        <w:t>Biological Procedures Online</w:t>
      </w:r>
      <w:r w:rsidRPr="001A7D58">
        <w:rPr>
          <w:rFonts w:ascii="Times New Roman" w:hAnsi="Times New Roman"/>
          <w:sz w:val="20"/>
          <w:szCs w:val="20"/>
        </w:rPr>
        <w:t>, 5(1): 108-115.</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Di, X., Zhang, Y., Fu, J., Yu, Q., Wang, Z. and Yuan, Z. (2019) Biocatalytic upgrading of levulinic acid to methyl levulinate in green solvents. </w:t>
      </w:r>
      <w:r w:rsidRPr="001A7D58">
        <w:rPr>
          <w:rFonts w:ascii="Times New Roman" w:hAnsi="Times New Roman"/>
          <w:i/>
          <w:sz w:val="20"/>
          <w:szCs w:val="20"/>
        </w:rPr>
        <w:t>Process Biochemistry</w:t>
      </w:r>
      <w:r w:rsidRPr="001A7D58">
        <w:rPr>
          <w:rFonts w:ascii="Times New Roman" w:hAnsi="Times New Roman"/>
          <w:sz w:val="20"/>
          <w:szCs w:val="20"/>
        </w:rPr>
        <w:t>, 81: 33 – 38</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Lee, A., Chaibakhsh, N., Rahman, M. B. A., Basri, M. and Tejo, B. A. (2010). Optimized enzymatic synthesis of levulinate ester in solvent-free system.  </w:t>
      </w:r>
      <w:r w:rsidRPr="001A7D58">
        <w:rPr>
          <w:rFonts w:ascii="Times New Roman" w:hAnsi="Times New Roman"/>
          <w:i/>
          <w:sz w:val="20"/>
          <w:szCs w:val="20"/>
        </w:rPr>
        <w:t>Industrial Crops and Products</w:t>
      </w:r>
      <w:r w:rsidRPr="001A7D58">
        <w:rPr>
          <w:rFonts w:ascii="Times New Roman" w:hAnsi="Times New Roman"/>
          <w:sz w:val="20"/>
          <w:szCs w:val="20"/>
        </w:rPr>
        <w:t>, 32(3): 246-251.</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Leow, T. C., Rahman, R. N. Z. R. A., Basri, M. and Salleh, A. B. (2007) A thermoalkaliphilic lipase of </w:t>
      </w:r>
      <w:r w:rsidRPr="001A7D58">
        <w:rPr>
          <w:rFonts w:ascii="Times New Roman" w:hAnsi="Times New Roman"/>
          <w:i/>
          <w:sz w:val="20"/>
          <w:szCs w:val="20"/>
        </w:rPr>
        <w:t>Geobacillus sp</w:t>
      </w:r>
      <w:r w:rsidRPr="001A7D58">
        <w:rPr>
          <w:rFonts w:ascii="Times New Roman" w:hAnsi="Times New Roman"/>
          <w:sz w:val="20"/>
          <w:szCs w:val="20"/>
        </w:rPr>
        <w:t xml:space="preserve">. T1. </w:t>
      </w:r>
      <w:r w:rsidRPr="001A7D58">
        <w:rPr>
          <w:rFonts w:ascii="Times New Roman" w:hAnsi="Times New Roman"/>
          <w:i/>
          <w:sz w:val="20"/>
          <w:szCs w:val="20"/>
        </w:rPr>
        <w:t>Extremophiles</w:t>
      </w:r>
      <w:r w:rsidRPr="001A7D58">
        <w:rPr>
          <w:rFonts w:ascii="Times New Roman" w:hAnsi="Times New Roman"/>
          <w:sz w:val="20"/>
          <w:szCs w:val="20"/>
        </w:rPr>
        <w:t>, 11(3): 527-535.</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Mohamed, R. A., Salleh, A. B., Leow, A. T. C., Yahaya, N. M. and Abdul Rahman, M. B. (2017). Ability of T1 lipase to degrade amorphous P(3HB): Structural and functional study. </w:t>
      </w:r>
      <w:r w:rsidRPr="001A7D58">
        <w:rPr>
          <w:rFonts w:ascii="Times New Roman" w:hAnsi="Times New Roman"/>
          <w:i/>
          <w:sz w:val="20"/>
          <w:szCs w:val="20"/>
        </w:rPr>
        <w:t>Molecular Biotechnology</w:t>
      </w:r>
      <w:r w:rsidRPr="001A7D58">
        <w:rPr>
          <w:rFonts w:ascii="Times New Roman" w:hAnsi="Times New Roman"/>
          <w:sz w:val="20"/>
          <w:szCs w:val="20"/>
        </w:rPr>
        <w:t>, 59: 284.</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Ferrer, M., Cruces M. A., Plou, F. J., Bernabé, M. and Ballesteros, A. (2000). A simple procedure for the regioselective synthesis of fatty acid esters of maltose, leucrose, maltotriose and n-dodecyl maltosides. </w:t>
      </w:r>
      <w:r w:rsidRPr="001A7D58">
        <w:rPr>
          <w:rFonts w:ascii="Times New Roman" w:hAnsi="Times New Roman"/>
          <w:i/>
          <w:sz w:val="20"/>
          <w:szCs w:val="20"/>
        </w:rPr>
        <w:t>Tetrahedron</w:t>
      </w:r>
      <w:r w:rsidRPr="001A7D58">
        <w:rPr>
          <w:rFonts w:ascii="Times New Roman" w:hAnsi="Times New Roman"/>
          <w:sz w:val="20"/>
          <w:szCs w:val="20"/>
        </w:rPr>
        <w:t>, 56(24): 4053-4061</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Woudenberg-van Oosterom, M., van Rantwijk, F. and Sheldon, R. A. (1996). Regioselective acylation of disaccharides in </w:t>
      </w:r>
      <w:r w:rsidRPr="001A7D58">
        <w:rPr>
          <w:rFonts w:ascii="Times New Roman" w:hAnsi="Times New Roman"/>
          <w:i/>
          <w:sz w:val="20"/>
          <w:szCs w:val="20"/>
        </w:rPr>
        <w:t>tert</w:t>
      </w:r>
      <w:r w:rsidRPr="001A7D58">
        <w:rPr>
          <w:rFonts w:ascii="Times New Roman" w:hAnsi="Times New Roman"/>
          <w:sz w:val="20"/>
          <w:szCs w:val="20"/>
        </w:rPr>
        <w:t xml:space="preserve">-butyl alcohol catalyzed by </w:t>
      </w:r>
      <w:r w:rsidRPr="001A7D58">
        <w:rPr>
          <w:rFonts w:ascii="Times New Roman" w:hAnsi="Times New Roman"/>
          <w:i/>
          <w:sz w:val="20"/>
          <w:szCs w:val="20"/>
        </w:rPr>
        <w:t xml:space="preserve">Candida antarctica </w:t>
      </w:r>
      <w:r w:rsidRPr="001A7D58">
        <w:rPr>
          <w:rFonts w:ascii="Times New Roman" w:hAnsi="Times New Roman"/>
          <w:sz w:val="20"/>
          <w:szCs w:val="20"/>
        </w:rPr>
        <w:t>lipase</w:t>
      </w:r>
      <w:r w:rsidRPr="001A7D58">
        <w:rPr>
          <w:rFonts w:ascii="Times New Roman" w:hAnsi="Times New Roman"/>
          <w:i/>
          <w:sz w:val="20"/>
          <w:szCs w:val="20"/>
        </w:rPr>
        <w:t>.</w:t>
      </w:r>
      <w:r w:rsidRPr="001A7D58">
        <w:rPr>
          <w:rFonts w:ascii="Times New Roman" w:hAnsi="Times New Roman"/>
          <w:sz w:val="20"/>
          <w:szCs w:val="20"/>
        </w:rPr>
        <w:t xml:space="preserve"> </w:t>
      </w:r>
      <w:r w:rsidRPr="001A7D58">
        <w:rPr>
          <w:rFonts w:ascii="Times New Roman" w:hAnsi="Times New Roman"/>
          <w:i/>
          <w:sz w:val="20"/>
          <w:szCs w:val="20"/>
        </w:rPr>
        <w:t>Biotechnology and Bioengineering</w:t>
      </w:r>
      <w:r w:rsidRPr="001A7D58">
        <w:rPr>
          <w:rFonts w:ascii="Times New Roman" w:hAnsi="Times New Roman"/>
          <w:sz w:val="20"/>
          <w:szCs w:val="20"/>
        </w:rPr>
        <w:t>, 49: 328-333.</w:t>
      </w:r>
    </w:p>
    <w:p w:rsid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lastRenderedPageBreak/>
        <w:t xml:space="preserve">Jia, C., Zhao, J., Feng, B., Zhang, X. and Xia, W. (2010). A simple approach for the selective enzymatic synthesis of dilauroyl maltose in organic media. </w:t>
      </w:r>
      <w:r w:rsidRPr="001A7D58">
        <w:rPr>
          <w:rFonts w:ascii="Times New Roman" w:hAnsi="Times New Roman"/>
          <w:i/>
          <w:sz w:val="20"/>
          <w:szCs w:val="20"/>
        </w:rPr>
        <w:t>Journal of Molecular Catalysis B: Enzymatic</w:t>
      </w:r>
      <w:r w:rsidRPr="001A7D58">
        <w:rPr>
          <w:rFonts w:ascii="Times New Roman" w:hAnsi="Times New Roman"/>
          <w:sz w:val="20"/>
          <w:szCs w:val="20"/>
        </w:rPr>
        <w:t>, 62(3–4): 265-269.</w:t>
      </w:r>
    </w:p>
    <w:p w:rsidR="001A7D58" w:rsidRPr="001A7D58" w:rsidRDefault="001A7D58" w:rsidP="001A7D58">
      <w:pPr>
        <w:pStyle w:val="ListParagraph"/>
        <w:numPr>
          <w:ilvl w:val="0"/>
          <w:numId w:val="3"/>
        </w:numPr>
        <w:spacing w:after="0" w:line="240" w:lineRule="auto"/>
        <w:ind w:left="360"/>
        <w:jc w:val="both"/>
        <w:rPr>
          <w:rFonts w:ascii="Times New Roman" w:hAnsi="Times New Roman"/>
          <w:sz w:val="20"/>
          <w:szCs w:val="20"/>
        </w:rPr>
      </w:pPr>
      <w:r w:rsidRPr="001A7D58">
        <w:rPr>
          <w:rFonts w:ascii="Times New Roman" w:hAnsi="Times New Roman"/>
          <w:sz w:val="20"/>
          <w:szCs w:val="20"/>
        </w:rPr>
        <w:t xml:space="preserve">Tsukamoto, J., Haebel, S., Valença, G. P., Peter, M. G. and Franco, T. T. (2008). Enzymatic direct synthesis of acrylic acid esters of mono- and disaccharides. </w:t>
      </w:r>
      <w:r w:rsidRPr="001A7D58">
        <w:rPr>
          <w:rFonts w:ascii="Times New Roman" w:hAnsi="Times New Roman"/>
          <w:i/>
          <w:sz w:val="20"/>
          <w:szCs w:val="20"/>
        </w:rPr>
        <w:t>Journal of Chemical Technology and Biotechnology</w:t>
      </w:r>
      <w:r w:rsidRPr="001A7D58">
        <w:rPr>
          <w:rFonts w:ascii="Times New Roman" w:hAnsi="Times New Roman"/>
          <w:sz w:val="20"/>
          <w:szCs w:val="20"/>
        </w:rPr>
        <w:t>, 83: 1486-1492.</w:t>
      </w:r>
    </w:p>
    <w:p w:rsidR="00A74A7E" w:rsidRPr="001A7D58" w:rsidRDefault="00A74A7E" w:rsidP="001A7D58">
      <w:pPr>
        <w:spacing w:after="0" w:line="240" w:lineRule="auto"/>
        <w:jc w:val="both"/>
        <w:rPr>
          <w:rFonts w:ascii="Times New Roman" w:hAnsi="Times New Roman"/>
          <w:noProof/>
          <w:sz w:val="20"/>
          <w:szCs w:val="20"/>
          <w:lang w:bidi="ar-SA"/>
        </w:rPr>
      </w:pPr>
    </w:p>
    <w:sectPr w:rsidR="00A74A7E" w:rsidRPr="001A7D58" w:rsidSect="00F928CC">
      <w:headerReference w:type="even" r:id="rId15"/>
      <w:headerReference w:type="default" r:id="rId16"/>
      <w:footerReference w:type="even" r:id="rId17"/>
      <w:footerReference w:type="default" r:id="rId18"/>
      <w:pgSz w:w="12240" w:h="15840" w:code="1"/>
      <w:pgMar w:top="1800" w:right="1469" w:bottom="1699" w:left="1440" w:header="706" w:footer="706" w:gutter="0"/>
      <w:pgNumType w:start="18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7CA" w:rsidRDefault="006347CA" w:rsidP="00FB4C59">
      <w:pPr>
        <w:spacing w:after="0" w:line="240" w:lineRule="auto"/>
      </w:pPr>
      <w:r>
        <w:separator/>
      </w:r>
    </w:p>
  </w:endnote>
  <w:endnote w:type="continuationSeparator" w:id="0">
    <w:p w:rsidR="006347CA" w:rsidRDefault="006347C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BE56CC">
      <w:rPr>
        <w:rFonts w:ascii="Times New Roman" w:hAnsi="Times New Roman"/>
        <w:noProof/>
      </w:rPr>
      <w:t>196</w:t>
    </w:r>
    <w:r w:rsidRPr="00C0756D">
      <w:rPr>
        <w:rFonts w:ascii="Times New Roman" w:hAnsi="Times New Roman"/>
        <w:noProof/>
      </w:rPr>
      <w:fldChar w:fldCharType="end"/>
    </w:r>
  </w:p>
  <w:p w:rsidR="00C0756D" w:rsidRPr="00C0756D" w:rsidRDefault="00C0756D">
    <w:pPr>
      <w:pStyle w:val="Footer"/>
      <w:jc w:val="right"/>
      <w:rPr>
        <w:rFonts w:ascii="Times New Roman" w:hAnsi="Times New Roman"/>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BE56CC">
      <w:rPr>
        <w:rFonts w:ascii="Times New Roman" w:hAnsi="Times New Roman"/>
        <w:noProof/>
      </w:rPr>
      <w:t>195</w:t>
    </w:r>
    <w:r w:rsidRPr="00C0756D">
      <w:rPr>
        <w:rFonts w:ascii="Times New Roman" w:hAnsi="Times New Roman"/>
        <w:noProof/>
      </w:rPr>
      <w:fldChar w:fldCharType="end"/>
    </w:r>
  </w:p>
  <w:p w:rsidR="00C0756D" w:rsidRPr="00C0756D" w:rsidRDefault="00C0756D">
    <w:pPr>
      <w:pStyle w:val="Footer"/>
      <w:rPr>
        <w:rFonts w:ascii="Times New Roman" w:hAnsi="Times New Roman"/>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7CA" w:rsidRDefault="006347CA" w:rsidP="00FB4C59">
      <w:pPr>
        <w:spacing w:after="0" w:line="240" w:lineRule="auto"/>
      </w:pPr>
      <w:r>
        <w:separator/>
      </w:r>
    </w:p>
  </w:footnote>
  <w:footnote w:type="continuationSeparator" w:id="0">
    <w:p w:rsidR="006347CA" w:rsidRDefault="006347C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7C52D6">
      <w:rPr>
        <w:rFonts w:ascii="Times New Roman" w:hAnsi="Times New Roman"/>
        <w:i/>
        <w:lang w:val="en-US"/>
      </w:rPr>
      <w:t>No 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F928CC">
      <w:rPr>
        <w:rFonts w:ascii="Times New Roman" w:hAnsi="Times New Roman"/>
        <w:i/>
        <w:lang w:val="en-US"/>
      </w:rPr>
      <w:t>188</w:t>
    </w:r>
    <w:r w:rsidR="004B43FF">
      <w:rPr>
        <w:rFonts w:ascii="Times New Roman" w:hAnsi="Times New Roman"/>
        <w:i/>
        <w:lang w:val="en-US"/>
      </w:rPr>
      <w:t xml:space="preserve"> </w:t>
    </w:r>
    <w:r w:rsidR="00583C85">
      <w:rPr>
        <w:rFonts w:ascii="Times New Roman" w:hAnsi="Times New Roman"/>
        <w:i/>
        <w:lang w:val="en-US"/>
      </w:rPr>
      <w:t>-</w:t>
    </w:r>
    <w:r w:rsidR="00F928CC">
      <w:rPr>
        <w:rFonts w:ascii="Times New Roman" w:hAnsi="Times New Roman"/>
        <w:i/>
        <w:lang w:val="en-US"/>
      </w:rPr>
      <w:t xml:space="preserve"> 196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9D5" w:rsidRPr="006859D5" w:rsidRDefault="006859D5" w:rsidP="006859D5">
    <w:pPr>
      <w:spacing w:after="0" w:line="240" w:lineRule="auto"/>
      <w:ind w:left="1170" w:hanging="1170"/>
      <w:outlineLvl w:val="0"/>
      <w:rPr>
        <w:rFonts w:ascii="Times New Roman" w:hAnsi="Times New Roman"/>
        <w:sz w:val="20"/>
        <w:szCs w:val="20"/>
      </w:rPr>
    </w:pPr>
    <w:r>
      <w:rPr>
        <w:rFonts w:ascii="Times New Roman" w:hAnsi="Times New Roman"/>
        <w:sz w:val="20"/>
        <w:szCs w:val="20"/>
      </w:rPr>
      <w:t>Emilia et al</w:t>
    </w:r>
    <w:r w:rsidR="008E6968" w:rsidRPr="006859D5">
      <w:rPr>
        <w:rFonts w:ascii="Times New Roman" w:hAnsi="Times New Roman"/>
        <w:sz w:val="20"/>
        <w:szCs w:val="20"/>
      </w:rPr>
      <w:t xml:space="preserve">:  </w:t>
    </w:r>
    <w:r w:rsidR="002752F0" w:rsidRPr="006859D5">
      <w:rPr>
        <w:rFonts w:ascii="Times New Roman" w:hAnsi="Times New Roman"/>
        <w:sz w:val="20"/>
        <w:szCs w:val="20"/>
      </w:rPr>
      <w:t xml:space="preserve"> </w:t>
    </w:r>
    <w:r>
      <w:rPr>
        <w:rFonts w:ascii="Times New Roman" w:hAnsi="Times New Roman"/>
        <w:sz w:val="20"/>
        <w:szCs w:val="20"/>
      </w:rPr>
      <w:tab/>
    </w:r>
    <w:r w:rsidRPr="006859D5">
      <w:rPr>
        <w:rFonts w:ascii="Times New Roman" w:hAnsi="Times New Roman"/>
        <w:sz w:val="20"/>
        <w:szCs w:val="20"/>
      </w:rPr>
      <w:t xml:space="preserve">ENZYME CATALYZED ESTERIFICATION OF SUGAR BY THERMOSTABLE T1 LIPASE FROM </w:t>
    </w:r>
    <w:r w:rsidRPr="006859D5">
      <w:rPr>
        <w:rFonts w:ascii="Times New Roman" w:hAnsi="Times New Roman"/>
        <w:i/>
        <w:sz w:val="20"/>
        <w:szCs w:val="20"/>
      </w:rPr>
      <w:t>Geobacillus zalihae</w:t>
    </w:r>
    <w:r w:rsidRPr="006859D5">
      <w:rPr>
        <w:rFonts w:ascii="Times New Roman" w:hAnsi="Times New Roman"/>
        <w:sz w:val="20"/>
        <w:szCs w:val="20"/>
      </w:rPr>
      <w:t xml:space="preserve"> IN IONIC LIQUID</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9FD2440"/>
    <w:multiLevelType w:val="hybridMultilevel"/>
    <w:tmpl w:val="CE4480B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4E1"/>
    <w:rsid w:val="00006EBC"/>
    <w:rsid w:val="00016385"/>
    <w:rsid w:val="00070690"/>
    <w:rsid w:val="00084936"/>
    <w:rsid w:val="000C49FF"/>
    <w:rsid w:val="000C5261"/>
    <w:rsid w:val="000E5AF1"/>
    <w:rsid w:val="000F77DA"/>
    <w:rsid w:val="001068E8"/>
    <w:rsid w:val="00117BCD"/>
    <w:rsid w:val="00177929"/>
    <w:rsid w:val="001A7D58"/>
    <w:rsid w:val="001D035A"/>
    <w:rsid w:val="001D3855"/>
    <w:rsid w:val="001D6F2C"/>
    <w:rsid w:val="001F72B9"/>
    <w:rsid w:val="002004F5"/>
    <w:rsid w:val="00221D39"/>
    <w:rsid w:val="002752F0"/>
    <w:rsid w:val="002867F0"/>
    <w:rsid w:val="0029079C"/>
    <w:rsid w:val="002B188F"/>
    <w:rsid w:val="002B3BD8"/>
    <w:rsid w:val="002F3F91"/>
    <w:rsid w:val="00304767"/>
    <w:rsid w:val="00304B34"/>
    <w:rsid w:val="00312C0E"/>
    <w:rsid w:val="00361BAF"/>
    <w:rsid w:val="00367D1F"/>
    <w:rsid w:val="00373A9B"/>
    <w:rsid w:val="0038323C"/>
    <w:rsid w:val="00383F26"/>
    <w:rsid w:val="0039005B"/>
    <w:rsid w:val="003B0AC0"/>
    <w:rsid w:val="003D34D4"/>
    <w:rsid w:val="003D585B"/>
    <w:rsid w:val="003E7DA6"/>
    <w:rsid w:val="003F12FF"/>
    <w:rsid w:val="00410A8A"/>
    <w:rsid w:val="00420074"/>
    <w:rsid w:val="004760D4"/>
    <w:rsid w:val="00494C46"/>
    <w:rsid w:val="004A12DD"/>
    <w:rsid w:val="004B43FF"/>
    <w:rsid w:val="00502641"/>
    <w:rsid w:val="00534441"/>
    <w:rsid w:val="00545363"/>
    <w:rsid w:val="00583C85"/>
    <w:rsid w:val="00584156"/>
    <w:rsid w:val="005C6768"/>
    <w:rsid w:val="00624C7C"/>
    <w:rsid w:val="006347CA"/>
    <w:rsid w:val="00634C25"/>
    <w:rsid w:val="006416AB"/>
    <w:rsid w:val="00672075"/>
    <w:rsid w:val="006768E9"/>
    <w:rsid w:val="006859D5"/>
    <w:rsid w:val="00687982"/>
    <w:rsid w:val="00695D0E"/>
    <w:rsid w:val="006A3A0F"/>
    <w:rsid w:val="006B3EC8"/>
    <w:rsid w:val="006D695E"/>
    <w:rsid w:val="007010A6"/>
    <w:rsid w:val="00725A6A"/>
    <w:rsid w:val="00730CB3"/>
    <w:rsid w:val="007703FE"/>
    <w:rsid w:val="007859BE"/>
    <w:rsid w:val="007943F3"/>
    <w:rsid w:val="007A738C"/>
    <w:rsid w:val="007B1349"/>
    <w:rsid w:val="007C52D6"/>
    <w:rsid w:val="007E25BD"/>
    <w:rsid w:val="007F4ECC"/>
    <w:rsid w:val="00801E18"/>
    <w:rsid w:val="00802C35"/>
    <w:rsid w:val="0082181A"/>
    <w:rsid w:val="008B470E"/>
    <w:rsid w:val="008C14D6"/>
    <w:rsid w:val="008E1211"/>
    <w:rsid w:val="008E5BBF"/>
    <w:rsid w:val="008E6968"/>
    <w:rsid w:val="008F2DC2"/>
    <w:rsid w:val="009110FB"/>
    <w:rsid w:val="00917637"/>
    <w:rsid w:val="0094273E"/>
    <w:rsid w:val="00992776"/>
    <w:rsid w:val="00A14DB9"/>
    <w:rsid w:val="00A17755"/>
    <w:rsid w:val="00A4762A"/>
    <w:rsid w:val="00A74A7E"/>
    <w:rsid w:val="00A76B4E"/>
    <w:rsid w:val="00A87399"/>
    <w:rsid w:val="00AD1B8A"/>
    <w:rsid w:val="00AD76AF"/>
    <w:rsid w:val="00AE713F"/>
    <w:rsid w:val="00B1121C"/>
    <w:rsid w:val="00B25B65"/>
    <w:rsid w:val="00B2770A"/>
    <w:rsid w:val="00B314AD"/>
    <w:rsid w:val="00B36193"/>
    <w:rsid w:val="00B7255A"/>
    <w:rsid w:val="00B75BF6"/>
    <w:rsid w:val="00BA1F7B"/>
    <w:rsid w:val="00BB58AF"/>
    <w:rsid w:val="00BD2480"/>
    <w:rsid w:val="00BE2D36"/>
    <w:rsid w:val="00BE56CC"/>
    <w:rsid w:val="00BE7C30"/>
    <w:rsid w:val="00C055BF"/>
    <w:rsid w:val="00C0756D"/>
    <w:rsid w:val="00C2226A"/>
    <w:rsid w:val="00C80273"/>
    <w:rsid w:val="00C943DD"/>
    <w:rsid w:val="00C94D92"/>
    <w:rsid w:val="00C97340"/>
    <w:rsid w:val="00CA513F"/>
    <w:rsid w:val="00CD41CA"/>
    <w:rsid w:val="00CF05FF"/>
    <w:rsid w:val="00D340BB"/>
    <w:rsid w:val="00D505D5"/>
    <w:rsid w:val="00D63C28"/>
    <w:rsid w:val="00D75B35"/>
    <w:rsid w:val="00D76E09"/>
    <w:rsid w:val="00D9736F"/>
    <w:rsid w:val="00D9792A"/>
    <w:rsid w:val="00DD377F"/>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928CC"/>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6859D5"/>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6859D5"/>
    <w:rPr>
      <w:color w:val="0000FF" w:themeColor="hyperlink"/>
      <w:u w:val="single"/>
    </w:rPr>
  </w:style>
  <w:style w:type="character" w:customStyle="1" w:styleId="authors0">
    <w:name w:val="authors"/>
    <w:basedOn w:val="DefaultParagraphFont"/>
    <w:rsid w:val="006859D5"/>
  </w:style>
  <w:style w:type="character" w:customStyle="1" w:styleId="Date1">
    <w:name w:val="Date1"/>
    <w:basedOn w:val="DefaultParagraphFont"/>
    <w:rsid w:val="006859D5"/>
  </w:style>
  <w:style w:type="character" w:customStyle="1" w:styleId="arttitle">
    <w:name w:val="art_title"/>
    <w:basedOn w:val="DefaultParagraphFont"/>
    <w:rsid w:val="006859D5"/>
  </w:style>
  <w:style w:type="character" w:customStyle="1" w:styleId="serialtitle">
    <w:name w:val="serial_title"/>
    <w:basedOn w:val="DefaultParagraphFont"/>
    <w:rsid w:val="006859D5"/>
  </w:style>
  <w:style w:type="character" w:customStyle="1" w:styleId="volumeissue">
    <w:name w:val="volume_issue"/>
    <w:basedOn w:val="DefaultParagraphFont"/>
    <w:rsid w:val="006859D5"/>
  </w:style>
  <w:style w:type="character" w:customStyle="1" w:styleId="pagerange">
    <w:name w:val="page_range"/>
    <w:basedOn w:val="DefaultParagraphFont"/>
    <w:rsid w:val="006859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6859D5"/>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6859D5"/>
    <w:rPr>
      <w:color w:val="0000FF" w:themeColor="hyperlink"/>
      <w:u w:val="single"/>
    </w:rPr>
  </w:style>
  <w:style w:type="character" w:customStyle="1" w:styleId="authors0">
    <w:name w:val="authors"/>
    <w:basedOn w:val="DefaultParagraphFont"/>
    <w:rsid w:val="006859D5"/>
  </w:style>
  <w:style w:type="character" w:customStyle="1" w:styleId="Date1">
    <w:name w:val="Date1"/>
    <w:basedOn w:val="DefaultParagraphFont"/>
    <w:rsid w:val="006859D5"/>
  </w:style>
  <w:style w:type="character" w:customStyle="1" w:styleId="arttitle">
    <w:name w:val="art_title"/>
    <w:basedOn w:val="DefaultParagraphFont"/>
    <w:rsid w:val="006859D5"/>
  </w:style>
  <w:style w:type="character" w:customStyle="1" w:styleId="serialtitle">
    <w:name w:val="serial_title"/>
    <w:basedOn w:val="DefaultParagraphFont"/>
    <w:rsid w:val="006859D5"/>
  </w:style>
  <w:style w:type="character" w:customStyle="1" w:styleId="volumeissue">
    <w:name w:val="volume_issue"/>
    <w:basedOn w:val="DefaultParagraphFont"/>
    <w:rsid w:val="006859D5"/>
  </w:style>
  <w:style w:type="character" w:customStyle="1" w:styleId="pagerange">
    <w:name w:val="page_range"/>
    <w:basedOn w:val="DefaultParagraphFont"/>
    <w:rsid w:val="00685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2167460445887893"/>
          <c:y val="7.3087379647267692E-2"/>
          <c:w val="0.74045926707763754"/>
          <c:h val="0.68515466733961994"/>
        </c:manualLayout>
      </c:layout>
      <c:barChart>
        <c:barDir val="col"/>
        <c:grouping val="clustered"/>
        <c:varyColors val="0"/>
        <c:ser>
          <c:idx val="0"/>
          <c:order val="0"/>
          <c:tx>
            <c:strRef>
              <c:f>Sheet1!$B$1</c:f>
              <c:strCache>
                <c:ptCount val="1"/>
                <c:pt idx="0">
                  <c:v>Column1</c:v>
                </c:pt>
              </c:strCache>
            </c:strRef>
          </c:tx>
          <c:invertIfNegative val="0"/>
          <c:errBars>
            <c:errBarType val="both"/>
            <c:errValType val="percentage"/>
            <c:noEndCap val="0"/>
            <c:val val="5"/>
          </c:errBars>
          <c:cat>
            <c:strRef>
              <c:f>Sheet1!$A$2:$A$6</c:f>
              <c:strCache>
                <c:ptCount val="5"/>
                <c:pt idx="0">
                  <c:v>Levulinic acid (C5) </c:v>
                </c:pt>
                <c:pt idx="1">
                  <c:v>Caprylic acid (C8)</c:v>
                </c:pt>
                <c:pt idx="2">
                  <c:v>Lauric acid (C12)</c:v>
                </c:pt>
                <c:pt idx="3">
                  <c:v>Oleic acid (C18:1)</c:v>
                </c:pt>
                <c:pt idx="4">
                  <c:v>Linoleic acid (18:2)</c:v>
                </c:pt>
              </c:strCache>
            </c:strRef>
          </c:cat>
          <c:val>
            <c:numRef>
              <c:f>Sheet1!$B$2:$B$6</c:f>
              <c:numCache>
                <c:formatCode>General</c:formatCode>
                <c:ptCount val="5"/>
                <c:pt idx="0">
                  <c:v>28</c:v>
                </c:pt>
                <c:pt idx="1">
                  <c:v>62</c:v>
                </c:pt>
                <c:pt idx="2">
                  <c:v>51</c:v>
                </c:pt>
                <c:pt idx="3">
                  <c:v>62</c:v>
                </c:pt>
                <c:pt idx="4">
                  <c:v>64</c:v>
                </c:pt>
              </c:numCache>
            </c:numRef>
          </c:val>
          <c:extLst xmlns:c16r2="http://schemas.microsoft.com/office/drawing/2015/06/chart">
            <c:ext xmlns:c16="http://schemas.microsoft.com/office/drawing/2014/chart" uri="{C3380CC4-5D6E-409C-BE32-E72D297353CC}">
              <c16:uniqueId val="{00000000-172B-424C-AD4B-2E0F52AD47E5}"/>
            </c:ext>
          </c:extLst>
        </c:ser>
        <c:dLbls>
          <c:showLegendKey val="0"/>
          <c:showVal val="0"/>
          <c:showCatName val="0"/>
          <c:showSerName val="0"/>
          <c:showPercent val="0"/>
          <c:showBubbleSize val="0"/>
        </c:dLbls>
        <c:gapWidth val="36"/>
        <c:axId val="122779136"/>
        <c:axId val="122781056"/>
      </c:barChart>
      <c:catAx>
        <c:axId val="122779136"/>
        <c:scaling>
          <c:orientation val="minMax"/>
        </c:scaling>
        <c:delete val="0"/>
        <c:axPos val="b"/>
        <c:majorGridlines>
          <c:spPr>
            <a:ln>
              <a:noFill/>
            </a:ln>
          </c:spPr>
        </c:majorGridlines>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Fatty acid</a:t>
                </a:r>
              </a:p>
            </c:rich>
          </c:tx>
          <c:layout/>
          <c:overlay val="0"/>
        </c:title>
        <c:numFmt formatCode="General" sourceLinked="0"/>
        <c:majorTickMark val="none"/>
        <c:minorTickMark val="none"/>
        <c:tickLblPos val="nextTo"/>
        <c:txPr>
          <a:bodyPr/>
          <a:lstStyle/>
          <a:p>
            <a:pPr>
              <a:defRPr sz="900" b="1" baseline="0">
                <a:latin typeface="Times New Roman" panose="02020603050405020304" pitchFamily="18" charset="0"/>
                <a:cs typeface="Times New Roman" panose="02020603050405020304" pitchFamily="18" charset="0"/>
              </a:defRPr>
            </a:pPr>
            <a:endParaRPr lang="en-US"/>
          </a:p>
        </c:txPr>
        <c:crossAx val="122781056"/>
        <c:crosses val="autoZero"/>
        <c:auto val="1"/>
        <c:lblAlgn val="ctr"/>
        <c:lblOffset val="100"/>
        <c:noMultiLvlLbl val="0"/>
      </c:catAx>
      <c:valAx>
        <c:axId val="122781056"/>
        <c:scaling>
          <c:orientation val="minMax"/>
          <c:max val="100"/>
        </c:scaling>
        <c:delete val="0"/>
        <c:axPos val="l"/>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Percentage of conversion/ %</a:t>
                </a:r>
              </a:p>
            </c:rich>
          </c:tx>
          <c:layout/>
          <c:overlay val="0"/>
        </c:title>
        <c:numFmt formatCode="General" sourceLinked="1"/>
        <c:majorTickMark val="out"/>
        <c:minorTickMark val="none"/>
        <c:tickLblPos val="nextTo"/>
        <c:crossAx val="122779136"/>
        <c:crosses val="autoZero"/>
        <c:crossBetween val="between"/>
      </c:valAx>
    </c:plotArea>
    <c:plotVisOnly val="1"/>
    <c:dispBlanksAs val="gap"/>
    <c:showDLblsOverMax val="0"/>
  </c:chart>
  <c:spPr>
    <a:ln w="6350">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3D002-ED45-4D83-B86A-969AD809A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4068</Words>
  <Characters>22771</Characters>
  <Application>Microsoft Office Word</Application>
  <DocSecurity>0</DocSecurity>
  <Lines>343</Lines>
  <Paragraphs>87</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26836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7</cp:revision>
  <cp:lastPrinted>2020-04-02T03:21:00Z</cp:lastPrinted>
  <dcterms:created xsi:type="dcterms:W3CDTF">2020-03-24T07:08:00Z</dcterms:created>
  <dcterms:modified xsi:type="dcterms:W3CDTF">2020-04-02T03:21:00Z</dcterms:modified>
</cp:coreProperties>
</file>