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687B42" w:rsidRDefault="00687B42" w:rsidP="00687B42">
      <w:pPr>
        <w:spacing w:after="0" w:line="240" w:lineRule="auto"/>
        <w:jc w:val="center"/>
        <w:outlineLvl w:val="0"/>
        <w:rPr>
          <w:rFonts w:ascii="Times New Roman" w:hAnsi="Times New Roman"/>
          <w:sz w:val="28"/>
          <w:szCs w:val="28"/>
        </w:rPr>
      </w:pPr>
      <w:r w:rsidRPr="000A69BC">
        <w:rPr>
          <w:rFonts w:ascii="Times New Roman" w:hAnsi="Times New Roman"/>
          <w:sz w:val="28"/>
          <w:szCs w:val="28"/>
        </w:rPr>
        <w:t xml:space="preserve">ELECTROSYNTHESIS OF SILVER OXIDE DEPOSITED ONTO </w:t>
      </w:r>
    </w:p>
    <w:p w:rsidR="00687B42" w:rsidRPr="000A69BC" w:rsidRDefault="00687B42" w:rsidP="00687B42">
      <w:pPr>
        <w:spacing w:after="0" w:line="240" w:lineRule="auto"/>
        <w:jc w:val="center"/>
        <w:outlineLvl w:val="0"/>
        <w:rPr>
          <w:rFonts w:ascii="Times New Roman" w:hAnsi="Times New Roman"/>
          <w:sz w:val="28"/>
          <w:szCs w:val="28"/>
        </w:rPr>
      </w:pPr>
      <w:r w:rsidRPr="000A69BC">
        <w:rPr>
          <w:rFonts w:ascii="Times New Roman" w:hAnsi="Times New Roman"/>
          <w:sz w:val="28"/>
          <w:szCs w:val="28"/>
        </w:rPr>
        <w:t>HOT SPRING MUD WITH ENHANCED DEGRADATION OF CONGO RED</w:t>
      </w:r>
    </w:p>
    <w:p w:rsidR="00687B42" w:rsidRPr="00687B42" w:rsidRDefault="00687B42" w:rsidP="00687B42">
      <w:pPr>
        <w:spacing w:after="0" w:line="240" w:lineRule="auto"/>
        <w:jc w:val="center"/>
        <w:outlineLvl w:val="0"/>
        <w:rPr>
          <w:rFonts w:ascii="Times New Roman" w:hAnsi="Times New Roman"/>
          <w:sz w:val="24"/>
          <w:szCs w:val="24"/>
          <w:vertAlign w:val="subscript"/>
        </w:rPr>
      </w:pPr>
    </w:p>
    <w:p w:rsidR="00687B42" w:rsidRPr="00687B42" w:rsidRDefault="00687B42" w:rsidP="00687B42">
      <w:pPr>
        <w:spacing w:after="0" w:line="240" w:lineRule="auto"/>
        <w:jc w:val="center"/>
        <w:outlineLvl w:val="0"/>
        <w:rPr>
          <w:rFonts w:ascii="Times New Roman" w:hAnsi="Times New Roman"/>
          <w:sz w:val="24"/>
          <w:szCs w:val="24"/>
          <w:lang w:val="ms-MY"/>
        </w:rPr>
      </w:pPr>
      <w:r w:rsidRPr="000A69BC">
        <w:rPr>
          <w:rFonts w:ascii="Times New Roman" w:hAnsi="Times New Roman"/>
          <w:sz w:val="24"/>
          <w:szCs w:val="24"/>
        </w:rPr>
        <w:t>(</w:t>
      </w:r>
      <w:r w:rsidRPr="000A69BC">
        <w:rPr>
          <w:rFonts w:ascii="Times New Roman" w:hAnsi="Times New Roman"/>
          <w:sz w:val="24"/>
          <w:szCs w:val="24"/>
          <w:lang w:val="ms-MY"/>
        </w:rPr>
        <w:t>Elektrosintesis Perak Oksida Disokong Pada Lumpur Air Panas Dengan Peningkatan Degradasi Congo Merah</w:t>
      </w:r>
      <w:r w:rsidRPr="000A69BC">
        <w:rPr>
          <w:rFonts w:ascii="Times New Roman" w:hAnsi="Times New Roman"/>
          <w:sz w:val="24"/>
          <w:szCs w:val="24"/>
        </w:rPr>
        <w:t>)</w:t>
      </w:r>
    </w:p>
    <w:p w:rsidR="00687B42" w:rsidRPr="00687B42" w:rsidRDefault="00687B42" w:rsidP="00687B42">
      <w:pPr>
        <w:spacing w:after="0" w:line="240" w:lineRule="auto"/>
        <w:jc w:val="center"/>
        <w:outlineLvl w:val="0"/>
        <w:rPr>
          <w:rFonts w:ascii="Times New Roman" w:hAnsi="Times New Roman"/>
          <w:b/>
          <w:sz w:val="20"/>
          <w:szCs w:val="20"/>
        </w:rPr>
      </w:pPr>
    </w:p>
    <w:p w:rsidR="00687B42" w:rsidRPr="00687B42" w:rsidRDefault="00687B42" w:rsidP="00687B42">
      <w:pPr>
        <w:spacing w:after="0" w:line="240" w:lineRule="auto"/>
        <w:jc w:val="center"/>
        <w:outlineLvl w:val="0"/>
        <w:rPr>
          <w:rFonts w:ascii="Times New Roman" w:hAnsi="Times New Roman"/>
          <w:sz w:val="20"/>
          <w:szCs w:val="20"/>
        </w:rPr>
      </w:pPr>
      <w:r w:rsidRPr="00687B42">
        <w:rPr>
          <w:rFonts w:ascii="Times New Roman" w:hAnsi="Times New Roman"/>
          <w:sz w:val="20"/>
          <w:szCs w:val="20"/>
        </w:rPr>
        <w:t>Muhammad Farhan Hanafi, Ahmad Norsyazwan Mustafa, Norzahir Sapawe*</w:t>
      </w:r>
    </w:p>
    <w:p w:rsidR="00687B42" w:rsidRPr="00687B42" w:rsidRDefault="00687B42" w:rsidP="00687B42">
      <w:pPr>
        <w:spacing w:after="0" w:line="240" w:lineRule="auto"/>
        <w:jc w:val="center"/>
        <w:outlineLvl w:val="0"/>
        <w:rPr>
          <w:rFonts w:ascii="Times New Roman" w:hAnsi="Times New Roman"/>
          <w:b/>
          <w:sz w:val="18"/>
          <w:szCs w:val="18"/>
        </w:rPr>
      </w:pPr>
    </w:p>
    <w:p w:rsidR="00687B42" w:rsidRPr="00687B42" w:rsidRDefault="00687B42" w:rsidP="00687B42">
      <w:pPr>
        <w:spacing w:after="0" w:line="240" w:lineRule="auto"/>
        <w:jc w:val="center"/>
        <w:outlineLvl w:val="0"/>
        <w:rPr>
          <w:rFonts w:ascii="Times New Roman" w:hAnsi="Times New Roman"/>
          <w:i/>
          <w:iCs/>
          <w:noProof/>
          <w:sz w:val="18"/>
          <w:szCs w:val="18"/>
        </w:rPr>
      </w:pPr>
      <w:r w:rsidRPr="00687B42">
        <w:rPr>
          <w:rFonts w:ascii="Times New Roman" w:hAnsi="Times New Roman"/>
          <w:i/>
          <w:iCs/>
          <w:noProof/>
          <w:sz w:val="18"/>
          <w:szCs w:val="18"/>
        </w:rPr>
        <w:t>Univer</w:t>
      </w:r>
      <w:r w:rsidR="003D33DD">
        <w:rPr>
          <w:rFonts w:ascii="Times New Roman" w:hAnsi="Times New Roman"/>
          <w:i/>
          <w:iCs/>
          <w:noProof/>
          <w:sz w:val="18"/>
          <w:szCs w:val="18"/>
        </w:rPr>
        <w:t>siti Kuala Lumpur Branch Campu</w:t>
      </w:r>
      <w:r w:rsidR="007C3D02">
        <w:rPr>
          <w:rFonts w:ascii="Times New Roman" w:hAnsi="Times New Roman"/>
          <w:i/>
          <w:iCs/>
          <w:noProof/>
          <w:sz w:val="18"/>
          <w:szCs w:val="18"/>
        </w:rPr>
        <w:t>s</w:t>
      </w:r>
      <w:bookmarkStart w:id="0" w:name="_GoBack"/>
      <w:bookmarkEnd w:id="0"/>
    </w:p>
    <w:p w:rsidR="00687B42" w:rsidRPr="00687B42" w:rsidRDefault="00687B42" w:rsidP="00687B42">
      <w:pPr>
        <w:spacing w:after="0" w:line="240" w:lineRule="auto"/>
        <w:jc w:val="center"/>
        <w:outlineLvl w:val="0"/>
        <w:rPr>
          <w:rFonts w:ascii="Times New Roman" w:hAnsi="Times New Roman"/>
          <w:i/>
          <w:iCs/>
          <w:noProof/>
          <w:sz w:val="18"/>
          <w:szCs w:val="18"/>
        </w:rPr>
      </w:pPr>
      <w:r w:rsidRPr="00687B42">
        <w:rPr>
          <w:rFonts w:ascii="Times New Roman" w:hAnsi="Times New Roman"/>
          <w:i/>
          <w:iCs/>
          <w:noProof/>
          <w:sz w:val="18"/>
          <w:szCs w:val="18"/>
        </w:rPr>
        <w:t>Malaysian Institute of Chemical and Bioengineering Technology,</w:t>
      </w:r>
      <w:r>
        <w:rPr>
          <w:rFonts w:ascii="Times New Roman" w:hAnsi="Times New Roman"/>
          <w:i/>
          <w:iCs/>
          <w:noProof/>
          <w:sz w:val="18"/>
          <w:szCs w:val="18"/>
        </w:rPr>
        <w:t xml:space="preserve"> </w:t>
      </w:r>
      <w:r w:rsidRPr="00687B42">
        <w:rPr>
          <w:rFonts w:ascii="Times New Roman" w:hAnsi="Times New Roman"/>
          <w:i/>
          <w:iCs/>
          <w:noProof/>
          <w:sz w:val="18"/>
          <w:szCs w:val="18"/>
        </w:rPr>
        <w:t xml:space="preserve">Lot 1988 Vendor City, Taboh Naning, 78000 Alor Gajah, Melaka, Malaysia. </w:t>
      </w:r>
    </w:p>
    <w:p w:rsidR="00687B42" w:rsidRPr="00687B42" w:rsidRDefault="00687B42" w:rsidP="00687B42">
      <w:pPr>
        <w:spacing w:after="0" w:line="240" w:lineRule="auto"/>
        <w:jc w:val="center"/>
        <w:outlineLvl w:val="0"/>
        <w:rPr>
          <w:rFonts w:ascii="Times New Roman" w:hAnsi="Times New Roman"/>
          <w:b/>
          <w:sz w:val="18"/>
          <w:szCs w:val="18"/>
        </w:rPr>
      </w:pPr>
    </w:p>
    <w:p w:rsidR="00687B42" w:rsidRPr="00687B42" w:rsidRDefault="00687B42" w:rsidP="00687B42">
      <w:pPr>
        <w:spacing w:after="0" w:line="240" w:lineRule="auto"/>
        <w:jc w:val="center"/>
        <w:outlineLvl w:val="0"/>
        <w:rPr>
          <w:rFonts w:ascii="Times New Roman" w:hAnsi="Times New Roman"/>
          <w:i/>
          <w:sz w:val="18"/>
          <w:szCs w:val="18"/>
        </w:rPr>
      </w:pPr>
      <w:r w:rsidRPr="00687B42">
        <w:rPr>
          <w:rFonts w:ascii="Times New Roman" w:hAnsi="Times New Roman"/>
          <w:i/>
          <w:sz w:val="18"/>
          <w:szCs w:val="18"/>
        </w:rPr>
        <w:t>*Corresponding author:  norzahir@unikl.edu.my</w:t>
      </w:r>
    </w:p>
    <w:p w:rsidR="006768E9" w:rsidRPr="00F447A7" w:rsidRDefault="006768E9" w:rsidP="00687B42">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850B0">
        <w:rPr>
          <w:rFonts w:ascii="Times New Roman" w:hAnsi="Times New Roman"/>
          <w:noProof/>
          <w:sz w:val="18"/>
          <w:szCs w:val="18"/>
          <w:lang w:bidi="ar-SA"/>
        </w:rPr>
        <w:t>28 April 2019</w:t>
      </w:r>
      <w:r>
        <w:rPr>
          <w:rFonts w:ascii="Times New Roman" w:hAnsi="Times New Roman"/>
          <w:noProof/>
          <w:sz w:val="18"/>
          <w:szCs w:val="18"/>
          <w:lang w:bidi="ar-SA"/>
        </w:rPr>
        <w:t xml:space="preserve">; Accepted: </w:t>
      </w:r>
      <w:r w:rsidR="00C850B0">
        <w:rPr>
          <w:rFonts w:ascii="Times New Roman" w:hAnsi="Times New Roman"/>
          <w:noProof/>
          <w:sz w:val="18"/>
          <w:szCs w:val="18"/>
          <w:lang w:bidi="ar-SA"/>
        </w:rPr>
        <w:t>18 February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067F2A" w:rsidRPr="00067F2A" w:rsidRDefault="00067F2A" w:rsidP="00067F2A">
      <w:pPr>
        <w:spacing w:after="0" w:line="240" w:lineRule="auto"/>
        <w:jc w:val="both"/>
        <w:outlineLvl w:val="0"/>
        <w:rPr>
          <w:rFonts w:ascii="Times New Roman" w:eastAsia="Calibri" w:hAnsi="Times New Roman"/>
          <w:bCs/>
          <w:sz w:val="18"/>
          <w:szCs w:val="18"/>
        </w:rPr>
      </w:pPr>
      <w:r w:rsidRPr="00067F2A">
        <w:rPr>
          <w:rFonts w:ascii="Times New Roman" w:eastAsia="Calibri" w:hAnsi="Times New Roman"/>
          <w:bCs/>
          <w:sz w:val="18"/>
          <w:szCs w:val="18"/>
        </w:rPr>
        <w:t>AgO-supported hot spring mud (AgO-HSM) catalyst was prepared by introducing AgO onto HSM support through electrochemical method. The effect of preparation methods on the physical properties of the catalyst was studied. The interaction between silver species and HSM during the electrochemical process affected the AgO-HSM structure. The amount of 0.2 g L</w:t>
      </w:r>
      <w:r w:rsidRPr="00067F2A">
        <w:rPr>
          <w:rFonts w:ascii="Times New Roman" w:eastAsia="Calibri" w:hAnsi="Times New Roman"/>
          <w:bCs/>
          <w:sz w:val="18"/>
          <w:szCs w:val="18"/>
          <w:vertAlign w:val="superscript"/>
        </w:rPr>
        <w:t xml:space="preserve">−1 </w:t>
      </w:r>
      <w:r w:rsidRPr="00067F2A">
        <w:rPr>
          <w:rFonts w:ascii="Times New Roman" w:eastAsia="Calibri" w:hAnsi="Times New Roman"/>
          <w:bCs/>
          <w:sz w:val="18"/>
          <w:szCs w:val="18"/>
        </w:rPr>
        <w:t>of 11 wt.% AgO-HSM was the optimum dosage for 10 mg L</w:t>
      </w:r>
      <w:r w:rsidRPr="00067F2A">
        <w:rPr>
          <w:rFonts w:ascii="Times New Roman" w:eastAsia="Calibri" w:hAnsi="Times New Roman"/>
          <w:bCs/>
          <w:sz w:val="18"/>
          <w:szCs w:val="18"/>
          <w:vertAlign w:val="superscript"/>
        </w:rPr>
        <w:t>−1</w:t>
      </w:r>
      <w:r w:rsidRPr="00067F2A">
        <w:rPr>
          <w:rFonts w:ascii="Times New Roman" w:eastAsia="Calibri" w:hAnsi="Times New Roman"/>
          <w:bCs/>
          <w:sz w:val="18"/>
          <w:szCs w:val="18"/>
        </w:rPr>
        <w:t xml:space="preserve"> Congo red (CR), which resulted in 98.2% of maximum degradation after 2 hours of contact time at pH 5 under fluorescent light. This study showed that the kinetics followed a pseudo-first order Langmuir–Hinshelwood model with the calculated values of K</w:t>
      </w:r>
      <w:r w:rsidRPr="00067F2A">
        <w:rPr>
          <w:rFonts w:ascii="Times New Roman" w:eastAsia="Calibri" w:hAnsi="Times New Roman"/>
          <w:bCs/>
          <w:sz w:val="18"/>
          <w:szCs w:val="18"/>
          <w:vertAlign w:val="subscript"/>
        </w:rPr>
        <w:t>r</w:t>
      </w:r>
      <w:r w:rsidRPr="00067F2A">
        <w:rPr>
          <w:rFonts w:ascii="Times New Roman" w:eastAsia="Calibri" w:hAnsi="Times New Roman"/>
          <w:bCs/>
          <w:sz w:val="18"/>
          <w:szCs w:val="18"/>
        </w:rPr>
        <w:t xml:space="preserve"> and K</w:t>
      </w:r>
      <w:r w:rsidRPr="00067F2A">
        <w:rPr>
          <w:rFonts w:ascii="Times New Roman" w:eastAsia="Calibri" w:hAnsi="Times New Roman"/>
          <w:bCs/>
          <w:sz w:val="18"/>
          <w:szCs w:val="18"/>
          <w:vertAlign w:val="subscript"/>
        </w:rPr>
        <w:t>LH</w:t>
      </w:r>
      <w:r w:rsidRPr="00067F2A">
        <w:rPr>
          <w:rFonts w:ascii="Times New Roman" w:eastAsia="Calibri" w:hAnsi="Times New Roman"/>
          <w:bCs/>
          <w:sz w:val="18"/>
          <w:szCs w:val="18"/>
        </w:rPr>
        <w:t xml:space="preserve"> were 172.41 mg L</w:t>
      </w:r>
      <w:r w:rsidRPr="00067F2A">
        <w:rPr>
          <w:rFonts w:ascii="Times New Roman" w:eastAsia="Calibri" w:hAnsi="Times New Roman"/>
          <w:bCs/>
          <w:sz w:val="18"/>
          <w:szCs w:val="18"/>
          <w:vertAlign w:val="superscript"/>
        </w:rPr>
        <w:t>−1</w:t>
      </w:r>
      <w:r w:rsidRPr="00067F2A">
        <w:rPr>
          <w:rFonts w:ascii="Times New Roman" w:eastAsia="Calibri" w:hAnsi="Times New Roman"/>
          <w:bCs/>
          <w:sz w:val="18"/>
          <w:szCs w:val="18"/>
        </w:rPr>
        <w:t xml:space="preserve"> h</w:t>
      </w:r>
      <w:r w:rsidRPr="00067F2A">
        <w:rPr>
          <w:rFonts w:ascii="Times New Roman" w:eastAsia="Calibri" w:hAnsi="Times New Roman"/>
          <w:bCs/>
          <w:sz w:val="18"/>
          <w:szCs w:val="18"/>
          <w:vertAlign w:val="superscript"/>
        </w:rPr>
        <w:t>−1</w:t>
      </w:r>
      <w:r w:rsidRPr="00067F2A">
        <w:rPr>
          <w:rFonts w:ascii="Times New Roman" w:eastAsia="Calibri" w:hAnsi="Times New Roman"/>
          <w:bCs/>
          <w:sz w:val="18"/>
          <w:szCs w:val="18"/>
        </w:rPr>
        <w:t xml:space="preserve"> and 0.005 L mg</w:t>
      </w:r>
      <w:r w:rsidRPr="00067F2A">
        <w:rPr>
          <w:rFonts w:ascii="Times New Roman" w:eastAsia="Calibri" w:hAnsi="Times New Roman"/>
          <w:bCs/>
          <w:sz w:val="18"/>
          <w:szCs w:val="18"/>
          <w:vertAlign w:val="superscript"/>
        </w:rPr>
        <w:t>−1</w:t>
      </w:r>
      <w:r w:rsidRPr="00067F2A">
        <w:rPr>
          <w:rFonts w:ascii="Times New Roman" w:eastAsia="Calibri" w:hAnsi="Times New Roman"/>
          <w:bCs/>
          <w:sz w:val="18"/>
          <w:szCs w:val="18"/>
        </w:rPr>
        <w:t>, respectively. The measurements of the mineralization of CR by COD and BOD</w:t>
      </w:r>
      <w:r w:rsidRPr="00067F2A">
        <w:rPr>
          <w:rFonts w:ascii="Times New Roman" w:eastAsia="Calibri" w:hAnsi="Times New Roman"/>
          <w:bCs/>
          <w:sz w:val="18"/>
          <w:szCs w:val="18"/>
          <w:vertAlign w:val="subscript"/>
        </w:rPr>
        <w:t>5</w:t>
      </w:r>
      <w:r w:rsidRPr="00067F2A">
        <w:rPr>
          <w:rFonts w:ascii="Times New Roman" w:eastAsia="Calibri" w:hAnsi="Times New Roman"/>
          <w:bCs/>
          <w:sz w:val="18"/>
          <w:szCs w:val="18"/>
        </w:rPr>
        <w:t xml:space="preserve"> analysis were 38.4% and 61.1%, respectively, before and after reaction. Therefore, AgO-HSM could be a promising catalyst for the degradation of various dyes in wastewater</w:t>
      </w:r>
      <w:r w:rsidRPr="00067F2A">
        <w:rPr>
          <w:rFonts w:ascii="Times New Roman" w:hAnsi="Times New Roman"/>
          <w:sz w:val="18"/>
          <w:szCs w:val="18"/>
        </w:rPr>
        <w:t>.</w:t>
      </w:r>
    </w:p>
    <w:p w:rsidR="00067F2A" w:rsidRPr="00067F2A" w:rsidRDefault="00067F2A" w:rsidP="00067F2A">
      <w:pPr>
        <w:spacing w:after="0" w:line="240" w:lineRule="auto"/>
        <w:jc w:val="both"/>
        <w:outlineLvl w:val="0"/>
        <w:rPr>
          <w:rFonts w:ascii="Times New Roman" w:hAnsi="Times New Roman"/>
          <w:sz w:val="18"/>
          <w:szCs w:val="18"/>
        </w:rPr>
      </w:pPr>
      <w:r w:rsidRPr="00067F2A">
        <w:rPr>
          <w:rFonts w:ascii="Times New Roman" w:hAnsi="Times New Roman"/>
          <w:sz w:val="18"/>
          <w:szCs w:val="18"/>
        </w:rPr>
        <w:t xml:space="preserve"> </w:t>
      </w:r>
    </w:p>
    <w:p w:rsidR="00067F2A" w:rsidRPr="00067F2A" w:rsidRDefault="00067F2A" w:rsidP="00067F2A">
      <w:pPr>
        <w:spacing w:after="0" w:line="240" w:lineRule="auto"/>
        <w:jc w:val="both"/>
        <w:outlineLvl w:val="0"/>
        <w:rPr>
          <w:rFonts w:ascii="Times New Roman" w:hAnsi="Times New Roman"/>
          <w:sz w:val="18"/>
          <w:szCs w:val="18"/>
        </w:rPr>
      </w:pPr>
      <w:r w:rsidRPr="00067F2A">
        <w:rPr>
          <w:rFonts w:ascii="Times New Roman" w:hAnsi="Times New Roman"/>
          <w:b/>
          <w:sz w:val="18"/>
          <w:szCs w:val="18"/>
        </w:rPr>
        <w:t>Keywords</w:t>
      </w:r>
      <w:r w:rsidRPr="00067F2A">
        <w:rPr>
          <w:rFonts w:ascii="Times New Roman" w:hAnsi="Times New Roman"/>
          <w:b/>
          <w:bCs/>
          <w:sz w:val="18"/>
          <w:szCs w:val="18"/>
        </w:rPr>
        <w:t>:</w:t>
      </w:r>
      <w:r w:rsidRPr="00067F2A">
        <w:rPr>
          <w:rFonts w:ascii="Times New Roman" w:hAnsi="Times New Roman"/>
          <w:sz w:val="18"/>
          <w:szCs w:val="18"/>
        </w:rPr>
        <w:t xml:space="preserve"> </w:t>
      </w:r>
      <w:r>
        <w:rPr>
          <w:rFonts w:ascii="Times New Roman" w:hAnsi="Times New Roman"/>
          <w:sz w:val="18"/>
          <w:szCs w:val="18"/>
        </w:rPr>
        <w:t xml:space="preserve"> </w:t>
      </w:r>
      <w:r w:rsidRPr="00067F2A">
        <w:rPr>
          <w:rFonts w:ascii="Times New Roman" w:hAnsi="Times New Roman"/>
          <w:sz w:val="18"/>
          <w:szCs w:val="18"/>
        </w:rPr>
        <w:t>AgO-HSM, electrochemical, degradation, Congo red, light irradiation</w:t>
      </w:r>
    </w:p>
    <w:p w:rsidR="00067F2A" w:rsidRPr="00067F2A" w:rsidRDefault="00067F2A" w:rsidP="00067F2A">
      <w:pPr>
        <w:spacing w:after="0" w:line="240" w:lineRule="auto"/>
        <w:jc w:val="center"/>
        <w:outlineLvl w:val="0"/>
        <w:rPr>
          <w:rFonts w:ascii="Times New Roman" w:hAnsi="Times New Roman"/>
          <w:sz w:val="18"/>
          <w:szCs w:val="18"/>
        </w:rPr>
      </w:pPr>
    </w:p>
    <w:p w:rsidR="00067F2A" w:rsidRPr="00067F2A" w:rsidRDefault="00067F2A" w:rsidP="00067F2A">
      <w:pPr>
        <w:spacing w:after="0" w:line="240" w:lineRule="auto"/>
        <w:jc w:val="center"/>
        <w:outlineLvl w:val="0"/>
        <w:rPr>
          <w:rFonts w:ascii="Times New Roman" w:hAnsi="Times New Roman"/>
          <w:b/>
          <w:noProof/>
          <w:sz w:val="18"/>
          <w:szCs w:val="18"/>
          <w:lang w:val="ms-MY"/>
        </w:rPr>
      </w:pPr>
      <w:r w:rsidRPr="00067F2A">
        <w:rPr>
          <w:rFonts w:ascii="Times New Roman" w:hAnsi="Times New Roman"/>
          <w:b/>
          <w:noProof/>
          <w:sz w:val="18"/>
          <w:szCs w:val="18"/>
          <w:lang w:val="ms-MY"/>
        </w:rPr>
        <w:t>Abstrak</w:t>
      </w:r>
    </w:p>
    <w:p w:rsidR="00067F2A" w:rsidRPr="00067F2A" w:rsidRDefault="00067F2A" w:rsidP="00067F2A">
      <w:pPr>
        <w:spacing w:after="0" w:line="240" w:lineRule="auto"/>
        <w:jc w:val="both"/>
        <w:outlineLvl w:val="0"/>
        <w:rPr>
          <w:rFonts w:ascii="Times New Roman" w:eastAsia="Calibri" w:hAnsi="Times New Roman"/>
          <w:bCs/>
          <w:noProof/>
          <w:sz w:val="18"/>
          <w:szCs w:val="18"/>
          <w:lang w:val="ms-MY"/>
        </w:rPr>
      </w:pPr>
      <w:r w:rsidRPr="00067F2A">
        <w:rPr>
          <w:rFonts w:ascii="Times New Roman" w:hAnsi="Times New Roman"/>
          <w:noProof/>
          <w:sz w:val="18"/>
          <w:szCs w:val="18"/>
          <w:lang w:val="ms-MY"/>
        </w:rPr>
        <w:t>Mangkin AgO yang disokong pada lumpur air panas (AgO-HSM) telah disediakan dengan memperkenalkan AgO ke atas sokongan HSM melalui kaedah elektrokimia. Kesan kaedah penyediaan sifat fizikal mangkin telah dikaji. Interaksi antara spesis perak dan HSM semasa elektrokimia didapati mempengaruhi struktur AgO-HSM. Sejumlah 0.2 gL</w:t>
      </w:r>
      <w:r w:rsidRPr="00067F2A">
        <w:rPr>
          <w:rFonts w:ascii="Times New Roman" w:hAnsi="Times New Roman"/>
          <w:noProof/>
          <w:sz w:val="18"/>
          <w:szCs w:val="18"/>
          <w:vertAlign w:val="superscript"/>
          <w:lang w:val="ms-MY"/>
        </w:rPr>
        <w:t>-1</w:t>
      </w:r>
      <w:r w:rsidRPr="00067F2A">
        <w:rPr>
          <w:rFonts w:ascii="Times New Roman" w:hAnsi="Times New Roman"/>
          <w:noProof/>
          <w:sz w:val="18"/>
          <w:szCs w:val="18"/>
          <w:lang w:val="ms-MY"/>
        </w:rPr>
        <w:t xml:space="preserve"> dari 11% berat AgO-HSM didapati sebagai dos optimum untuk 10 mgL</w:t>
      </w:r>
      <w:r w:rsidRPr="00067F2A">
        <w:rPr>
          <w:rFonts w:ascii="Times New Roman" w:hAnsi="Times New Roman"/>
          <w:noProof/>
          <w:sz w:val="18"/>
          <w:szCs w:val="18"/>
          <w:vertAlign w:val="superscript"/>
          <w:lang w:val="ms-MY"/>
        </w:rPr>
        <w:t>-1</w:t>
      </w:r>
      <w:r w:rsidRPr="00067F2A">
        <w:rPr>
          <w:rFonts w:ascii="Times New Roman" w:hAnsi="Times New Roman"/>
          <w:noProof/>
          <w:sz w:val="18"/>
          <w:szCs w:val="18"/>
          <w:lang w:val="ms-MY"/>
        </w:rPr>
        <w:t xml:space="preserve"> Congo merah (CR), yang mengakibatkan 98.2% degradasi maksimum selepas 2 jam masa sentuhan pada pH 5 di bawah cahaya pendarfluor. Kajian ini menunjukkan bahawa kesan kinetik mengikut model Langmuir-Hinshelwood dengan pseudo-pertama dengan nilai kiraan Kr dan K</w:t>
      </w:r>
      <w:r w:rsidRPr="00067F2A">
        <w:rPr>
          <w:rFonts w:ascii="Times New Roman" w:hAnsi="Times New Roman"/>
          <w:noProof/>
          <w:sz w:val="18"/>
          <w:szCs w:val="18"/>
          <w:vertAlign w:val="subscript"/>
          <w:lang w:val="ms-MY"/>
        </w:rPr>
        <w:t>LH</w:t>
      </w:r>
      <w:r w:rsidRPr="00067F2A">
        <w:rPr>
          <w:rFonts w:ascii="Times New Roman" w:hAnsi="Times New Roman"/>
          <w:noProof/>
          <w:sz w:val="18"/>
          <w:szCs w:val="18"/>
          <w:lang w:val="ms-MY"/>
        </w:rPr>
        <w:t xml:space="preserve"> masing-masing ialah 172.41 mgL</w:t>
      </w:r>
      <w:r w:rsidRPr="00067F2A">
        <w:rPr>
          <w:rFonts w:ascii="Times New Roman" w:hAnsi="Times New Roman"/>
          <w:noProof/>
          <w:sz w:val="18"/>
          <w:szCs w:val="18"/>
          <w:vertAlign w:val="superscript"/>
          <w:lang w:val="ms-MY"/>
        </w:rPr>
        <w:t>-1</w:t>
      </w:r>
      <w:r w:rsidRPr="00067F2A">
        <w:rPr>
          <w:rFonts w:ascii="Times New Roman" w:hAnsi="Times New Roman"/>
          <w:noProof/>
          <w:sz w:val="18"/>
          <w:szCs w:val="18"/>
          <w:lang w:val="ms-MY"/>
        </w:rPr>
        <w:t>h</w:t>
      </w:r>
      <w:r w:rsidRPr="00067F2A">
        <w:rPr>
          <w:rFonts w:ascii="Times New Roman" w:hAnsi="Times New Roman"/>
          <w:noProof/>
          <w:sz w:val="18"/>
          <w:szCs w:val="18"/>
          <w:vertAlign w:val="superscript"/>
          <w:lang w:val="ms-MY"/>
        </w:rPr>
        <w:t>-1</w:t>
      </w:r>
      <w:r w:rsidRPr="00067F2A">
        <w:rPr>
          <w:rFonts w:ascii="Times New Roman" w:hAnsi="Times New Roman"/>
          <w:noProof/>
          <w:sz w:val="18"/>
          <w:szCs w:val="18"/>
          <w:lang w:val="ms-MY"/>
        </w:rPr>
        <w:t xml:space="preserve"> dan 0.005 Lmg</w:t>
      </w:r>
      <w:r w:rsidRPr="00067F2A">
        <w:rPr>
          <w:rFonts w:ascii="Times New Roman" w:hAnsi="Times New Roman"/>
          <w:noProof/>
          <w:sz w:val="18"/>
          <w:szCs w:val="18"/>
          <w:vertAlign w:val="superscript"/>
          <w:lang w:val="ms-MY"/>
        </w:rPr>
        <w:t>-1</w:t>
      </w:r>
      <w:r w:rsidRPr="00067F2A">
        <w:rPr>
          <w:rFonts w:ascii="Times New Roman" w:hAnsi="Times New Roman"/>
          <w:noProof/>
          <w:sz w:val="18"/>
          <w:szCs w:val="18"/>
          <w:lang w:val="ms-MY"/>
        </w:rPr>
        <w:t>. Pengukuran mineralisasi CR oleh COD dan BOD</w:t>
      </w:r>
      <w:r w:rsidRPr="00067F2A">
        <w:rPr>
          <w:rFonts w:ascii="Times New Roman" w:hAnsi="Times New Roman"/>
          <w:noProof/>
          <w:sz w:val="18"/>
          <w:szCs w:val="18"/>
          <w:vertAlign w:val="subscript"/>
          <w:lang w:val="ms-MY"/>
        </w:rPr>
        <w:t xml:space="preserve">5 </w:t>
      </w:r>
      <w:r w:rsidRPr="00067F2A">
        <w:rPr>
          <w:rFonts w:ascii="Times New Roman" w:hAnsi="Times New Roman"/>
          <w:noProof/>
          <w:sz w:val="18"/>
          <w:szCs w:val="18"/>
          <w:lang w:val="ms-MY"/>
        </w:rPr>
        <w:t>adalah 38.4% dan 61.1%, sebelum dan selepas tindak balas. Oleh itu, AgO-HSM boleh menjadi mangkin yang menjanjikan degradasi pelbagai pewarna dalam air kumbahan.</w:t>
      </w:r>
    </w:p>
    <w:p w:rsidR="00067F2A" w:rsidRPr="00067F2A" w:rsidRDefault="00067F2A" w:rsidP="00067F2A">
      <w:pPr>
        <w:spacing w:after="0" w:line="240" w:lineRule="auto"/>
        <w:jc w:val="both"/>
        <w:outlineLvl w:val="0"/>
        <w:rPr>
          <w:rFonts w:ascii="Times New Roman" w:hAnsi="Times New Roman"/>
          <w:noProof/>
          <w:sz w:val="18"/>
          <w:szCs w:val="18"/>
          <w:lang w:val="ms-MY"/>
        </w:rPr>
      </w:pPr>
      <w:r w:rsidRPr="00067F2A">
        <w:rPr>
          <w:rFonts w:ascii="Times New Roman" w:hAnsi="Times New Roman"/>
          <w:noProof/>
          <w:sz w:val="18"/>
          <w:szCs w:val="18"/>
          <w:lang w:val="ms-MY"/>
        </w:rPr>
        <w:t xml:space="preserve"> </w:t>
      </w:r>
    </w:p>
    <w:p w:rsidR="00067F2A" w:rsidRPr="00067F2A" w:rsidRDefault="00067F2A" w:rsidP="00067F2A">
      <w:pPr>
        <w:spacing w:after="0" w:line="240" w:lineRule="auto"/>
        <w:jc w:val="both"/>
        <w:outlineLvl w:val="0"/>
        <w:rPr>
          <w:rFonts w:ascii="Times New Roman" w:hAnsi="Times New Roman"/>
          <w:noProof/>
          <w:sz w:val="18"/>
          <w:szCs w:val="18"/>
          <w:lang w:val="ms-MY"/>
        </w:rPr>
      </w:pPr>
      <w:r w:rsidRPr="00067F2A">
        <w:rPr>
          <w:rFonts w:ascii="Times New Roman" w:hAnsi="Times New Roman"/>
          <w:b/>
          <w:noProof/>
          <w:sz w:val="18"/>
          <w:szCs w:val="18"/>
          <w:lang w:val="ms-MY"/>
        </w:rPr>
        <w:t>Keywords</w:t>
      </w:r>
      <w:r w:rsidRPr="00067F2A">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067F2A">
        <w:rPr>
          <w:rFonts w:ascii="Times New Roman" w:hAnsi="Times New Roman"/>
          <w:noProof/>
          <w:sz w:val="18"/>
          <w:szCs w:val="18"/>
          <w:lang w:val="ms-MY"/>
        </w:rPr>
        <w:t>AgO-HSM, elektrokimia, degradasi, Congo merah, penyinaran cahaya</w:t>
      </w:r>
    </w:p>
    <w:p w:rsidR="006768E9" w:rsidRDefault="006768E9" w:rsidP="00067F2A">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67F2A" w:rsidRPr="00067F2A" w:rsidRDefault="00067F2A" w:rsidP="00067F2A">
      <w:pPr>
        <w:spacing w:after="0" w:line="240" w:lineRule="auto"/>
        <w:jc w:val="both"/>
        <w:rPr>
          <w:rFonts w:ascii="Times New Roman" w:hAnsi="Times New Roman"/>
          <w:bCs/>
          <w:sz w:val="20"/>
          <w:szCs w:val="20"/>
        </w:rPr>
      </w:pPr>
      <w:r w:rsidRPr="00067F2A">
        <w:rPr>
          <w:rFonts w:ascii="Times New Roman" w:hAnsi="Times New Roman"/>
          <w:bCs/>
          <w:sz w:val="20"/>
          <w:szCs w:val="20"/>
        </w:rPr>
        <w:t>Synthetic dyes are used almost in all branches of the consumer goods industry. About 10,000 tons of dyes are produced per year. Inevitably, there are dye losses (approximately 12% of used amount) during manufacturing and processing operations [1]. Azo dyes are characterized by the presence of N=N groups; methyl orange is a common water-soluble azo dye. The removals of these non-biodegradable organic chemicals from the environment are a crucial ecological problem</w:t>
      </w:r>
      <w:r w:rsidRPr="00067F2A">
        <w:rPr>
          <w:rFonts w:ascii="Times New Roman" w:hAnsi="Times New Roman"/>
          <w:sz w:val="20"/>
          <w:szCs w:val="20"/>
        </w:rPr>
        <w:t xml:space="preserve"> </w:t>
      </w:r>
      <w:r w:rsidRPr="00067F2A">
        <w:rPr>
          <w:rFonts w:ascii="Times New Roman" w:hAnsi="Times New Roman"/>
          <w:bCs/>
          <w:sz w:val="20"/>
          <w:szCs w:val="20"/>
        </w:rPr>
        <w:t xml:space="preserve">and are suspected to be carcinogenic and mutagenic to humans, in addition to reducing light penetration in bodies of water, which is harmful to aquatic life. </w:t>
      </w:r>
    </w:p>
    <w:p w:rsidR="00067F2A" w:rsidRPr="00067F2A" w:rsidRDefault="00067F2A" w:rsidP="00067F2A">
      <w:pPr>
        <w:spacing w:after="0" w:line="240" w:lineRule="auto"/>
        <w:jc w:val="both"/>
        <w:rPr>
          <w:rFonts w:ascii="Times New Roman" w:hAnsi="Times New Roman"/>
          <w:bCs/>
          <w:sz w:val="20"/>
          <w:szCs w:val="20"/>
        </w:rPr>
      </w:pPr>
    </w:p>
    <w:p w:rsidR="00067F2A" w:rsidRPr="00067F2A" w:rsidRDefault="00067F2A" w:rsidP="00067F2A">
      <w:pPr>
        <w:spacing w:after="0" w:line="240" w:lineRule="auto"/>
        <w:jc w:val="both"/>
        <w:rPr>
          <w:rFonts w:ascii="Times New Roman" w:hAnsi="Times New Roman"/>
          <w:bCs/>
          <w:sz w:val="20"/>
          <w:szCs w:val="20"/>
        </w:rPr>
      </w:pPr>
      <w:r w:rsidRPr="00067F2A">
        <w:rPr>
          <w:rFonts w:ascii="Times New Roman" w:hAnsi="Times New Roman"/>
          <w:bCs/>
          <w:sz w:val="20"/>
          <w:szCs w:val="20"/>
        </w:rPr>
        <w:t>Several methods for the removal of dyes have been reported, including adsorption, coagulation and flocculation, and membrane separation. However, these methods have their own limitations of being time consuming, expensive, and commercially unattractive, as well as resulting in the generation of secondary waste [2]. Photocatalysts have become important because advanced oxidation processes (AOPs) can convert a wide range of harmful dyes into non-toxic products, CO</w:t>
      </w:r>
      <w:r w:rsidRPr="00067F2A">
        <w:rPr>
          <w:rFonts w:ascii="Times New Roman" w:hAnsi="Times New Roman"/>
          <w:bCs/>
          <w:sz w:val="20"/>
          <w:szCs w:val="20"/>
          <w:vertAlign w:val="subscript"/>
        </w:rPr>
        <w:t>2</w:t>
      </w:r>
      <w:r w:rsidRPr="00067F2A">
        <w:rPr>
          <w:rFonts w:ascii="Times New Roman" w:hAnsi="Times New Roman"/>
          <w:bCs/>
          <w:sz w:val="20"/>
          <w:szCs w:val="20"/>
        </w:rPr>
        <w:t>, and water at ambient temperature. The abundance of hydroxyl radicals generated by the AOPs plays an important role in oxidizing the organic species present in the wastewater into harmless species. Other than that, this reaction also has simple design and operation. It is also non-conventional, low cost, and a highly efficient method [3]. The photocatalytic detoxification of wastewater is a process that combines heterogeneous catalysis with solar technologies. Heterogeneous photocatalysis by semiconductor materials, such as TiO</w:t>
      </w:r>
      <w:r w:rsidRPr="00067F2A">
        <w:rPr>
          <w:rFonts w:ascii="Times New Roman" w:hAnsi="Times New Roman"/>
          <w:bCs/>
          <w:sz w:val="20"/>
          <w:szCs w:val="20"/>
          <w:vertAlign w:val="subscript"/>
        </w:rPr>
        <w:t>2</w:t>
      </w:r>
      <w:r w:rsidRPr="00067F2A">
        <w:rPr>
          <w:rFonts w:ascii="Times New Roman" w:hAnsi="Times New Roman"/>
          <w:bCs/>
          <w:sz w:val="20"/>
          <w:szCs w:val="20"/>
        </w:rPr>
        <w:t>, ZnO, Fe</w:t>
      </w:r>
      <w:r w:rsidRPr="00067F2A">
        <w:rPr>
          <w:rFonts w:ascii="Times New Roman" w:hAnsi="Times New Roman"/>
          <w:bCs/>
          <w:sz w:val="20"/>
          <w:szCs w:val="20"/>
          <w:vertAlign w:val="subscript"/>
        </w:rPr>
        <w:t>2</w:t>
      </w:r>
      <w:r w:rsidRPr="00067F2A">
        <w:rPr>
          <w:rFonts w:ascii="Times New Roman" w:hAnsi="Times New Roman"/>
          <w:bCs/>
          <w:sz w:val="20"/>
          <w:szCs w:val="20"/>
        </w:rPr>
        <w:t>O</w:t>
      </w:r>
      <w:r w:rsidRPr="00067F2A">
        <w:rPr>
          <w:rFonts w:ascii="Times New Roman" w:hAnsi="Times New Roman"/>
          <w:bCs/>
          <w:sz w:val="20"/>
          <w:szCs w:val="20"/>
          <w:vertAlign w:val="subscript"/>
        </w:rPr>
        <w:t>3</w:t>
      </w:r>
      <w:r w:rsidRPr="00067F2A">
        <w:rPr>
          <w:rFonts w:ascii="Times New Roman" w:hAnsi="Times New Roman"/>
          <w:bCs/>
          <w:sz w:val="20"/>
          <w:szCs w:val="20"/>
        </w:rPr>
        <w:t>, CdS, GaP, and ZnS, has been widely used in photocatalytic degradation [2].</w:t>
      </w:r>
    </w:p>
    <w:p w:rsidR="00067F2A" w:rsidRPr="00067F2A" w:rsidRDefault="00067F2A" w:rsidP="00067F2A">
      <w:pPr>
        <w:spacing w:after="0" w:line="240" w:lineRule="auto"/>
        <w:jc w:val="both"/>
        <w:rPr>
          <w:rFonts w:ascii="Times New Roman" w:hAnsi="Times New Roman"/>
          <w:bCs/>
          <w:sz w:val="20"/>
          <w:szCs w:val="20"/>
        </w:rPr>
      </w:pPr>
    </w:p>
    <w:p w:rsidR="00067F2A" w:rsidRPr="00067F2A" w:rsidRDefault="00067F2A" w:rsidP="00067F2A">
      <w:pPr>
        <w:spacing w:after="0" w:line="240" w:lineRule="auto"/>
        <w:jc w:val="both"/>
        <w:rPr>
          <w:rFonts w:ascii="Times New Roman" w:hAnsi="Times New Roman"/>
          <w:bCs/>
          <w:sz w:val="20"/>
          <w:szCs w:val="20"/>
        </w:rPr>
      </w:pPr>
      <w:r w:rsidRPr="00067F2A">
        <w:rPr>
          <w:rFonts w:ascii="Times New Roman" w:hAnsi="Times New Roman"/>
          <w:bCs/>
          <w:sz w:val="20"/>
          <w:szCs w:val="20"/>
        </w:rPr>
        <w:t>Hot spring mud is one of the clays that are widespread, easily available, and low-cost chemical substances. Both in their native state and in numerous modified forms, clays are versatile materials that catalyze a variety of chemical reactions. Clays are nanoparticles with layered structures that possess net negative charge neutralized by cations, such as Na</w:t>
      </w:r>
      <w:r w:rsidRPr="00067F2A">
        <w:rPr>
          <w:rFonts w:ascii="Times New Roman" w:hAnsi="Times New Roman"/>
          <w:bCs/>
          <w:sz w:val="20"/>
          <w:szCs w:val="20"/>
          <w:vertAlign w:val="superscript"/>
        </w:rPr>
        <w:t>+</w:t>
      </w:r>
      <w:r w:rsidRPr="00067F2A">
        <w:rPr>
          <w:rFonts w:ascii="Times New Roman" w:hAnsi="Times New Roman"/>
          <w:bCs/>
          <w:sz w:val="20"/>
          <w:szCs w:val="20"/>
        </w:rPr>
        <w:t>, K</w:t>
      </w:r>
      <w:r w:rsidRPr="00067F2A">
        <w:rPr>
          <w:rFonts w:ascii="Times New Roman" w:hAnsi="Times New Roman"/>
          <w:bCs/>
          <w:sz w:val="20"/>
          <w:szCs w:val="20"/>
          <w:vertAlign w:val="superscript"/>
        </w:rPr>
        <w:t>+</w:t>
      </w:r>
      <w:r w:rsidRPr="00067F2A">
        <w:rPr>
          <w:rFonts w:ascii="Times New Roman" w:hAnsi="Times New Roman"/>
          <w:bCs/>
          <w:sz w:val="20"/>
          <w:szCs w:val="20"/>
        </w:rPr>
        <w:t>, and Ca</w:t>
      </w:r>
      <w:r w:rsidRPr="00067F2A">
        <w:rPr>
          <w:rFonts w:ascii="Times New Roman" w:hAnsi="Times New Roman"/>
          <w:bCs/>
          <w:sz w:val="20"/>
          <w:szCs w:val="20"/>
          <w:vertAlign w:val="superscript"/>
        </w:rPr>
        <w:t>2+</w:t>
      </w:r>
      <w:r w:rsidRPr="00067F2A">
        <w:rPr>
          <w:rFonts w:ascii="Times New Roman" w:hAnsi="Times New Roman"/>
          <w:bCs/>
          <w:sz w:val="20"/>
          <w:szCs w:val="20"/>
          <w:vertAlign w:val="subscript"/>
        </w:rPr>
        <w:t xml:space="preserve">, </w:t>
      </w:r>
      <w:r w:rsidRPr="00067F2A">
        <w:rPr>
          <w:rFonts w:ascii="Times New Roman" w:hAnsi="Times New Roman"/>
          <w:bCs/>
          <w:sz w:val="20"/>
          <w:szCs w:val="20"/>
        </w:rPr>
        <w:t xml:space="preserve">which occupy the interlamellar space. The amazing amenability of clays for modification lies in the fact that these interlamellar cations can be very easily replaced by other cations or molecules [4]. </w:t>
      </w:r>
    </w:p>
    <w:p w:rsidR="00067F2A" w:rsidRPr="00067F2A" w:rsidRDefault="00067F2A" w:rsidP="00067F2A">
      <w:pPr>
        <w:spacing w:after="0" w:line="240" w:lineRule="auto"/>
        <w:jc w:val="both"/>
        <w:rPr>
          <w:rFonts w:ascii="Times New Roman" w:hAnsi="Times New Roman"/>
          <w:bCs/>
          <w:sz w:val="20"/>
          <w:szCs w:val="20"/>
        </w:rPr>
      </w:pPr>
    </w:p>
    <w:p w:rsidR="00067F2A" w:rsidRPr="00067F2A" w:rsidRDefault="00067F2A" w:rsidP="00067F2A">
      <w:pPr>
        <w:spacing w:after="0" w:line="240" w:lineRule="auto"/>
        <w:jc w:val="both"/>
        <w:rPr>
          <w:rFonts w:ascii="Times New Roman" w:hAnsi="Times New Roman"/>
          <w:bCs/>
          <w:sz w:val="20"/>
          <w:szCs w:val="20"/>
        </w:rPr>
      </w:pPr>
      <w:r w:rsidRPr="00067F2A">
        <w:rPr>
          <w:rFonts w:ascii="Times New Roman" w:hAnsi="Times New Roman"/>
          <w:sz w:val="20"/>
          <w:szCs w:val="20"/>
        </w:rPr>
        <w:t>Most of the previous studies involving the degradation of dyes using Ag are outstanding with their unique optical, electrical, thermal, and electromagnetic properties [5]. For instance, silver nanoparticles have been investigated in fields such as high-density information storage, photoluminescence and electroluminescence devices, surface-enhanced Raman scattering, heterogeneous catalysis, photocatalysis, and disinfection [6].</w:t>
      </w:r>
      <w:r w:rsidRPr="00067F2A">
        <w:rPr>
          <w:rFonts w:ascii="Times New Roman" w:hAnsi="Times New Roman"/>
          <w:bCs/>
          <w:sz w:val="20"/>
          <w:szCs w:val="20"/>
        </w:rPr>
        <w:t xml:space="preserve"> </w:t>
      </w:r>
      <w:r w:rsidRPr="00067F2A">
        <w:rPr>
          <w:rFonts w:ascii="Times New Roman" w:hAnsi="Times New Roman"/>
          <w:sz w:val="20"/>
          <w:szCs w:val="20"/>
        </w:rPr>
        <w:t xml:space="preserve">Therefore, as an extension of the previous study, the present study intends to synthesize AgO supported on HSM by the electrochemical method and study the photoactivity in the decolorization of Congo red. The physical property of the catalyst was studied in detail </w:t>
      </w:r>
      <w:r w:rsidRPr="00067F2A">
        <w:rPr>
          <w:rFonts w:ascii="Times New Roman" w:hAnsi="Times New Roman"/>
          <w:i/>
          <w:sz w:val="20"/>
          <w:szCs w:val="20"/>
        </w:rPr>
        <w:t>via</w:t>
      </w:r>
      <w:r w:rsidRPr="00067F2A">
        <w:rPr>
          <w:rFonts w:ascii="Times New Roman" w:hAnsi="Times New Roman"/>
          <w:sz w:val="20"/>
          <w:szCs w:val="20"/>
        </w:rPr>
        <w:t xml:space="preserve"> Fourier transform infrared spectroscopy (FTIR). Kinetic studies of photo decolorization and biodegradability of the catalysts were also discussed.</w:t>
      </w:r>
    </w:p>
    <w:p w:rsidR="00067F2A" w:rsidRPr="00067F2A" w:rsidRDefault="00067F2A" w:rsidP="00067F2A">
      <w:pPr>
        <w:spacing w:after="0" w:line="240" w:lineRule="auto"/>
        <w:jc w:val="center"/>
        <w:rPr>
          <w:rFonts w:ascii="Times New Roman" w:hAnsi="Times New Roman"/>
          <w:b/>
          <w:bCs/>
          <w:sz w:val="20"/>
          <w:szCs w:val="20"/>
        </w:rPr>
      </w:pPr>
    </w:p>
    <w:p w:rsidR="00067F2A" w:rsidRPr="00067F2A" w:rsidRDefault="00067F2A" w:rsidP="00067F2A">
      <w:pPr>
        <w:tabs>
          <w:tab w:val="left" w:pos="567"/>
        </w:tabs>
        <w:spacing w:after="0" w:line="240" w:lineRule="auto"/>
        <w:jc w:val="center"/>
        <w:rPr>
          <w:rFonts w:ascii="Times New Roman" w:hAnsi="Times New Roman"/>
          <w:b/>
          <w:sz w:val="20"/>
          <w:szCs w:val="20"/>
        </w:rPr>
      </w:pPr>
      <w:r w:rsidRPr="00067F2A">
        <w:rPr>
          <w:rFonts w:ascii="Times New Roman" w:hAnsi="Times New Roman"/>
          <w:b/>
          <w:sz w:val="20"/>
          <w:szCs w:val="20"/>
        </w:rPr>
        <w:t>Materials and Methods</w:t>
      </w:r>
    </w:p>
    <w:p w:rsidR="00067F2A" w:rsidRPr="00067F2A" w:rsidRDefault="00067F2A" w:rsidP="00067F2A">
      <w:pPr>
        <w:tabs>
          <w:tab w:val="left" w:pos="567"/>
        </w:tabs>
        <w:spacing w:after="0" w:line="240" w:lineRule="auto"/>
        <w:jc w:val="both"/>
        <w:rPr>
          <w:rFonts w:ascii="Times New Roman" w:hAnsi="Times New Roman"/>
          <w:i/>
          <w:sz w:val="20"/>
          <w:szCs w:val="20"/>
        </w:rPr>
      </w:pPr>
      <w:r w:rsidRPr="00067F2A">
        <w:rPr>
          <w:rFonts w:ascii="Times New Roman" w:hAnsi="Times New Roman"/>
          <w:sz w:val="20"/>
          <w:szCs w:val="20"/>
        </w:rPr>
        <w:t xml:space="preserve">Congo red (CR) and </w:t>
      </w:r>
      <w:r w:rsidRPr="00067F2A">
        <w:rPr>
          <w:rFonts w:ascii="Times New Roman" w:hAnsi="Times New Roman"/>
          <w:i/>
          <w:sz w:val="20"/>
          <w:szCs w:val="20"/>
        </w:rPr>
        <w:t>N</w:t>
      </w:r>
      <w:r w:rsidRPr="00067F2A">
        <w:rPr>
          <w:rFonts w:ascii="Times New Roman" w:hAnsi="Times New Roman"/>
          <w:sz w:val="20"/>
          <w:szCs w:val="20"/>
        </w:rPr>
        <w:t>,</w:t>
      </w:r>
      <w:r w:rsidRPr="00067F2A">
        <w:rPr>
          <w:rFonts w:ascii="Times New Roman" w:hAnsi="Times New Roman"/>
          <w:i/>
          <w:sz w:val="20"/>
          <w:szCs w:val="20"/>
        </w:rPr>
        <w:t>N</w:t>
      </w:r>
      <w:r w:rsidRPr="00067F2A">
        <w:rPr>
          <w:rFonts w:ascii="Times New Roman" w:hAnsi="Times New Roman"/>
          <w:sz w:val="20"/>
          <w:szCs w:val="20"/>
        </w:rPr>
        <w:t>-dimethylformamide (DMF) were purchased from Merck, Malaysia. Naphthalene and tetraethylammonium bromide solution were purchased from Fluka Chemical whereas methanol was purchased from RPE Reagent Pure Erba. The hot spring mud was collected from Cherana Putih, Malacca. Silver and platinum plates of greater than 99% purity were used as electrodes and obtained from Nilaco, Japan. Tetraethylammonium perchlorate (TEAP) that was used as a supporting electrolyte in electrolysis was prepared in accordance with the procedure reported in the literature [2, 3, 7-16].</w:t>
      </w:r>
    </w:p>
    <w:p w:rsidR="00067F2A" w:rsidRPr="00067F2A" w:rsidRDefault="00067F2A" w:rsidP="00067F2A">
      <w:pPr>
        <w:tabs>
          <w:tab w:val="left" w:pos="567"/>
        </w:tabs>
        <w:spacing w:after="0" w:line="240" w:lineRule="auto"/>
        <w:jc w:val="both"/>
        <w:rPr>
          <w:rFonts w:ascii="Times New Roman" w:hAnsi="Times New Roman"/>
          <w:b/>
          <w:sz w:val="20"/>
          <w:szCs w:val="20"/>
        </w:rPr>
      </w:pPr>
    </w:p>
    <w:p w:rsidR="00067F2A" w:rsidRPr="00067F2A" w:rsidRDefault="00067F2A" w:rsidP="00067F2A">
      <w:pPr>
        <w:tabs>
          <w:tab w:val="left" w:pos="567"/>
        </w:tabs>
        <w:spacing w:after="0" w:line="240" w:lineRule="auto"/>
        <w:jc w:val="both"/>
        <w:rPr>
          <w:rFonts w:ascii="Times New Roman" w:hAnsi="Times New Roman"/>
          <w:sz w:val="20"/>
          <w:szCs w:val="20"/>
        </w:rPr>
      </w:pPr>
      <w:r w:rsidRPr="00067F2A">
        <w:rPr>
          <w:rFonts w:ascii="Times New Roman" w:hAnsi="Times New Roman"/>
          <w:sz w:val="20"/>
          <w:szCs w:val="20"/>
        </w:rPr>
        <w:t xml:space="preserve">In this study, for the </w:t>
      </w:r>
      <w:r w:rsidRPr="00067F2A">
        <w:rPr>
          <w:rFonts w:ascii="Times New Roman" w:hAnsi="Times New Roman"/>
          <w:i/>
          <w:sz w:val="20"/>
          <w:szCs w:val="20"/>
        </w:rPr>
        <w:t>in-situ</w:t>
      </w:r>
      <w:r w:rsidRPr="00067F2A">
        <w:rPr>
          <w:rFonts w:ascii="Times New Roman" w:hAnsi="Times New Roman"/>
          <w:sz w:val="20"/>
          <w:szCs w:val="20"/>
        </w:rPr>
        <w:t xml:space="preserve"> preparation technique, 10 ml of DMF solution was added to a one-compartment cell fitted with a platinum plate cathode (2 cm × 2 cm) and a silver plate anode (2 cm × 2 cm) containing TEAP, naphthalene, and HSM. Naphthalene was used as a mediator in the system to produce radical anions, which then reduced iron cations to give much smaller iron nanoparticles [2]. Then, the electrolysis was conducted at a constant current of 60 mA/cm</w:t>
      </w:r>
      <w:r w:rsidRPr="00067F2A">
        <w:rPr>
          <w:rFonts w:ascii="Times New Roman" w:hAnsi="Times New Roman"/>
          <w:sz w:val="20"/>
          <w:szCs w:val="20"/>
          <w:vertAlign w:val="superscript"/>
        </w:rPr>
        <w:t>2</w:t>
      </w:r>
      <w:r w:rsidRPr="00067F2A">
        <w:rPr>
          <w:rFonts w:ascii="Times New Roman" w:hAnsi="Times New Roman"/>
          <w:sz w:val="20"/>
          <w:szCs w:val="20"/>
        </w:rPr>
        <w:t xml:space="preserve"> and 30 °C under N</w:t>
      </w:r>
      <w:r w:rsidRPr="00067F2A">
        <w:rPr>
          <w:rFonts w:ascii="Times New Roman" w:hAnsi="Times New Roman"/>
          <w:sz w:val="20"/>
          <w:szCs w:val="20"/>
          <w:vertAlign w:val="subscript"/>
        </w:rPr>
        <w:t>2</w:t>
      </w:r>
      <w:r w:rsidRPr="00067F2A">
        <w:rPr>
          <w:rFonts w:ascii="Times New Roman" w:hAnsi="Times New Roman"/>
          <w:sz w:val="20"/>
          <w:szCs w:val="20"/>
        </w:rPr>
        <w:t xml:space="preserve"> atmosphere and continuous stirring (150 rpm). The required iron loading on the HSM support was calculated based on Faraday's law of electrolysis, as shown in the following equation 1:</w:t>
      </w:r>
    </w:p>
    <w:p w:rsidR="00067F2A" w:rsidRPr="00067F2A" w:rsidRDefault="00067F2A" w:rsidP="00067F2A">
      <w:pPr>
        <w:tabs>
          <w:tab w:val="left" w:pos="567"/>
        </w:tabs>
        <w:spacing w:after="0" w:line="240" w:lineRule="auto"/>
        <w:jc w:val="both"/>
        <w:rPr>
          <w:rFonts w:ascii="Times New Roman" w:hAnsi="Times New Roman"/>
          <w:sz w:val="20"/>
          <w:szCs w:val="20"/>
        </w:rPr>
      </w:pPr>
    </w:p>
    <w:p w:rsidR="006A40FE" w:rsidRDefault="006A40FE" w:rsidP="006A40FE">
      <w:pPr>
        <w:tabs>
          <w:tab w:val="left" w:pos="567"/>
        </w:tabs>
        <w:spacing w:after="0" w:line="240" w:lineRule="auto"/>
        <w:jc w:val="both"/>
        <w:rPr>
          <w:rFonts w:ascii="Times New Roman" w:hAnsi="Times New Roman"/>
          <w:sz w:val="20"/>
          <w:szCs w:val="20"/>
        </w:rPr>
      </w:pPr>
      <m:oMath>
        <m:r>
          <w:rPr>
            <w:rFonts w:ascii="Cambria Math" w:hAnsi="Cambria Math"/>
            <w:sz w:val="20"/>
            <w:szCs w:val="20"/>
          </w:rPr>
          <m:t xml:space="preserve">              n=</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It</m:t>
                </m:r>
              </m:num>
              <m:den>
                <m:r>
                  <w:rPr>
                    <w:rFonts w:ascii="Cambria Math" w:hAnsi="Cambria Math"/>
                    <w:sz w:val="20"/>
                    <w:szCs w:val="20"/>
                  </w:rPr>
                  <m:t>F</m:t>
                </m:r>
              </m:den>
            </m:f>
          </m:e>
        </m:d>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z</m:t>
                </m:r>
              </m:den>
            </m:f>
          </m:e>
        </m:d>
      </m:oMath>
      <w:r>
        <w:rPr>
          <w:rFonts w:ascii="Times New Roman" w:hAnsi="Times New Roman"/>
          <w:sz w:val="20"/>
          <w:szCs w:val="20"/>
        </w:rPr>
        <w:t xml:space="preserve">                                                                                                                                                     (1)  </w:t>
      </w:r>
    </w:p>
    <w:p w:rsidR="006A40FE" w:rsidRDefault="006A40FE" w:rsidP="006A40FE">
      <w:pPr>
        <w:tabs>
          <w:tab w:val="left" w:pos="567"/>
        </w:tabs>
        <w:spacing w:after="0" w:line="240" w:lineRule="auto"/>
        <w:jc w:val="both"/>
        <w:rPr>
          <w:rFonts w:ascii="Times New Roman" w:hAnsi="Times New Roman"/>
          <w:sz w:val="20"/>
          <w:szCs w:val="20"/>
        </w:rPr>
      </w:pPr>
    </w:p>
    <w:p w:rsidR="00067F2A" w:rsidRPr="00067F2A" w:rsidRDefault="006A40FE" w:rsidP="00067F2A">
      <w:pPr>
        <w:tabs>
          <w:tab w:val="left" w:pos="567"/>
        </w:tabs>
        <w:spacing w:after="0" w:line="240" w:lineRule="auto"/>
        <w:jc w:val="both"/>
        <w:rPr>
          <w:rFonts w:ascii="Times New Roman" w:hAnsi="Times New Roman"/>
          <w:sz w:val="20"/>
          <w:szCs w:val="20"/>
        </w:rPr>
      </w:pPr>
      <w:r w:rsidRPr="00067F2A">
        <w:rPr>
          <w:rFonts w:ascii="Times New Roman" w:hAnsi="Times New Roman"/>
          <w:sz w:val="20"/>
          <w:szCs w:val="20"/>
        </w:rPr>
        <w:t>where n is the number of moles of Ag</w:t>
      </w:r>
      <w:r w:rsidR="00067F2A" w:rsidRPr="00067F2A">
        <w:rPr>
          <w:rFonts w:ascii="Times New Roman" w:hAnsi="Times New Roman"/>
          <w:sz w:val="20"/>
          <w:szCs w:val="20"/>
        </w:rPr>
        <w:t>, I is constant current of electrolysis (A), t is the total time the constant current was applied (s), F is the Faraday constant (96,487 C mol</w:t>
      </w:r>
      <w:r w:rsidR="00067F2A" w:rsidRPr="00067F2A">
        <w:rPr>
          <w:rFonts w:ascii="Times New Roman" w:hAnsi="Times New Roman"/>
          <w:sz w:val="20"/>
          <w:szCs w:val="20"/>
          <w:vertAlign w:val="superscript"/>
        </w:rPr>
        <w:t>−1</w:t>
      </w:r>
      <w:r w:rsidR="00067F2A" w:rsidRPr="00067F2A">
        <w:rPr>
          <w:rFonts w:ascii="Times New Roman" w:hAnsi="Times New Roman"/>
          <w:sz w:val="20"/>
          <w:szCs w:val="20"/>
        </w:rPr>
        <w:t>), and z is the valency number of ions of the substance (electron transferred per ion). The number of moles of Ag required was calculated based on the total time t of the electrolysis. For example, 5520 s is the time required to produce 11 wt.% of Ag in 15 g HSM. After electrolysis, the mixture was impregnated at 80 °C in an oil bath before being dried overnight at 100 °C and calcined for 3 hours at 550 °C to give a green-colored AgO-HSM catalyst.</w:t>
      </w:r>
    </w:p>
    <w:p w:rsidR="00067F2A" w:rsidRPr="00067F2A" w:rsidRDefault="00067F2A" w:rsidP="00067F2A">
      <w:pPr>
        <w:tabs>
          <w:tab w:val="left" w:pos="567"/>
        </w:tabs>
        <w:spacing w:after="0" w:line="240" w:lineRule="auto"/>
        <w:jc w:val="both"/>
        <w:rPr>
          <w:rFonts w:ascii="Times New Roman" w:hAnsi="Times New Roman"/>
          <w:sz w:val="20"/>
          <w:szCs w:val="20"/>
        </w:rPr>
      </w:pPr>
    </w:p>
    <w:p w:rsidR="00067F2A" w:rsidRPr="00067F2A" w:rsidRDefault="00067F2A" w:rsidP="006A40FE">
      <w:pPr>
        <w:tabs>
          <w:tab w:val="left" w:pos="567"/>
        </w:tabs>
        <w:spacing w:after="120" w:line="240" w:lineRule="auto"/>
        <w:jc w:val="both"/>
        <w:rPr>
          <w:rFonts w:ascii="Times New Roman" w:hAnsi="Times New Roman"/>
          <w:sz w:val="20"/>
          <w:szCs w:val="20"/>
        </w:rPr>
      </w:pPr>
      <w:r w:rsidRPr="00067F2A">
        <w:rPr>
          <w:rFonts w:ascii="Times New Roman" w:hAnsi="Times New Roman"/>
          <w:sz w:val="20"/>
          <w:szCs w:val="20"/>
        </w:rPr>
        <w:t xml:space="preserve">UV-Vis was recorded at room temperature over a range of wavelengths from 400 to 850 nm using a UV-Vis spectrophotometer with an integrating sphere. FTIR spectroscopy was performed to identify the chemical functional </w:t>
      </w:r>
      <w:r w:rsidRPr="00067F2A">
        <w:rPr>
          <w:rFonts w:ascii="Times New Roman" w:hAnsi="Times New Roman"/>
          <w:sz w:val="20"/>
          <w:szCs w:val="20"/>
        </w:rPr>
        <w:lastRenderedPageBreak/>
        <w:t>groups present in the catalysts. IR absorbance data were obtained over a range of wavenumbers from 650 to 3850 cm</w:t>
      </w:r>
      <w:r w:rsidRPr="00067F2A">
        <w:rPr>
          <w:rFonts w:ascii="Times New Roman" w:eastAsia="Calibri" w:hAnsi="Times New Roman"/>
          <w:bCs/>
          <w:sz w:val="20"/>
          <w:szCs w:val="20"/>
          <w:vertAlign w:val="superscript"/>
        </w:rPr>
        <w:t>−</w:t>
      </w:r>
      <w:r w:rsidRPr="00067F2A">
        <w:rPr>
          <w:rFonts w:ascii="Times New Roman" w:hAnsi="Times New Roman"/>
          <w:sz w:val="20"/>
          <w:szCs w:val="20"/>
          <w:vertAlign w:val="superscript"/>
        </w:rPr>
        <w:t>1</w:t>
      </w:r>
      <w:r w:rsidRPr="00067F2A">
        <w:rPr>
          <w:rFonts w:ascii="Times New Roman" w:hAnsi="Times New Roman"/>
          <w:sz w:val="20"/>
          <w:szCs w:val="20"/>
        </w:rPr>
        <w:t>. The photoactivity of the catalysts was tested for the decolorization of CR. The photocatalytic experiments were performed in batches consisting of 250 mL Pyrex conical flasks placed on a magnetic stirrer to uniformly disperse the catalyst into the solution. A fluorescent lamp (20 W) light source was mounted 10 cm above the solution. The initial pH of the solution was 5 and the reaction was carried out at room temperature. Then, the reaction was carried out for another 2 hours under light irradiation under continuous stirring. The concentration of CR dye in the solution prior to irradiation was used as the initial value for the CR decolorization measurements. Each set of experiments was performed three times. The adsorption band of CR was taken at 498 nm and the decolorization percentage was calculated using the following equation 2:</w:t>
      </w:r>
    </w:p>
    <w:p w:rsidR="00067F2A" w:rsidRDefault="00067F2A" w:rsidP="006A40FE">
      <w:pPr>
        <w:tabs>
          <w:tab w:val="left" w:pos="567"/>
        </w:tabs>
        <w:spacing w:after="120" w:line="240" w:lineRule="auto"/>
        <w:jc w:val="both"/>
        <w:rPr>
          <w:rFonts w:ascii="Times New Roman" w:hAnsi="Times New Roman"/>
          <w:sz w:val="20"/>
          <w:szCs w:val="20"/>
        </w:rPr>
      </w:pPr>
      <m:oMath>
        <m:r>
          <w:rPr>
            <w:rFonts w:ascii="Cambria Math" w:hAnsi="Cambria Math"/>
            <w:sz w:val="20"/>
            <w:szCs w:val="20"/>
          </w:rPr>
          <m:t xml:space="preserve">              Decolorization</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 xml:space="preserve">=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num>
          <m:den>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den>
        </m:f>
        <m:r>
          <w:rPr>
            <w:rFonts w:ascii="Cambria Math" w:hAnsi="Cambria Math"/>
            <w:sz w:val="20"/>
            <w:szCs w:val="20"/>
          </w:rPr>
          <m:t>×100</m:t>
        </m:r>
      </m:oMath>
      <w:r>
        <w:rPr>
          <w:rFonts w:ascii="Times New Roman" w:hAnsi="Times New Roman"/>
          <w:sz w:val="20"/>
          <w:szCs w:val="20"/>
        </w:rPr>
        <w:t xml:space="preserve">                                                                                                             (2)</w:t>
      </w:r>
    </w:p>
    <w:p w:rsidR="00067F2A" w:rsidRPr="00067F2A" w:rsidRDefault="00067F2A" w:rsidP="00067F2A">
      <w:pPr>
        <w:tabs>
          <w:tab w:val="left" w:pos="567"/>
        </w:tabs>
        <w:spacing w:after="0" w:line="240" w:lineRule="auto"/>
        <w:jc w:val="both"/>
        <w:rPr>
          <w:rFonts w:ascii="Times New Roman" w:hAnsi="Times New Roman"/>
          <w:sz w:val="20"/>
          <w:szCs w:val="20"/>
        </w:rPr>
      </w:pPr>
      <w:r w:rsidRPr="00067F2A">
        <w:rPr>
          <w:rFonts w:ascii="Times New Roman" w:hAnsi="Times New Roman"/>
          <w:sz w:val="20"/>
          <w:szCs w:val="20"/>
        </w:rPr>
        <w:t>where C</w:t>
      </w:r>
      <w:r w:rsidRPr="00067F2A">
        <w:rPr>
          <w:rFonts w:ascii="Times New Roman" w:hAnsi="Times New Roman"/>
          <w:sz w:val="20"/>
          <w:szCs w:val="20"/>
          <w:vertAlign w:val="subscript"/>
        </w:rPr>
        <w:t>0</w:t>
      </w:r>
      <w:r w:rsidRPr="00067F2A">
        <w:rPr>
          <w:rFonts w:ascii="Times New Roman" w:hAnsi="Times New Roman"/>
          <w:sz w:val="20"/>
          <w:szCs w:val="20"/>
        </w:rPr>
        <w:t xml:space="preserve"> and C</w:t>
      </w:r>
      <w:r w:rsidRPr="00067F2A">
        <w:rPr>
          <w:rFonts w:ascii="Times New Roman" w:hAnsi="Times New Roman"/>
          <w:sz w:val="20"/>
          <w:szCs w:val="20"/>
          <w:vertAlign w:val="subscript"/>
        </w:rPr>
        <w:t>t</w:t>
      </w:r>
      <w:r w:rsidRPr="00067F2A">
        <w:rPr>
          <w:rFonts w:ascii="Times New Roman" w:hAnsi="Times New Roman"/>
          <w:sz w:val="20"/>
          <w:szCs w:val="20"/>
        </w:rPr>
        <w:t xml:space="preserve"> are the initial concentration of CR and the concentration at time t, respectively. BOD was measured using a YSI model 3100 in which BOD bottles were incubated at 20 °C for 5 days, and the difference in the dissolved oxygen was used to calculate BOD</w:t>
      </w:r>
      <w:r w:rsidRPr="00067F2A">
        <w:rPr>
          <w:rFonts w:ascii="Times New Roman" w:hAnsi="Times New Roman"/>
          <w:sz w:val="20"/>
          <w:szCs w:val="20"/>
          <w:vertAlign w:val="subscript"/>
        </w:rPr>
        <w:t>5</w:t>
      </w:r>
      <w:r w:rsidRPr="00067F2A">
        <w:rPr>
          <w:rFonts w:ascii="Times New Roman" w:hAnsi="Times New Roman"/>
          <w:sz w:val="20"/>
          <w:szCs w:val="20"/>
        </w:rPr>
        <w:t>. A HACH DR4000 spectrometer was used for COD measurements.</w:t>
      </w:r>
    </w:p>
    <w:p w:rsidR="00067F2A" w:rsidRPr="00067F2A" w:rsidRDefault="00067F2A" w:rsidP="00067F2A">
      <w:pPr>
        <w:tabs>
          <w:tab w:val="left" w:pos="567"/>
        </w:tabs>
        <w:spacing w:after="0" w:line="240" w:lineRule="auto"/>
        <w:jc w:val="both"/>
        <w:rPr>
          <w:rFonts w:ascii="Times New Roman" w:hAnsi="Times New Roman"/>
          <w:sz w:val="20"/>
          <w:szCs w:val="20"/>
        </w:rPr>
      </w:pPr>
    </w:p>
    <w:p w:rsidR="00067F2A" w:rsidRPr="00067F2A" w:rsidRDefault="00067F2A" w:rsidP="006A40FE">
      <w:pPr>
        <w:spacing w:after="120" w:line="240" w:lineRule="auto"/>
        <w:jc w:val="both"/>
        <w:rPr>
          <w:rFonts w:ascii="Times New Roman" w:hAnsi="Times New Roman"/>
          <w:sz w:val="20"/>
          <w:szCs w:val="20"/>
        </w:rPr>
      </w:pPr>
      <w:r w:rsidRPr="00067F2A">
        <w:rPr>
          <w:rFonts w:ascii="Times New Roman" w:hAnsi="Times New Roman"/>
          <w:sz w:val="20"/>
          <w:szCs w:val="20"/>
        </w:rPr>
        <w:t>In addition, the kinetic study was determined using Langmuir–Hinshelwood model, which will fit by pseudo first-order kinetics. The line with an intercept of 1/k</w:t>
      </w:r>
      <w:r w:rsidRPr="00067F2A">
        <w:rPr>
          <w:rFonts w:ascii="Times New Roman" w:hAnsi="Times New Roman"/>
          <w:sz w:val="20"/>
          <w:szCs w:val="20"/>
          <w:vertAlign w:val="subscript"/>
        </w:rPr>
        <w:t>r</w:t>
      </w:r>
      <w:r w:rsidRPr="00067F2A">
        <w:rPr>
          <w:rFonts w:ascii="Times New Roman" w:hAnsi="Times New Roman"/>
          <w:sz w:val="20"/>
          <w:szCs w:val="20"/>
        </w:rPr>
        <w:t xml:space="preserve"> and 1/k</w:t>
      </w:r>
      <w:r w:rsidRPr="00067F2A">
        <w:rPr>
          <w:rFonts w:ascii="Times New Roman" w:hAnsi="Times New Roman"/>
          <w:sz w:val="20"/>
          <w:szCs w:val="20"/>
          <w:vertAlign w:val="subscript"/>
        </w:rPr>
        <w:t>r</w:t>
      </w:r>
      <w:r w:rsidRPr="00067F2A">
        <w:rPr>
          <w:rFonts w:ascii="Times New Roman" w:hAnsi="Times New Roman"/>
          <w:sz w:val="20"/>
          <w:szCs w:val="20"/>
        </w:rPr>
        <w:t>K</w:t>
      </w:r>
      <w:r w:rsidRPr="00067F2A">
        <w:rPr>
          <w:rFonts w:ascii="Times New Roman" w:hAnsi="Times New Roman"/>
          <w:sz w:val="20"/>
          <w:szCs w:val="20"/>
          <w:vertAlign w:val="subscript"/>
        </w:rPr>
        <w:t>LH</w:t>
      </w:r>
      <w:r w:rsidRPr="00067F2A">
        <w:rPr>
          <w:rFonts w:ascii="Times New Roman" w:hAnsi="Times New Roman"/>
          <w:sz w:val="20"/>
          <w:szCs w:val="20"/>
        </w:rPr>
        <w:t xml:space="preserve"> was obtained from the Langmuir–Hinshelwood (L–H) kinetic formula (Eq. 3):</w:t>
      </w:r>
    </w:p>
    <w:p w:rsidR="006A40FE" w:rsidRDefault="006A40FE" w:rsidP="006A40FE">
      <w:pPr>
        <w:tabs>
          <w:tab w:val="left" w:pos="567"/>
        </w:tabs>
        <w:spacing w:after="120" w:line="240" w:lineRule="auto"/>
        <w:jc w:val="both"/>
        <w:rPr>
          <w:rFonts w:ascii="Times New Roman" w:hAnsi="Times New Roman"/>
          <w:sz w:val="20"/>
          <w:szCs w:val="20"/>
        </w:rPr>
      </w:pPr>
      <m:oMathPara>
        <m:oMath>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app</m:t>
                  </m:r>
                </m:sub>
              </m:sSub>
            </m:den>
          </m:f>
          <m:r>
            <w:rPr>
              <w:rFonts w:ascii="Cambria Math" w:hAnsi="Cambria Math"/>
              <w:sz w:val="20"/>
              <w:szCs w:val="20"/>
            </w:rPr>
            <m:t xml:space="preserve"> =</m:t>
          </m:r>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r</m:t>
                      </m:r>
                    </m:sub>
                  </m:sSub>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LH</m:t>
                      </m:r>
                    </m:sub>
                  </m:sSub>
                </m:den>
              </m:f>
            </m:e>
          </m:d>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r</m:t>
                  </m:r>
                </m:sub>
              </m:sSub>
            </m:den>
          </m:f>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3</m:t>
              </m:r>
            </m:e>
          </m:d>
        </m:oMath>
      </m:oMathPara>
    </w:p>
    <w:p w:rsidR="00067F2A" w:rsidRPr="00067F2A" w:rsidRDefault="00067F2A" w:rsidP="00067F2A">
      <w:pPr>
        <w:tabs>
          <w:tab w:val="left" w:pos="567"/>
        </w:tabs>
        <w:spacing w:after="0" w:line="240" w:lineRule="auto"/>
        <w:jc w:val="both"/>
        <w:rPr>
          <w:rFonts w:ascii="Times New Roman" w:hAnsi="Times New Roman"/>
          <w:sz w:val="20"/>
          <w:szCs w:val="20"/>
        </w:rPr>
      </w:pPr>
      <w:r w:rsidRPr="00067F2A">
        <w:rPr>
          <w:rFonts w:ascii="Times New Roman" w:hAnsi="Times New Roman"/>
          <w:sz w:val="20"/>
          <w:szCs w:val="20"/>
        </w:rPr>
        <w:t>where K</w:t>
      </w:r>
      <w:r w:rsidRPr="00067F2A">
        <w:rPr>
          <w:rFonts w:ascii="Times New Roman" w:hAnsi="Times New Roman"/>
          <w:sz w:val="20"/>
          <w:szCs w:val="20"/>
          <w:vertAlign w:val="subscript"/>
        </w:rPr>
        <w:t>r</w:t>
      </w:r>
      <w:r w:rsidRPr="00067F2A">
        <w:rPr>
          <w:rFonts w:ascii="Times New Roman" w:hAnsi="Times New Roman"/>
          <w:sz w:val="20"/>
          <w:szCs w:val="20"/>
        </w:rPr>
        <w:t xml:space="preserve"> is the reaction rate constant (mg L</w:t>
      </w:r>
      <w:r w:rsidRPr="00067F2A">
        <w:rPr>
          <w:rFonts w:ascii="Times New Roman" w:hAnsi="Times New Roman"/>
          <w:sz w:val="20"/>
          <w:szCs w:val="20"/>
          <w:vertAlign w:val="superscript"/>
        </w:rPr>
        <w:t>−1</w:t>
      </w:r>
      <w:r w:rsidRPr="00067F2A">
        <w:rPr>
          <w:rFonts w:ascii="Times New Roman" w:hAnsi="Times New Roman"/>
          <w:sz w:val="20"/>
          <w:szCs w:val="20"/>
        </w:rPr>
        <w:t xml:space="preserve"> h</w:t>
      </w:r>
      <w:r w:rsidRPr="00067F2A">
        <w:rPr>
          <w:rFonts w:ascii="Times New Roman" w:hAnsi="Times New Roman"/>
          <w:sz w:val="20"/>
          <w:szCs w:val="20"/>
          <w:vertAlign w:val="superscript"/>
        </w:rPr>
        <w:t>−1</w:t>
      </w:r>
      <w:r w:rsidRPr="00067F2A">
        <w:rPr>
          <w:rFonts w:ascii="Times New Roman" w:hAnsi="Times New Roman"/>
          <w:sz w:val="20"/>
          <w:szCs w:val="20"/>
        </w:rPr>
        <w:t>), K</w:t>
      </w:r>
      <w:r w:rsidRPr="00067F2A">
        <w:rPr>
          <w:rFonts w:ascii="Times New Roman" w:hAnsi="Times New Roman"/>
          <w:sz w:val="20"/>
          <w:szCs w:val="20"/>
          <w:vertAlign w:val="subscript"/>
        </w:rPr>
        <w:t>LH</w:t>
      </w:r>
      <w:r w:rsidRPr="00067F2A">
        <w:rPr>
          <w:rFonts w:ascii="Times New Roman" w:hAnsi="Times New Roman"/>
          <w:sz w:val="20"/>
          <w:szCs w:val="20"/>
        </w:rPr>
        <w:t xml:space="preserve"> is is the Langmuir–Hinshelwood adsorption equilibrium constant (L mg</w:t>
      </w:r>
      <w:r w:rsidRPr="00067F2A">
        <w:rPr>
          <w:rFonts w:ascii="Times New Roman" w:hAnsi="Times New Roman"/>
          <w:sz w:val="20"/>
          <w:szCs w:val="20"/>
          <w:vertAlign w:val="superscript"/>
        </w:rPr>
        <w:t>−1</w:t>
      </w:r>
      <w:r w:rsidRPr="00067F2A">
        <w:rPr>
          <w:rFonts w:ascii="Times New Roman" w:hAnsi="Times New Roman"/>
          <w:sz w:val="20"/>
          <w:szCs w:val="20"/>
        </w:rPr>
        <w:t>) and C</w:t>
      </w:r>
      <w:r w:rsidRPr="00067F2A">
        <w:rPr>
          <w:rFonts w:ascii="Times New Roman" w:hAnsi="Times New Roman"/>
          <w:sz w:val="20"/>
          <w:szCs w:val="20"/>
          <w:vertAlign w:val="subscript"/>
        </w:rPr>
        <w:t>0</w:t>
      </w:r>
      <w:r w:rsidRPr="00067F2A">
        <w:rPr>
          <w:rFonts w:ascii="Times New Roman" w:hAnsi="Times New Roman"/>
          <w:sz w:val="20"/>
          <w:szCs w:val="20"/>
        </w:rPr>
        <w:t xml:space="preserve"> is the initial concentration of CR (mg L</w:t>
      </w:r>
      <w:r w:rsidRPr="00067F2A">
        <w:rPr>
          <w:rFonts w:ascii="Times New Roman" w:hAnsi="Times New Roman"/>
          <w:sz w:val="20"/>
          <w:szCs w:val="20"/>
          <w:vertAlign w:val="superscript"/>
        </w:rPr>
        <w:t>−1</w:t>
      </w:r>
      <w:r w:rsidRPr="00067F2A">
        <w:rPr>
          <w:rFonts w:ascii="Times New Roman" w:hAnsi="Times New Roman"/>
          <w:sz w:val="20"/>
          <w:szCs w:val="20"/>
        </w:rPr>
        <w:t>).</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A40FE" w:rsidRPr="006A40FE" w:rsidRDefault="006A40FE" w:rsidP="006A40FE">
      <w:pPr>
        <w:tabs>
          <w:tab w:val="left" w:pos="567"/>
        </w:tabs>
        <w:spacing w:after="0" w:line="240" w:lineRule="auto"/>
        <w:jc w:val="both"/>
        <w:rPr>
          <w:rFonts w:ascii="Times New Roman" w:hAnsi="Times New Roman"/>
          <w:b/>
          <w:sz w:val="20"/>
          <w:szCs w:val="20"/>
        </w:rPr>
      </w:pPr>
      <w:r w:rsidRPr="006A40FE">
        <w:rPr>
          <w:rFonts w:ascii="Times New Roman" w:hAnsi="Times New Roman"/>
          <w:b/>
          <w:sz w:val="20"/>
          <w:szCs w:val="20"/>
        </w:rPr>
        <w:t>Functional group determination</w:t>
      </w:r>
    </w:p>
    <w:p w:rsidR="006A40FE" w:rsidRPr="006A40FE" w:rsidRDefault="006A40FE" w:rsidP="006A40FE">
      <w:pPr>
        <w:tabs>
          <w:tab w:val="left" w:pos="567"/>
        </w:tabs>
        <w:spacing w:after="0" w:line="240" w:lineRule="auto"/>
        <w:jc w:val="both"/>
        <w:rPr>
          <w:rFonts w:ascii="Times New Roman" w:hAnsi="Times New Roman"/>
          <w:sz w:val="20"/>
          <w:szCs w:val="20"/>
        </w:rPr>
      </w:pPr>
      <w:r w:rsidRPr="006A40FE">
        <w:rPr>
          <w:rFonts w:ascii="Times New Roman" w:hAnsi="Times New Roman"/>
          <w:sz w:val="20"/>
          <w:szCs w:val="20"/>
        </w:rPr>
        <w:t xml:space="preserve">The details of the functional groups involved in the catalyst structure under varying metal loading were measured </w:t>
      </w:r>
      <w:r w:rsidRPr="006A40FE">
        <w:rPr>
          <w:rFonts w:ascii="Times New Roman" w:hAnsi="Times New Roman"/>
          <w:i/>
          <w:sz w:val="20"/>
          <w:szCs w:val="20"/>
        </w:rPr>
        <w:t>via</w:t>
      </w:r>
      <w:r w:rsidRPr="006A40FE">
        <w:rPr>
          <w:rFonts w:ascii="Times New Roman" w:hAnsi="Times New Roman"/>
          <w:sz w:val="20"/>
          <w:szCs w:val="20"/>
        </w:rPr>
        <w:t xml:space="preserve"> FTIR and the results are shown in Figure 1. The peak at 3745 cm</w:t>
      </w:r>
      <w:r w:rsidRPr="006A40FE">
        <w:rPr>
          <w:rFonts w:ascii="Times New Roman" w:hAnsi="Times New Roman"/>
          <w:sz w:val="20"/>
          <w:szCs w:val="20"/>
          <w:vertAlign w:val="superscript"/>
        </w:rPr>
        <w:t>−1</w:t>
      </w:r>
      <w:r w:rsidRPr="006A40FE">
        <w:rPr>
          <w:rFonts w:ascii="Times New Roman" w:hAnsi="Times New Roman"/>
          <w:sz w:val="20"/>
          <w:szCs w:val="20"/>
        </w:rPr>
        <w:t xml:space="preserve"> could be attributed to the hydroxyl groups of the terminal and internal framework defects of the SiOH groups [2]. The sharp peak at 1080 cm</w:t>
      </w:r>
      <w:r w:rsidRPr="006A40FE">
        <w:rPr>
          <w:rFonts w:ascii="Times New Roman" w:hAnsi="Times New Roman"/>
          <w:sz w:val="20"/>
          <w:szCs w:val="20"/>
          <w:vertAlign w:val="superscript"/>
        </w:rPr>
        <w:t>−1</w:t>
      </w:r>
      <w:r w:rsidRPr="006A40FE">
        <w:rPr>
          <w:rFonts w:ascii="Times New Roman" w:hAnsi="Times New Roman"/>
          <w:sz w:val="20"/>
          <w:szCs w:val="20"/>
        </w:rPr>
        <w:t xml:space="preserve"> might correspond to the asymmetric Si-O-Si vibration. This peak decreased with increasing silver loading, possibly indicating Ag with the silicon of the Si-O-Si groups [17].</w:t>
      </w:r>
    </w:p>
    <w:p w:rsidR="006A40FE" w:rsidRPr="006A40FE" w:rsidRDefault="006A40FE" w:rsidP="006A40FE">
      <w:pPr>
        <w:tabs>
          <w:tab w:val="left" w:pos="567"/>
        </w:tabs>
        <w:spacing w:after="120" w:line="240" w:lineRule="auto"/>
        <w:jc w:val="both"/>
        <w:rPr>
          <w:rFonts w:ascii="Times New Roman" w:hAnsi="Times New Roman"/>
          <w:sz w:val="20"/>
          <w:szCs w:val="20"/>
        </w:rPr>
      </w:pPr>
    </w:p>
    <w:p w:rsidR="006A40FE" w:rsidRPr="006A40FE" w:rsidRDefault="006A40FE" w:rsidP="006A40FE">
      <w:pPr>
        <w:tabs>
          <w:tab w:val="left" w:pos="567"/>
        </w:tabs>
        <w:spacing w:after="120" w:line="240" w:lineRule="auto"/>
        <w:jc w:val="center"/>
        <w:rPr>
          <w:rFonts w:ascii="Times New Roman" w:hAnsi="Times New Roman"/>
          <w:sz w:val="20"/>
          <w:szCs w:val="20"/>
        </w:rPr>
      </w:pPr>
      <w:r w:rsidRPr="006A40FE">
        <w:rPr>
          <w:rFonts w:ascii="Times New Roman" w:hAnsi="Times New Roman"/>
          <w:noProof/>
          <w:sz w:val="20"/>
          <w:szCs w:val="20"/>
          <w:lang w:val="en-MY" w:eastAsia="en-MY" w:bidi="ar-SA"/>
        </w:rPr>
        <w:drawing>
          <wp:inline distT="0" distB="0" distL="0" distR="0" wp14:anchorId="06CF9C78" wp14:editId="65B25E37">
            <wp:extent cx="3600000" cy="2502983"/>
            <wp:effectExtent l="19050" t="19050" r="1968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2502983"/>
                    </a:xfrm>
                    <a:prstGeom prst="rect">
                      <a:avLst/>
                    </a:prstGeom>
                    <a:noFill/>
                    <a:ln w="6350">
                      <a:solidFill>
                        <a:schemeClr val="tx1"/>
                      </a:solidFill>
                    </a:ln>
                  </pic:spPr>
                </pic:pic>
              </a:graphicData>
            </a:graphic>
          </wp:inline>
        </w:drawing>
      </w:r>
    </w:p>
    <w:p w:rsidR="006A40FE" w:rsidRPr="006A40FE" w:rsidRDefault="006A40FE" w:rsidP="006A40FE">
      <w:pPr>
        <w:spacing w:after="0" w:line="240" w:lineRule="auto"/>
        <w:jc w:val="center"/>
        <w:rPr>
          <w:rFonts w:ascii="Times New Roman" w:hAnsi="Times New Roman"/>
          <w:bCs/>
          <w:sz w:val="20"/>
          <w:szCs w:val="20"/>
        </w:rPr>
      </w:pPr>
      <w:r w:rsidRPr="006A40FE">
        <w:rPr>
          <w:rFonts w:ascii="Times New Roman" w:hAnsi="Times New Roman"/>
          <w:bCs/>
          <w:sz w:val="20"/>
          <w:szCs w:val="20"/>
        </w:rPr>
        <w:t xml:space="preserve">Figure 1. </w:t>
      </w:r>
      <w:r>
        <w:rPr>
          <w:rFonts w:ascii="Times New Roman" w:hAnsi="Times New Roman"/>
          <w:bCs/>
          <w:sz w:val="20"/>
          <w:szCs w:val="20"/>
        </w:rPr>
        <w:t xml:space="preserve"> </w:t>
      </w:r>
      <w:r w:rsidRPr="006A40FE">
        <w:rPr>
          <w:rFonts w:ascii="Times New Roman" w:hAnsi="Times New Roman"/>
          <w:bCs/>
          <w:sz w:val="20"/>
          <w:szCs w:val="20"/>
        </w:rPr>
        <w:t>FTIR patterns of AgO catalysts with varying metal loading</w:t>
      </w:r>
    </w:p>
    <w:p w:rsidR="006A40FE" w:rsidRPr="006A40FE" w:rsidRDefault="006A40FE" w:rsidP="006A40FE">
      <w:pPr>
        <w:tabs>
          <w:tab w:val="left" w:pos="567"/>
        </w:tabs>
        <w:spacing w:after="0" w:line="240" w:lineRule="auto"/>
        <w:jc w:val="both"/>
        <w:rPr>
          <w:rFonts w:ascii="Times New Roman" w:hAnsi="Times New Roman"/>
          <w:bCs/>
          <w:sz w:val="20"/>
          <w:szCs w:val="20"/>
        </w:rPr>
      </w:pPr>
    </w:p>
    <w:p w:rsidR="006A40FE" w:rsidRPr="006A40FE" w:rsidRDefault="006A40FE" w:rsidP="006A40FE">
      <w:pPr>
        <w:tabs>
          <w:tab w:val="left" w:pos="567"/>
        </w:tabs>
        <w:spacing w:after="0" w:line="240" w:lineRule="auto"/>
        <w:jc w:val="both"/>
        <w:rPr>
          <w:rFonts w:ascii="Times New Roman" w:hAnsi="Times New Roman"/>
          <w:b/>
          <w:sz w:val="20"/>
          <w:szCs w:val="20"/>
        </w:rPr>
      </w:pPr>
      <w:r w:rsidRPr="006A40FE">
        <w:rPr>
          <w:rFonts w:ascii="Times New Roman" w:hAnsi="Times New Roman"/>
          <w:b/>
          <w:sz w:val="20"/>
          <w:szCs w:val="20"/>
        </w:rPr>
        <w:lastRenderedPageBreak/>
        <w:t>Performance of the prepared catalysts</w:t>
      </w:r>
    </w:p>
    <w:p w:rsidR="006A40FE" w:rsidRDefault="006A40FE" w:rsidP="006A40FE">
      <w:pPr>
        <w:spacing w:after="0" w:line="240" w:lineRule="auto"/>
        <w:jc w:val="both"/>
        <w:rPr>
          <w:rFonts w:ascii="Times New Roman" w:hAnsi="Times New Roman"/>
          <w:sz w:val="20"/>
          <w:szCs w:val="20"/>
        </w:rPr>
      </w:pPr>
      <w:r w:rsidRPr="006A40FE">
        <w:rPr>
          <w:rFonts w:ascii="Times New Roman" w:hAnsi="Times New Roman"/>
          <w:sz w:val="20"/>
          <w:szCs w:val="20"/>
        </w:rPr>
        <w:t>The performance of the prepared catalysts was examined by the decolorization of CR, and the results are shown in Figure 2. The result showed that complete decolorization of CR was achieved within a very short contact time (2 hours) under visible light conditions when using AgO-HSM at 480 mA cm</w:t>
      </w:r>
      <w:r w:rsidRPr="006A40FE">
        <w:rPr>
          <w:rFonts w:ascii="Times New Roman" w:eastAsia="Calibri" w:hAnsi="Times New Roman"/>
          <w:bCs/>
          <w:sz w:val="20"/>
          <w:szCs w:val="20"/>
          <w:vertAlign w:val="superscript"/>
        </w:rPr>
        <w:t>−</w:t>
      </w:r>
      <w:r w:rsidRPr="006A40FE">
        <w:rPr>
          <w:rFonts w:ascii="Times New Roman" w:hAnsi="Times New Roman"/>
          <w:sz w:val="20"/>
          <w:szCs w:val="20"/>
          <w:vertAlign w:val="superscript"/>
        </w:rPr>
        <w:t>2</w:t>
      </w:r>
      <w:r w:rsidRPr="006A40FE">
        <w:rPr>
          <w:rFonts w:ascii="Times New Roman" w:hAnsi="Times New Roman"/>
          <w:sz w:val="20"/>
          <w:szCs w:val="20"/>
        </w:rPr>
        <w:t xml:space="preserve">. It may be attributed to the narrower band gap of this catalyst, which facilitates excitation of electrons from the valence band to the conduction band, leading to the production of hydroxyl radicals. Therefore, the compatibility of AgO catalyst for the application in wastewater treatment of textile industry effluents is always at low concentration [18]. </w:t>
      </w:r>
    </w:p>
    <w:p w:rsidR="006A40FE" w:rsidRPr="006A40FE" w:rsidRDefault="006A40FE" w:rsidP="006A40FE">
      <w:pPr>
        <w:spacing w:after="120" w:line="240" w:lineRule="auto"/>
        <w:jc w:val="both"/>
        <w:rPr>
          <w:rFonts w:ascii="Times New Roman" w:hAnsi="Times New Roman"/>
          <w:sz w:val="20"/>
          <w:szCs w:val="20"/>
        </w:rPr>
      </w:pPr>
    </w:p>
    <w:p w:rsidR="006A40FE" w:rsidRPr="006A40FE" w:rsidRDefault="006A40FE" w:rsidP="006A40FE">
      <w:pPr>
        <w:spacing w:after="120" w:line="240" w:lineRule="auto"/>
        <w:jc w:val="center"/>
        <w:rPr>
          <w:rFonts w:ascii="Times New Roman" w:hAnsi="Times New Roman"/>
          <w:sz w:val="20"/>
          <w:szCs w:val="20"/>
        </w:rPr>
      </w:pPr>
      <w:r w:rsidRPr="006A40FE">
        <w:rPr>
          <w:rFonts w:ascii="Times New Roman" w:hAnsi="Times New Roman"/>
          <w:noProof/>
          <w:sz w:val="20"/>
          <w:szCs w:val="20"/>
          <w:lang w:val="en-MY" w:eastAsia="en-MY" w:bidi="ar-SA"/>
        </w:rPr>
        <w:drawing>
          <wp:inline distT="0" distB="0" distL="0" distR="0" wp14:anchorId="0704EE54" wp14:editId="6337C8C2">
            <wp:extent cx="3060003" cy="2520000"/>
            <wp:effectExtent l="19050" t="19050" r="26670" b="139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0003" cy="2520000"/>
                    </a:xfrm>
                    <a:prstGeom prst="rect">
                      <a:avLst/>
                    </a:prstGeom>
                    <a:noFill/>
                    <a:ln w="6350">
                      <a:solidFill>
                        <a:schemeClr val="tx1"/>
                      </a:solidFill>
                    </a:ln>
                  </pic:spPr>
                </pic:pic>
              </a:graphicData>
            </a:graphic>
          </wp:inline>
        </w:drawing>
      </w:r>
    </w:p>
    <w:p w:rsidR="006A40FE" w:rsidRPr="006A40FE" w:rsidRDefault="006A40FE" w:rsidP="006A40FE">
      <w:pPr>
        <w:pStyle w:val="NoSpacing"/>
        <w:ind w:left="810" w:hanging="810"/>
        <w:jc w:val="both"/>
        <w:rPr>
          <w:rFonts w:ascii="Times New Roman" w:hAnsi="Times New Roman"/>
          <w:bCs/>
          <w:sz w:val="20"/>
          <w:szCs w:val="20"/>
        </w:rPr>
      </w:pPr>
      <w:r w:rsidRPr="006A40FE">
        <w:rPr>
          <w:rFonts w:ascii="Times New Roman" w:hAnsi="Times New Roman"/>
          <w:bCs/>
          <w:sz w:val="20"/>
          <w:szCs w:val="20"/>
        </w:rPr>
        <w:t xml:space="preserve">Figure 2. </w:t>
      </w:r>
      <w:r>
        <w:rPr>
          <w:rFonts w:ascii="Times New Roman" w:hAnsi="Times New Roman"/>
          <w:bCs/>
          <w:sz w:val="20"/>
          <w:szCs w:val="20"/>
        </w:rPr>
        <w:t xml:space="preserve"> </w:t>
      </w:r>
      <w:r w:rsidRPr="006A40FE">
        <w:rPr>
          <w:rFonts w:ascii="Times New Roman" w:hAnsi="Times New Roman"/>
          <w:bCs/>
          <w:sz w:val="20"/>
          <w:szCs w:val="20"/>
        </w:rPr>
        <w:t>Performance of the AgO catalysts on the decolorization of CR (pH = 5, AgO loading = 2 wt.%, catalyst dosage = 0.3 g L</w:t>
      </w:r>
      <w:r w:rsidRPr="006A40FE">
        <w:rPr>
          <w:rFonts w:ascii="Times New Roman" w:hAnsi="Times New Roman"/>
          <w:bCs/>
          <w:sz w:val="20"/>
          <w:szCs w:val="20"/>
          <w:vertAlign w:val="superscript"/>
        </w:rPr>
        <w:t>−1</w:t>
      </w:r>
      <w:r w:rsidRPr="006A40FE">
        <w:rPr>
          <w:rFonts w:ascii="Times New Roman" w:hAnsi="Times New Roman"/>
          <w:bCs/>
          <w:sz w:val="20"/>
          <w:szCs w:val="20"/>
        </w:rPr>
        <w:t>, temperature = 30 ºC, and initial concentration = 10 ppm)</w:t>
      </w:r>
    </w:p>
    <w:p w:rsidR="006A40FE" w:rsidRPr="006A40FE" w:rsidRDefault="006A40FE" w:rsidP="006A40FE">
      <w:pPr>
        <w:tabs>
          <w:tab w:val="left" w:pos="567"/>
        </w:tabs>
        <w:spacing w:after="120" w:line="240" w:lineRule="auto"/>
        <w:jc w:val="both"/>
        <w:rPr>
          <w:rFonts w:ascii="Times New Roman" w:hAnsi="Times New Roman"/>
          <w:sz w:val="20"/>
          <w:szCs w:val="20"/>
        </w:rPr>
      </w:pPr>
    </w:p>
    <w:p w:rsidR="006A40FE" w:rsidRPr="006A40FE" w:rsidRDefault="006A40FE" w:rsidP="006A40FE">
      <w:pPr>
        <w:tabs>
          <w:tab w:val="left" w:pos="567"/>
        </w:tabs>
        <w:spacing w:after="0" w:line="240" w:lineRule="auto"/>
        <w:jc w:val="both"/>
        <w:rPr>
          <w:rFonts w:ascii="Times New Roman" w:hAnsi="Times New Roman"/>
          <w:b/>
          <w:sz w:val="20"/>
          <w:szCs w:val="20"/>
        </w:rPr>
      </w:pPr>
      <w:r w:rsidRPr="006A40FE">
        <w:rPr>
          <w:rFonts w:ascii="Times New Roman" w:hAnsi="Times New Roman"/>
          <w:b/>
          <w:sz w:val="20"/>
          <w:szCs w:val="20"/>
        </w:rPr>
        <w:t>Effect of pH</w:t>
      </w:r>
    </w:p>
    <w:p w:rsidR="006A40FE" w:rsidRPr="006A40FE" w:rsidRDefault="006A40FE" w:rsidP="006A40FE">
      <w:pPr>
        <w:tabs>
          <w:tab w:val="left" w:pos="567"/>
        </w:tabs>
        <w:spacing w:after="0" w:line="240" w:lineRule="auto"/>
        <w:jc w:val="both"/>
        <w:rPr>
          <w:rFonts w:ascii="Times New Roman" w:hAnsi="Times New Roman"/>
          <w:sz w:val="20"/>
          <w:szCs w:val="20"/>
        </w:rPr>
      </w:pPr>
      <w:r w:rsidRPr="006A40FE">
        <w:rPr>
          <w:rFonts w:ascii="Times New Roman" w:hAnsi="Times New Roman"/>
          <w:sz w:val="20"/>
          <w:szCs w:val="20"/>
        </w:rPr>
        <w:t>pH solution plays an important role in the photodecolorization of a dye as shown in Figure 3. Semiconductor oxides usually exhibit an amphoteric behavior, which influences the surface-charge properties of the photocatalysts when the reactions occur on the surface of the semiconductor [21]. In this study, the effect of pH on the removal of CR was examined over a pH range from 3 to 11 using AgO-HSM. The highest decolorization was obtained at pH 5 with decolorization of 70.2%. The activities of the catalysts may have been affected by the existence of a strong electrostatic field between the positively charged catalyst surface and the negatively charged CR, as well as the activity of Ag cations inside the framework of the mud [2]. The increase in the pH value did not seem to favor photodecolorization, which may be due to the reduction in the amount of positive charges on the surface of the catalyst, which in turn decreased the attraction of CR towards the surface. The reaction was not performed in alkaline conditions due to the competition between the hydroxyl ions and CR ions in the system. However, lowering the pH to acidic conditions made the surface of AgO-HSM became positively charged and this inhibited the dye cations from approaching the catalyst surface, thus reducing the efficiency of the reaction to 36.4% [19].</w:t>
      </w:r>
    </w:p>
    <w:p w:rsidR="006A40FE" w:rsidRPr="006A40FE" w:rsidRDefault="006A40FE" w:rsidP="006A40FE">
      <w:pPr>
        <w:tabs>
          <w:tab w:val="left" w:pos="567"/>
        </w:tabs>
        <w:spacing w:after="0" w:line="240" w:lineRule="auto"/>
        <w:jc w:val="both"/>
        <w:rPr>
          <w:rFonts w:ascii="Times New Roman" w:hAnsi="Times New Roman"/>
          <w:sz w:val="20"/>
          <w:szCs w:val="20"/>
        </w:rPr>
      </w:pPr>
    </w:p>
    <w:p w:rsidR="006A40FE" w:rsidRPr="006A40FE" w:rsidRDefault="006A40FE" w:rsidP="006A40FE">
      <w:pPr>
        <w:tabs>
          <w:tab w:val="left" w:pos="567"/>
        </w:tabs>
        <w:spacing w:after="120" w:line="240" w:lineRule="auto"/>
        <w:jc w:val="center"/>
        <w:rPr>
          <w:rFonts w:ascii="Times New Roman" w:hAnsi="Times New Roman"/>
          <w:sz w:val="20"/>
          <w:szCs w:val="20"/>
        </w:rPr>
      </w:pPr>
      <w:r w:rsidRPr="006A40FE">
        <w:rPr>
          <w:rFonts w:ascii="Times New Roman" w:hAnsi="Times New Roman"/>
          <w:noProof/>
          <w:sz w:val="20"/>
          <w:szCs w:val="20"/>
          <w:lang w:val="en-MY" w:eastAsia="en-MY" w:bidi="ar-SA"/>
        </w:rPr>
        <w:lastRenderedPageBreak/>
        <w:drawing>
          <wp:inline distT="0" distB="0" distL="0" distR="0" wp14:anchorId="0FD50478" wp14:editId="7A193460">
            <wp:extent cx="3189430" cy="2520000"/>
            <wp:effectExtent l="19050" t="19050" r="11430" b="139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lum contrast="20000"/>
                      <a:extLst>
                        <a:ext uri="{28A0092B-C50C-407E-A947-70E740481C1C}">
                          <a14:useLocalDpi xmlns:a14="http://schemas.microsoft.com/office/drawing/2010/main" val="0"/>
                        </a:ext>
                      </a:extLst>
                    </a:blip>
                    <a:srcRect/>
                    <a:stretch>
                      <a:fillRect/>
                    </a:stretch>
                  </pic:blipFill>
                  <pic:spPr bwMode="auto">
                    <a:xfrm>
                      <a:off x="0" y="0"/>
                      <a:ext cx="3189430" cy="2520000"/>
                    </a:xfrm>
                    <a:prstGeom prst="rect">
                      <a:avLst/>
                    </a:prstGeom>
                    <a:noFill/>
                    <a:ln w="6350">
                      <a:solidFill>
                        <a:schemeClr val="tx1"/>
                      </a:solidFill>
                    </a:ln>
                  </pic:spPr>
                </pic:pic>
              </a:graphicData>
            </a:graphic>
          </wp:inline>
        </w:drawing>
      </w:r>
    </w:p>
    <w:p w:rsidR="006A40FE" w:rsidRPr="006A40FE" w:rsidRDefault="006A40FE" w:rsidP="006A40FE">
      <w:pPr>
        <w:spacing w:after="0" w:line="240" w:lineRule="auto"/>
        <w:ind w:left="851" w:hanging="851"/>
        <w:jc w:val="both"/>
        <w:rPr>
          <w:rFonts w:ascii="Times New Roman" w:hAnsi="Times New Roman"/>
          <w:sz w:val="20"/>
          <w:szCs w:val="20"/>
        </w:rPr>
      </w:pPr>
      <w:r w:rsidRPr="006A40FE">
        <w:rPr>
          <w:rFonts w:ascii="Times New Roman" w:hAnsi="Times New Roman"/>
          <w:bCs/>
          <w:sz w:val="20"/>
          <w:szCs w:val="20"/>
        </w:rPr>
        <w:t>Figure 3</w:t>
      </w:r>
      <w:r w:rsidRPr="006A40FE">
        <w:rPr>
          <w:rFonts w:ascii="Times New Roman" w:hAnsi="Times New Roman"/>
          <w:sz w:val="20"/>
          <w:szCs w:val="20"/>
        </w:rPr>
        <w:t xml:space="preserve">. </w:t>
      </w:r>
      <w:r>
        <w:rPr>
          <w:rFonts w:ascii="Times New Roman" w:hAnsi="Times New Roman"/>
          <w:sz w:val="20"/>
          <w:szCs w:val="20"/>
        </w:rPr>
        <w:tab/>
      </w:r>
      <w:r w:rsidRPr="006A40FE">
        <w:rPr>
          <w:rFonts w:ascii="Times New Roman" w:hAnsi="Times New Roman"/>
          <w:sz w:val="20"/>
          <w:szCs w:val="20"/>
        </w:rPr>
        <w:t>Effect of pH on the decolorization of CR (AgO loading = 2 wt.%, catalyst dosage = 0.3 g L</w:t>
      </w:r>
      <w:r w:rsidRPr="006A40FE">
        <w:rPr>
          <w:rFonts w:ascii="Times New Roman" w:hAnsi="Times New Roman"/>
          <w:sz w:val="20"/>
          <w:szCs w:val="20"/>
          <w:vertAlign w:val="superscript"/>
        </w:rPr>
        <w:t>−1</w:t>
      </w:r>
      <w:r w:rsidRPr="006A40FE">
        <w:rPr>
          <w:rFonts w:ascii="Times New Roman" w:hAnsi="Times New Roman"/>
          <w:sz w:val="20"/>
          <w:szCs w:val="20"/>
        </w:rPr>
        <w:t>, temperature = 30 ºC, and initial concentration = 10 ppm</w:t>
      </w:r>
      <w:r w:rsidR="00A81947">
        <w:rPr>
          <w:rFonts w:ascii="Times New Roman" w:hAnsi="Times New Roman"/>
          <w:sz w:val="20"/>
          <w:szCs w:val="20"/>
        </w:rPr>
        <w:t>)</w:t>
      </w:r>
    </w:p>
    <w:p w:rsidR="006A40FE" w:rsidRPr="006A40FE" w:rsidRDefault="006A40FE" w:rsidP="006A40FE">
      <w:pPr>
        <w:spacing w:after="120" w:line="240" w:lineRule="auto"/>
        <w:jc w:val="both"/>
        <w:rPr>
          <w:rFonts w:ascii="Times New Roman" w:hAnsi="Times New Roman"/>
          <w:sz w:val="20"/>
          <w:szCs w:val="20"/>
        </w:rPr>
      </w:pPr>
    </w:p>
    <w:p w:rsidR="006A40FE" w:rsidRPr="006A40FE" w:rsidRDefault="006A40FE" w:rsidP="006A40FE">
      <w:pPr>
        <w:spacing w:after="0" w:line="240" w:lineRule="auto"/>
        <w:jc w:val="both"/>
        <w:rPr>
          <w:rFonts w:ascii="Times New Roman" w:hAnsi="Times New Roman"/>
          <w:sz w:val="20"/>
          <w:szCs w:val="20"/>
        </w:rPr>
      </w:pPr>
      <w:r w:rsidRPr="006A40FE">
        <w:rPr>
          <w:rFonts w:ascii="Times New Roman" w:hAnsi="Times New Roman"/>
          <w:b/>
          <w:sz w:val="20"/>
          <w:szCs w:val="20"/>
        </w:rPr>
        <w:t>Effect of metal loading</w:t>
      </w:r>
    </w:p>
    <w:p w:rsidR="006A40FE" w:rsidRPr="006A40FE" w:rsidRDefault="006A40FE" w:rsidP="006A40FE">
      <w:pPr>
        <w:tabs>
          <w:tab w:val="left" w:pos="567"/>
        </w:tabs>
        <w:spacing w:after="0" w:line="240" w:lineRule="auto"/>
        <w:jc w:val="both"/>
        <w:rPr>
          <w:rFonts w:ascii="Times New Roman" w:hAnsi="Times New Roman"/>
          <w:sz w:val="20"/>
          <w:szCs w:val="20"/>
        </w:rPr>
      </w:pPr>
      <w:r w:rsidRPr="006A40FE">
        <w:rPr>
          <w:rFonts w:ascii="Times New Roman" w:hAnsi="Times New Roman"/>
          <w:sz w:val="20"/>
          <w:szCs w:val="20"/>
        </w:rPr>
        <w:t>The effect of AgO content in HSM was studied for the decolorization of CR in the range of 0.5–25 wt.% loading using 0.2 g L</w:t>
      </w:r>
      <w:r w:rsidRPr="006A40FE">
        <w:rPr>
          <w:rFonts w:ascii="Times New Roman" w:hAnsi="Times New Roman"/>
          <w:sz w:val="20"/>
          <w:szCs w:val="20"/>
          <w:vertAlign w:val="superscript"/>
        </w:rPr>
        <w:t>−1</w:t>
      </w:r>
      <w:r w:rsidRPr="006A40FE">
        <w:rPr>
          <w:rFonts w:ascii="Times New Roman" w:hAnsi="Times New Roman"/>
          <w:sz w:val="20"/>
          <w:szCs w:val="20"/>
        </w:rPr>
        <w:t xml:space="preserve"> AgO-HSM for a 2 hours irradiation time and shown in Figure 4. The decolorization increased with the increasing silver loading up to 11 wt.%, yielding a maximum decolorization percentage of 77.1%. Further addition of AgO most probably resulted in more agglomeration of silver oxide on the surface of HSM, which then reduced the surface area for CR attraction and light penetration for an efficient photocatalytic reaction. A similar observation was reported on the photocatalytic degradation of C.I. basic violet 10 using TiO</w:t>
      </w:r>
      <w:r w:rsidRPr="006A40FE">
        <w:rPr>
          <w:rFonts w:ascii="Times New Roman" w:hAnsi="Times New Roman"/>
          <w:sz w:val="20"/>
          <w:szCs w:val="20"/>
          <w:vertAlign w:val="subscript"/>
        </w:rPr>
        <w:t>2</w:t>
      </w:r>
      <w:r w:rsidRPr="006A40FE">
        <w:rPr>
          <w:rFonts w:ascii="Times New Roman" w:hAnsi="Times New Roman"/>
          <w:sz w:val="20"/>
          <w:szCs w:val="20"/>
        </w:rPr>
        <w:t xml:space="preserve"> catalysts supported on Y-zeolites [20].</w:t>
      </w:r>
    </w:p>
    <w:p w:rsidR="006A40FE" w:rsidRPr="006A40FE" w:rsidRDefault="006A40FE" w:rsidP="006A40FE">
      <w:pPr>
        <w:tabs>
          <w:tab w:val="left" w:pos="567"/>
        </w:tabs>
        <w:spacing w:after="120" w:line="240" w:lineRule="auto"/>
        <w:jc w:val="both"/>
        <w:rPr>
          <w:rFonts w:ascii="Times New Roman" w:hAnsi="Times New Roman"/>
          <w:sz w:val="20"/>
          <w:szCs w:val="20"/>
        </w:rPr>
      </w:pPr>
    </w:p>
    <w:p w:rsidR="006A40FE" w:rsidRPr="006A40FE" w:rsidRDefault="006A40FE" w:rsidP="00834310">
      <w:pPr>
        <w:tabs>
          <w:tab w:val="left" w:pos="567"/>
        </w:tabs>
        <w:spacing w:after="120" w:line="240" w:lineRule="auto"/>
        <w:jc w:val="center"/>
        <w:rPr>
          <w:rFonts w:ascii="Times New Roman" w:hAnsi="Times New Roman"/>
          <w:b/>
          <w:sz w:val="20"/>
          <w:szCs w:val="20"/>
        </w:rPr>
      </w:pPr>
      <w:r w:rsidRPr="006A40FE">
        <w:rPr>
          <w:rFonts w:ascii="Times New Roman" w:hAnsi="Times New Roman"/>
          <w:noProof/>
          <w:sz w:val="20"/>
          <w:szCs w:val="20"/>
          <w:lang w:val="en-MY" w:eastAsia="en-MY" w:bidi="ar-SA"/>
        </w:rPr>
        <w:drawing>
          <wp:inline distT="0" distB="0" distL="0" distR="0" wp14:anchorId="1F9B2C37" wp14:editId="1EFBEC09">
            <wp:extent cx="3053898" cy="2520000"/>
            <wp:effectExtent l="19050" t="19050" r="13335" b="139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lum contrast="20000"/>
                      <a:extLst>
                        <a:ext uri="{28A0092B-C50C-407E-A947-70E740481C1C}">
                          <a14:useLocalDpi xmlns:a14="http://schemas.microsoft.com/office/drawing/2010/main" val="0"/>
                        </a:ext>
                      </a:extLst>
                    </a:blip>
                    <a:srcRect/>
                    <a:stretch>
                      <a:fillRect/>
                    </a:stretch>
                  </pic:blipFill>
                  <pic:spPr bwMode="auto">
                    <a:xfrm>
                      <a:off x="0" y="0"/>
                      <a:ext cx="3053898" cy="2520000"/>
                    </a:xfrm>
                    <a:prstGeom prst="rect">
                      <a:avLst/>
                    </a:prstGeom>
                    <a:noFill/>
                    <a:ln w="6350">
                      <a:solidFill>
                        <a:schemeClr val="tx1"/>
                      </a:solidFill>
                    </a:ln>
                  </pic:spPr>
                </pic:pic>
              </a:graphicData>
            </a:graphic>
          </wp:inline>
        </w:drawing>
      </w:r>
    </w:p>
    <w:p w:rsidR="006A40FE" w:rsidRPr="006A40FE" w:rsidRDefault="006A40FE" w:rsidP="006A40FE">
      <w:pPr>
        <w:tabs>
          <w:tab w:val="left" w:pos="567"/>
        </w:tabs>
        <w:spacing w:after="0" w:line="240" w:lineRule="auto"/>
        <w:ind w:left="851" w:hanging="851"/>
        <w:jc w:val="both"/>
        <w:rPr>
          <w:rFonts w:ascii="Times New Roman" w:hAnsi="Times New Roman"/>
          <w:bCs/>
          <w:sz w:val="20"/>
          <w:szCs w:val="20"/>
        </w:rPr>
      </w:pPr>
      <w:r w:rsidRPr="006A40FE">
        <w:rPr>
          <w:rFonts w:ascii="Times New Roman" w:hAnsi="Times New Roman"/>
          <w:bCs/>
          <w:sz w:val="20"/>
          <w:szCs w:val="20"/>
        </w:rPr>
        <w:t xml:space="preserve">Figure 4. </w:t>
      </w:r>
      <w:r>
        <w:rPr>
          <w:rFonts w:ascii="Times New Roman" w:hAnsi="Times New Roman"/>
          <w:bCs/>
          <w:sz w:val="20"/>
          <w:szCs w:val="20"/>
        </w:rPr>
        <w:tab/>
      </w:r>
      <w:r w:rsidRPr="006A40FE">
        <w:rPr>
          <w:rFonts w:ascii="Times New Roman" w:hAnsi="Times New Roman"/>
          <w:bCs/>
          <w:sz w:val="20"/>
          <w:szCs w:val="20"/>
        </w:rPr>
        <w:t>Effect of metal loading on the decolorization of CR (pH = 5, catalyst dosage = 0.3 g L</w:t>
      </w:r>
      <w:r w:rsidRPr="006A40FE">
        <w:rPr>
          <w:rFonts w:ascii="Times New Roman" w:hAnsi="Times New Roman"/>
          <w:bCs/>
          <w:sz w:val="20"/>
          <w:szCs w:val="20"/>
          <w:vertAlign w:val="superscript"/>
        </w:rPr>
        <w:t>−1</w:t>
      </w:r>
      <w:r w:rsidRPr="006A40FE">
        <w:rPr>
          <w:rFonts w:ascii="Times New Roman" w:hAnsi="Times New Roman"/>
          <w:bCs/>
          <w:sz w:val="20"/>
          <w:szCs w:val="20"/>
        </w:rPr>
        <w:t>, temperature = 30 ºC, and initial concentration = 10 ppm)</w:t>
      </w:r>
    </w:p>
    <w:p w:rsidR="006A40FE" w:rsidRDefault="006A40FE" w:rsidP="006A40FE">
      <w:pPr>
        <w:tabs>
          <w:tab w:val="left" w:pos="567"/>
        </w:tabs>
        <w:spacing w:after="0" w:line="240" w:lineRule="auto"/>
        <w:jc w:val="both"/>
        <w:rPr>
          <w:rFonts w:ascii="Times New Roman" w:hAnsi="Times New Roman"/>
          <w:b/>
          <w:sz w:val="20"/>
          <w:szCs w:val="20"/>
        </w:rPr>
      </w:pPr>
    </w:p>
    <w:p w:rsidR="00834310" w:rsidRPr="006A40FE" w:rsidRDefault="00834310" w:rsidP="006A40FE">
      <w:pPr>
        <w:tabs>
          <w:tab w:val="left" w:pos="567"/>
        </w:tabs>
        <w:spacing w:after="0" w:line="240" w:lineRule="auto"/>
        <w:jc w:val="both"/>
        <w:rPr>
          <w:rFonts w:ascii="Times New Roman" w:hAnsi="Times New Roman"/>
          <w:b/>
          <w:sz w:val="20"/>
          <w:szCs w:val="20"/>
        </w:rPr>
      </w:pPr>
    </w:p>
    <w:p w:rsidR="006A40FE" w:rsidRPr="006A40FE" w:rsidRDefault="006A40FE" w:rsidP="006A40FE">
      <w:pPr>
        <w:tabs>
          <w:tab w:val="left" w:pos="567"/>
        </w:tabs>
        <w:spacing w:after="0" w:line="240" w:lineRule="auto"/>
        <w:jc w:val="both"/>
        <w:rPr>
          <w:rFonts w:ascii="Times New Roman" w:hAnsi="Times New Roman"/>
          <w:b/>
          <w:sz w:val="20"/>
          <w:szCs w:val="20"/>
        </w:rPr>
      </w:pPr>
      <w:r w:rsidRPr="006A40FE">
        <w:rPr>
          <w:rFonts w:ascii="Times New Roman" w:hAnsi="Times New Roman"/>
          <w:b/>
          <w:sz w:val="20"/>
          <w:szCs w:val="20"/>
        </w:rPr>
        <w:lastRenderedPageBreak/>
        <w:t>Effect of catalyst dosage</w:t>
      </w:r>
    </w:p>
    <w:p w:rsidR="006A40FE" w:rsidRPr="006A40FE" w:rsidRDefault="006A40FE" w:rsidP="006A40FE">
      <w:pPr>
        <w:tabs>
          <w:tab w:val="left" w:pos="567"/>
        </w:tabs>
        <w:spacing w:after="0" w:line="240" w:lineRule="auto"/>
        <w:jc w:val="both"/>
        <w:rPr>
          <w:rFonts w:ascii="Times New Roman" w:hAnsi="Times New Roman"/>
          <w:sz w:val="20"/>
          <w:szCs w:val="20"/>
        </w:rPr>
      </w:pPr>
      <w:r w:rsidRPr="006A40FE">
        <w:rPr>
          <w:rFonts w:ascii="Times New Roman" w:hAnsi="Times New Roman"/>
          <w:sz w:val="20"/>
          <w:szCs w:val="20"/>
        </w:rPr>
        <w:t>In order to study the effect of catalyst dosage, a 10 mg L</w:t>
      </w:r>
      <w:r w:rsidRPr="006A40FE">
        <w:rPr>
          <w:rFonts w:ascii="Times New Roman" w:hAnsi="Times New Roman"/>
          <w:sz w:val="20"/>
          <w:szCs w:val="20"/>
          <w:vertAlign w:val="superscript"/>
        </w:rPr>
        <w:t>−1</w:t>
      </w:r>
      <w:r w:rsidRPr="006A40FE">
        <w:rPr>
          <w:rFonts w:ascii="Times New Roman" w:hAnsi="Times New Roman"/>
          <w:sz w:val="20"/>
          <w:szCs w:val="20"/>
        </w:rPr>
        <w:t xml:space="preserve"> CR solution was studied at pH 5 under various catalytic doses ranging from 0.1 to 0.5 g L</w:t>
      </w:r>
      <w:r w:rsidRPr="006A40FE">
        <w:rPr>
          <w:rFonts w:ascii="Times New Roman" w:eastAsia="Calibri" w:hAnsi="Times New Roman"/>
          <w:bCs/>
          <w:sz w:val="20"/>
          <w:szCs w:val="20"/>
          <w:vertAlign w:val="superscript"/>
        </w:rPr>
        <w:t>−</w:t>
      </w:r>
      <w:r w:rsidRPr="006A40FE">
        <w:rPr>
          <w:rFonts w:ascii="Times New Roman" w:hAnsi="Times New Roman"/>
          <w:sz w:val="20"/>
          <w:szCs w:val="20"/>
          <w:vertAlign w:val="superscript"/>
        </w:rPr>
        <w:t>1</w:t>
      </w:r>
      <w:r w:rsidRPr="006A40FE">
        <w:rPr>
          <w:rFonts w:ascii="Times New Roman" w:hAnsi="Times New Roman"/>
          <w:sz w:val="20"/>
          <w:szCs w:val="20"/>
        </w:rPr>
        <w:t>. Figure 5 shows a plot of the decolorization percentage of CR for AgO-HSM. The decolorization increased with increasing catalyst dosage up to 0.2 g L</w:t>
      </w:r>
      <w:r w:rsidRPr="006A40FE">
        <w:rPr>
          <w:rFonts w:ascii="Times New Roman" w:hAnsi="Times New Roman"/>
          <w:sz w:val="20"/>
          <w:szCs w:val="20"/>
          <w:vertAlign w:val="superscript"/>
        </w:rPr>
        <w:t>−1</w:t>
      </w:r>
      <w:r w:rsidRPr="006A40FE">
        <w:rPr>
          <w:rFonts w:ascii="Times New Roman" w:hAnsi="Times New Roman"/>
          <w:sz w:val="20"/>
          <w:szCs w:val="20"/>
        </w:rPr>
        <w:t>, but further addition of the catalyst did not produce any significant effect on the decolorization. This result could be due to the increased turbidity of the suspension, which reduced light penetration and inhibited photodecolorization [8, 16]. The increase in the catalyst dosage led to an increase in the active surface area and enhanced the decolorization up to 80.2% for AgO-HSM [2].</w:t>
      </w:r>
    </w:p>
    <w:p w:rsidR="006A40FE" w:rsidRPr="006A40FE" w:rsidRDefault="006A40FE" w:rsidP="00834310">
      <w:pPr>
        <w:tabs>
          <w:tab w:val="left" w:pos="567"/>
        </w:tabs>
        <w:spacing w:after="120" w:line="240" w:lineRule="auto"/>
        <w:jc w:val="both"/>
        <w:rPr>
          <w:rFonts w:ascii="Times New Roman" w:hAnsi="Times New Roman"/>
          <w:sz w:val="20"/>
          <w:szCs w:val="20"/>
        </w:rPr>
      </w:pPr>
    </w:p>
    <w:p w:rsidR="006A40FE" w:rsidRPr="006A40FE" w:rsidRDefault="006A40FE" w:rsidP="00834310">
      <w:pPr>
        <w:tabs>
          <w:tab w:val="left" w:pos="567"/>
        </w:tabs>
        <w:spacing w:after="120" w:line="240" w:lineRule="auto"/>
        <w:jc w:val="center"/>
        <w:rPr>
          <w:rFonts w:ascii="Times New Roman" w:hAnsi="Times New Roman"/>
          <w:sz w:val="20"/>
          <w:szCs w:val="20"/>
        </w:rPr>
      </w:pPr>
      <w:r w:rsidRPr="006A40FE">
        <w:rPr>
          <w:rFonts w:ascii="Times New Roman" w:hAnsi="Times New Roman"/>
          <w:noProof/>
          <w:sz w:val="20"/>
          <w:szCs w:val="20"/>
          <w:lang w:val="en-MY" w:eastAsia="en-MY" w:bidi="ar-SA"/>
        </w:rPr>
        <w:drawing>
          <wp:inline distT="0" distB="0" distL="0" distR="0" wp14:anchorId="1ACEE747" wp14:editId="0E8B5DD8">
            <wp:extent cx="3234842" cy="2520000"/>
            <wp:effectExtent l="19050" t="19050" r="22860" b="139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lum contrast="20000"/>
                      <a:extLst>
                        <a:ext uri="{28A0092B-C50C-407E-A947-70E740481C1C}">
                          <a14:useLocalDpi xmlns:a14="http://schemas.microsoft.com/office/drawing/2010/main" val="0"/>
                        </a:ext>
                      </a:extLst>
                    </a:blip>
                    <a:srcRect/>
                    <a:stretch>
                      <a:fillRect/>
                    </a:stretch>
                  </pic:blipFill>
                  <pic:spPr bwMode="auto">
                    <a:xfrm>
                      <a:off x="0" y="0"/>
                      <a:ext cx="3234842" cy="2520000"/>
                    </a:xfrm>
                    <a:prstGeom prst="rect">
                      <a:avLst/>
                    </a:prstGeom>
                    <a:noFill/>
                    <a:ln w="6350">
                      <a:solidFill>
                        <a:schemeClr val="tx1"/>
                      </a:solidFill>
                    </a:ln>
                  </pic:spPr>
                </pic:pic>
              </a:graphicData>
            </a:graphic>
          </wp:inline>
        </w:drawing>
      </w:r>
    </w:p>
    <w:p w:rsidR="006A40FE" w:rsidRDefault="006A40FE" w:rsidP="006A40FE">
      <w:pPr>
        <w:spacing w:after="0" w:line="240" w:lineRule="auto"/>
        <w:ind w:left="851" w:hanging="851"/>
        <w:jc w:val="both"/>
        <w:rPr>
          <w:rFonts w:ascii="Times New Roman" w:hAnsi="Times New Roman"/>
          <w:bCs/>
          <w:sz w:val="20"/>
          <w:szCs w:val="20"/>
        </w:rPr>
      </w:pPr>
      <w:r w:rsidRPr="006A40FE">
        <w:rPr>
          <w:rFonts w:ascii="Times New Roman" w:hAnsi="Times New Roman"/>
          <w:bCs/>
          <w:sz w:val="20"/>
          <w:szCs w:val="20"/>
        </w:rPr>
        <w:t xml:space="preserve">Figure 5. </w:t>
      </w:r>
      <w:r w:rsidR="00834310">
        <w:rPr>
          <w:rFonts w:ascii="Times New Roman" w:hAnsi="Times New Roman"/>
          <w:bCs/>
          <w:sz w:val="20"/>
          <w:szCs w:val="20"/>
        </w:rPr>
        <w:tab/>
      </w:r>
      <w:r w:rsidRPr="006A40FE">
        <w:rPr>
          <w:rFonts w:ascii="Times New Roman" w:hAnsi="Times New Roman"/>
          <w:bCs/>
          <w:sz w:val="20"/>
          <w:szCs w:val="20"/>
        </w:rPr>
        <w:t xml:space="preserve">Effect of catalyst dosage on the decolorization of CR (pH = 5, </w:t>
      </w:r>
      <w:r w:rsidR="00A81947">
        <w:rPr>
          <w:rFonts w:ascii="Times New Roman" w:hAnsi="Times New Roman"/>
          <w:bCs/>
          <w:sz w:val="20"/>
          <w:szCs w:val="20"/>
        </w:rPr>
        <w:t xml:space="preserve"> </w:t>
      </w:r>
      <w:r w:rsidRPr="006A40FE">
        <w:rPr>
          <w:rFonts w:ascii="Times New Roman" w:hAnsi="Times New Roman"/>
          <w:bCs/>
          <w:sz w:val="20"/>
          <w:szCs w:val="20"/>
        </w:rPr>
        <w:t xml:space="preserve">AgO loading = 11 wt.%, </w:t>
      </w:r>
      <w:r w:rsidR="00A81947">
        <w:rPr>
          <w:rFonts w:ascii="Times New Roman" w:hAnsi="Times New Roman"/>
          <w:bCs/>
          <w:sz w:val="20"/>
          <w:szCs w:val="20"/>
        </w:rPr>
        <w:t xml:space="preserve"> </w:t>
      </w:r>
      <w:r w:rsidRPr="006A40FE">
        <w:rPr>
          <w:rFonts w:ascii="Times New Roman" w:hAnsi="Times New Roman"/>
          <w:bCs/>
          <w:sz w:val="20"/>
          <w:szCs w:val="20"/>
        </w:rPr>
        <w:t>temperature = 30 ºC, and initial concentration = 10 ppm)</w:t>
      </w:r>
    </w:p>
    <w:p w:rsidR="00834310" w:rsidRPr="006A40FE" w:rsidRDefault="00834310" w:rsidP="00834310">
      <w:pPr>
        <w:spacing w:after="120" w:line="240" w:lineRule="auto"/>
        <w:ind w:left="850" w:hanging="850"/>
        <w:jc w:val="both"/>
        <w:rPr>
          <w:rFonts w:ascii="Times New Roman" w:hAnsi="Times New Roman"/>
          <w:bCs/>
          <w:sz w:val="20"/>
          <w:szCs w:val="20"/>
        </w:rPr>
      </w:pPr>
    </w:p>
    <w:p w:rsidR="006A40FE" w:rsidRPr="006A40FE" w:rsidRDefault="006A40FE" w:rsidP="006A40FE">
      <w:pPr>
        <w:spacing w:after="0" w:line="240" w:lineRule="auto"/>
        <w:ind w:left="851" w:hanging="851"/>
        <w:jc w:val="both"/>
        <w:rPr>
          <w:rFonts w:ascii="Times New Roman" w:hAnsi="Times New Roman"/>
          <w:bCs/>
          <w:sz w:val="20"/>
          <w:szCs w:val="20"/>
        </w:rPr>
      </w:pPr>
      <w:r w:rsidRPr="006A40FE">
        <w:rPr>
          <w:rFonts w:ascii="Times New Roman" w:hAnsi="Times New Roman"/>
          <w:b/>
          <w:sz w:val="20"/>
          <w:szCs w:val="20"/>
        </w:rPr>
        <w:t>Effect of initial concentration</w:t>
      </w:r>
    </w:p>
    <w:p w:rsidR="006A40FE" w:rsidRPr="006A40FE" w:rsidRDefault="006A40FE" w:rsidP="006A40FE">
      <w:pPr>
        <w:tabs>
          <w:tab w:val="left" w:pos="567"/>
        </w:tabs>
        <w:spacing w:after="0" w:line="240" w:lineRule="auto"/>
        <w:jc w:val="both"/>
        <w:rPr>
          <w:rFonts w:ascii="Times New Roman" w:hAnsi="Times New Roman"/>
          <w:sz w:val="20"/>
          <w:szCs w:val="20"/>
        </w:rPr>
      </w:pPr>
      <w:r w:rsidRPr="006A40FE">
        <w:rPr>
          <w:rFonts w:ascii="Times New Roman" w:hAnsi="Times New Roman"/>
          <w:sz w:val="20"/>
          <w:szCs w:val="20"/>
        </w:rPr>
        <w:t>Initial concentration is a very important aspect to be considered because the photocatalytic reaction rate depends on the substrate concentration. Figure 6 shows the effect of initial concentration, ranging from 10 to 100 mg L</w:t>
      </w:r>
      <w:r w:rsidRPr="006A40FE">
        <w:rPr>
          <w:rFonts w:ascii="Times New Roman" w:hAnsi="Times New Roman"/>
          <w:sz w:val="20"/>
          <w:szCs w:val="20"/>
          <w:vertAlign w:val="superscript"/>
        </w:rPr>
        <w:t>−1</w:t>
      </w:r>
      <w:r w:rsidRPr="006A40FE">
        <w:rPr>
          <w:rFonts w:ascii="Times New Roman" w:hAnsi="Times New Roman"/>
          <w:sz w:val="20"/>
          <w:szCs w:val="20"/>
        </w:rPr>
        <w:t>, on the decolorization of CR using AgO-HSM. The catalyst demonstrated a decrease in the decolorization with the increase of the initial concentration. The increase in the concentration of CR caused the saturation of active sites on the catalyst surface with organic species, thus reducing light penetration and hydroxyl radical formation [2, 15, 16]. Lowering dye (pollutant in wastewater) concentration reduced the time of decomposition of the wastewater. This could be described when the concentration of the real industrial wastewater is less than its original concentration, then the catalyst active sites are probably completely exposed to dye ions. Further increase in dye concentration may also be responsible for screening the exposed light, so light intensity will be reduced [16].</w:t>
      </w:r>
    </w:p>
    <w:p w:rsidR="006A40FE" w:rsidRPr="006A40FE" w:rsidRDefault="006A40FE" w:rsidP="006A40FE">
      <w:pPr>
        <w:tabs>
          <w:tab w:val="left" w:pos="567"/>
        </w:tabs>
        <w:spacing w:after="0" w:line="240" w:lineRule="auto"/>
        <w:jc w:val="both"/>
        <w:rPr>
          <w:rFonts w:ascii="Times New Roman" w:hAnsi="Times New Roman"/>
          <w:sz w:val="20"/>
          <w:szCs w:val="20"/>
        </w:rPr>
      </w:pPr>
    </w:p>
    <w:p w:rsidR="006A40FE" w:rsidRPr="006A40FE" w:rsidRDefault="006A40FE" w:rsidP="00834310">
      <w:pPr>
        <w:tabs>
          <w:tab w:val="left" w:pos="567"/>
        </w:tabs>
        <w:spacing w:after="120" w:line="240" w:lineRule="auto"/>
        <w:jc w:val="center"/>
        <w:rPr>
          <w:rFonts w:ascii="Times New Roman" w:hAnsi="Times New Roman"/>
          <w:b/>
          <w:sz w:val="20"/>
          <w:szCs w:val="20"/>
        </w:rPr>
      </w:pPr>
      <w:r w:rsidRPr="006A40FE">
        <w:rPr>
          <w:rFonts w:ascii="Times New Roman" w:hAnsi="Times New Roman"/>
          <w:noProof/>
          <w:sz w:val="20"/>
          <w:szCs w:val="20"/>
          <w:lang w:val="en-MY" w:eastAsia="en-MY" w:bidi="ar-SA"/>
        </w:rPr>
        <w:lastRenderedPageBreak/>
        <w:drawing>
          <wp:inline distT="0" distB="0" distL="0" distR="0" wp14:anchorId="07E45005" wp14:editId="5CDE7B59">
            <wp:extent cx="3152820" cy="2520000"/>
            <wp:effectExtent l="19050" t="19050" r="9525" b="139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lum contrast="20000"/>
                      <a:extLst>
                        <a:ext uri="{28A0092B-C50C-407E-A947-70E740481C1C}">
                          <a14:useLocalDpi xmlns:a14="http://schemas.microsoft.com/office/drawing/2010/main" val="0"/>
                        </a:ext>
                      </a:extLst>
                    </a:blip>
                    <a:srcRect t="1840" b="1"/>
                    <a:stretch/>
                  </pic:blipFill>
                  <pic:spPr bwMode="auto">
                    <a:xfrm>
                      <a:off x="0" y="0"/>
                      <a:ext cx="3152820" cy="252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6A40FE" w:rsidRPr="006A40FE" w:rsidRDefault="006A40FE" w:rsidP="006A40FE">
      <w:pPr>
        <w:spacing w:after="0" w:line="240" w:lineRule="auto"/>
        <w:ind w:left="851" w:hanging="851"/>
        <w:jc w:val="both"/>
        <w:rPr>
          <w:rFonts w:ascii="Times New Roman" w:hAnsi="Times New Roman"/>
          <w:bCs/>
          <w:sz w:val="20"/>
          <w:szCs w:val="20"/>
        </w:rPr>
      </w:pPr>
      <w:r w:rsidRPr="006A40FE">
        <w:rPr>
          <w:rFonts w:ascii="Times New Roman" w:hAnsi="Times New Roman"/>
          <w:bCs/>
          <w:sz w:val="20"/>
          <w:szCs w:val="20"/>
        </w:rPr>
        <w:t xml:space="preserve">Figure 6. </w:t>
      </w:r>
      <w:r w:rsidR="00834310">
        <w:rPr>
          <w:rFonts w:ascii="Times New Roman" w:hAnsi="Times New Roman"/>
          <w:bCs/>
          <w:sz w:val="20"/>
          <w:szCs w:val="20"/>
        </w:rPr>
        <w:tab/>
      </w:r>
      <w:r w:rsidRPr="006A40FE">
        <w:rPr>
          <w:rFonts w:ascii="Times New Roman" w:hAnsi="Times New Roman"/>
          <w:bCs/>
          <w:sz w:val="20"/>
          <w:szCs w:val="20"/>
        </w:rPr>
        <w:t>Effect of initial dye concentration on the decolorization of CR (pH = 5, AgO loading = 11 wt.%, catalyst dosage = 0.2 g L</w:t>
      </w:r>
      <w:r w:rsidRPr="006A40FE">
        <w:rPr>
          <w:rFonts w:ascii="Times New Roman" w:hAnsi="Times New Roman"/>
          <w:bCs/>
          <w:sz w:val="20"/>
          <w:szCs w:val="20"/>
          <w:vertAlign w:val="superscript"/>
        </w:rPr>
        <w:t>−1</w:t>
      </w:r>
      <w:r w:rsidRPr="006A40FE">
        <w:rPr>
          <w:rFonts w:ascii="Times New Roman" w:hAnsi="Times New Roman"/>
          <w:bCs/>
          <w:sz w:val="20"/>
          <w:szCs w:val="20"/>
        </w:rPr>
        <w:t>, and temperature = 30 ºC)</w:t>
      </w:r>
    </w:p>
    <w:p w:rsidR="006A40FE" w:rsidRPr="006A40FE" w:rsidRDefault="006A40FE" w:rsidP="00834310">
      <w:pPr>
        <w:spacing w:after="120" w:line="240" w:lineRule="auto"/>
        <w:jc w:val="both"/>
        <w:rPr>
          <w:rFonts w:ascii="Times New Roman" w:hAnsi="Times New Roman"/>
          <w:bCs/>
          <w:sz w:val="20"/>
          <w:szCs w:val="20"/>
        </w:rPr>
      </w:pPr>
    </w:p>
    <w:p w:rsidR="006A40FE" w:rsidRPr="006A40FE" w:rsidRDefault="006A40FE" w:rsidP="006A40FE">
      <w:pPr>
        <w:spacing w:after="0" w:line="240" w:lineRule="auto"/>
        <w:jc w:val="both"/>
        <w:rPr>
          <w:rFonts w:ascii="Times New Roman" w:hAnsi="Times New Roman"/>
          <w:b/>
          <w:sz w:val="20"/>
          <w:szCs w:val="20"/>
        </w:rPr>
      </w:pPr>
      <w:r w:rsidRPr="006A40FE">
        <w:rPr>
          <w:rFonts w:ascii="Times New Roman" w:hAnsi="Times New Roman"/>
          <w:b/>
          <w:sz w:val="20"/>
          <w:szCs w:val="20"/>
        </w:rPr>
        <w:t>Kinetic study</w:t>
      </w:r>
    </w:p>
    <w:p w:rsidR="006A40FE" w:rsidRPr="006A40FE" w:rsidRDefault="006A40FE" w:rsidP="006A40FE">
      <w:pPr>
        <w:spacing w:after="0" w:line="240" w:lineRule="auto"/>
        <w:jc w:val="both"/>
        <w:rPr>
          <w:rFonts w:ascii="Times New Roman" w:hAnsi="Times New Roman"/>
          <w:sz w:val="20"/>
          <w:szCs w:val="20"/>
        </w:rPr>
      </w:pPr>
      <w:r w:rsidRPr="006A40FE">
        <w:rPr>
          <w:rFonts w:ascii="Times New Roman" w:hAnsi="Times New Roman"/>
          <w:sz w:val="20"/>
          <w:szCs w:val="20"/>
        </w:rPr>
        <w:t>The kinetic decolorization of CR for 11 wt.% AgO-HSM was studied using the Langmuir–Hinshelwood (L–H) kinetic model at different initial concentrations, and the results are shown in Figure 7. Higher concentrations showed lower efficiency of photocatalytic decolorization due to the formation of several layers of adsorbed dye on the catalyst surface. In addition, large amounts of adsorbed dye were found to inhibit the reaction with the dye molecules, since there was no direct contact of the catalyst with photogenerated holes or hydroxyl radicals [11]. The calculated values of K</w:t>
      </w:r>
      <w:r w:rsidRPr="006A40FE">
        <w:rPr>
          <w:rFonts w:ascii="Times New Roman" w:hAnsi="Times New Roman"/>
          <w:sz w:val="20"/>
          <w:szCs w:val="20"/>
          <w:vertAlign w:val="subscript"/>
        </w:rPr>
        <w:t>r</w:t>
      </w:r>
      <w:r w:rsidRPr="006A40FE">
        <w:rPr>
          <w:rFonts w:ascii="Times New Roman" w:hAnsi="Times New Roman"/>
          <w:sz w:val="20"/>
          <w:szCs w:val="20"/>
        </w:rPr>
        <w:t xml:space="preserve"> and K</w:t>
      </w:r>
      <w:r w:rsidRPr="006A40FE">
        <w:rPr>
          <w:rFonts w:ascii="Times New Roman" w:hAnsi="Times New Roman"/>
          <w:sz w:val="20"/>
          <w:szCs w:val="20"/>
          <w:vertAlign w:val="subscript"/>
        </w:rPr>
        <w:t>LH</w:t>
      </w:r>
      <w:r w:rsidRPr="006A40FE">
        <w:rPr>
          <w:rFonts w:ascii="Times New Roman" w:hAnsi="Times New Roman"/>
          <w:sz w:val="20"/>
          <w:szCs w:val="20"/>
        </w:rPr>
        <w:t xml:space="preserve"> were 172.41 mg L</w:t>
      </w:r>
      <w:r w:rsidRPr="006A40FE">
        <w:rPr>
          <w:rFonts w:ascii="Times New Roman" w:hAnsi="Times New Roman"/>
          <w:sz w:val="20"/>
          <w:szCs w:val="20"/>
          <w:vertAlign w:val="superscript"/>
        </w:rPr>
        <w:t>−1</w:t>
      </w:r>
      <w:r w:rsidRPr="006A40FE">
        <w:rPr>
          <w:rFonts w:ascii="Times New Roman" w:hAnsi="Times New Roman"/>
          <w:sz w:val="20"/>
          <w:szCs w:val="20"/>
        </w:rPr>
        <w:t xml:space="preserve"> h</w:t>
      </w:r>
      <w:r w:rsidRPr="006A40FE">
        <w:rPr>
          <w:rFonts w:ascii="Times New Roman" w:hAnsi="Times New Roman"/>
          <w:sz w:val="20"/>
          <w:szCs w:val="20"/>
          <w:vertAlign w:val="superscript"/>
        </w:rPr>
        <w:t>−1</w:t>
      </w:r>
      <w:r w:rsidRPr="006A40FE">
        <w:rPr>
          <w:rFonts w:ascii="Times New Roman" w:hAnsi="Times New Roman"/>
          <w:sz w:val="20"/>
          <w:szCs w:val="20"/>
        </w:rPr>
        <w:t xml:space="preserve"> and 0.005 L mg</w:t>
      </w:r>
      <w:r w:rsidRPr="006A40FE">
        <w:rPr>
          <w:rFonts w:ascii="Times New Roman" w:hAnsi="Times New Roman"/>
          <w:sz w:val="20"/>
          <w:szCs w:val="20"/>
          <w:vertAlign w:val="superscript"/>
        </w:rPr>
        <w:t>−1</w:t>
      </w:r>
      <w:r w:rsidRPr="006A40FE">
        <w:rPr>
          <w:rFonts w:ascii="Times New Roman" w:hAnsi="Times New Roman"/>
          <w:sz w:val="20"/>
          <w:szCs w:val="20"/>
        </w:rPr>
        <w:t>, respectively, for 11 wt.% AgO-HSM. The values of k</w:t>
      </w:r>
      <w:r w:rsidRPr="006A40FE">
        <w:rPr>
          <w:rFonts w:ascii="Times New Roman" w:hAnsi="Times New Roman"/>
          <w:sz w:val="20"/>
          <w:szCs w:val="20"/>
          <w:vertAlign w:val="subscript"/>
        </w:rPr>
        <w:t>r</w:t>
      </w:r>
      <w:r w:rsidRPr="006A40FE">
        <w:rPr>
          <w:rFonts w:ascii="Times New Roman" w:hAnsi="Times New Roman"/>
          <w:sz w:val="20"/>
          <w:szCs w:val="20"/>
        </w:rPr>
        <w:t xml:space="preserve"> were greater than those of K</w:t>
      </w:r>
      <w:r w:rsidRPr="006A40FE">
        <w:rPr>
          <w:rFonts w:ascii="Times New Roman" w:hAnsi="Times New Roman"/>
          <w:sz w:val="20"/>
          <w:szCs w:val="20"/>
          <w:vertAlign w:val="subscript"/>
        </w:rPr>
        <w:t>LH</w:t>
      </w:r>
      <w:r w:rsidRPr="006A40FE">
        <w:rPr>
          <w:rFonts w:ascii="Times New Roman" w:hAnsi="Times New Roman"/>
          <w:sz w:val="20"/>
          <w:szCs w:val="20"/>
        </w:rPr>
        <w:t xml:space="preserve"> for catalysts, indicating dye adsorption was the controlling step of the process. A similar phenomenon was reported on the degradation of Orange G using nano-sized Sn (IV)/TiO</w:t>
      </w:r>
      <w:r w:rsidRPr="006A40FE">
        <w:rPr>
          <w:rFonts w:ascii="Times New Roman" w:hAnsi="Times New Roman"/>
          <w:sz w:val="20"/>
          <w:szCs w:val="20"/>
          <w:vertAlign w:val="subscript"/>
        </w:rPr>
        <w:t>2</w:t>
      </w:r>
      <w:r w:rsidRPr="006A40FE">
        <w:rPr>
          <w:rFonts w:ascii="Times New Roman" w:hAnsi="Times New Roman"/>
          <w:sz w:val="20"/>
          <w:szCs w:val="20"/>
        </w:rPr>
        <w:t>/AC as a photocatalyst [23].</w:t>
      </w:r>
    </w:p>
    <w:p w:rsidR="006A40FE" w:rsidRPr="006A40FE" w:rsidRDefault="006A40FE" w:rsidP="00834310">
      <w:pPr>
        <w:spacing w:after="120" w:line="240" w:lineRule="auto"/>
        <w:jc w:val="both"/>
        <w:rPr>
          <w:rFonts w:ascii="Times New Roman" w:hAnsi="Times New Roman"/>
          <w:sz w:val="20"/>
          <w:szCs w:val="20"/>
        </w:rPr>
      </w:pPr>
    </w:p>
    <w:p w:rsidR="006A40FE" w:rsidRPr="006A40FE" w:rsidRDefault="006A40FE" w:rsidP="00834310">
      <w:pPr>
        <w:spacing w:after="120" w:line="240" w:lineRule="auto"/>
        <w:jc w:val="center"/>
        <w:rPr>
          <w:rFonts w:ascii="Times New Roman" w:hAnsi="Times New Roman"/>
          <w:sz w:val="20"/>
          <w:szCs w:val="20"/>
        </w:rPr>
      </w:pPr>
      <w:r w:rsidRPr="006A40FE">
        <w:rPr>
          <w:rFonts w:ascii="Times New Roman" w:hAnsi="Times New Roman"/>
          <w:noProof/>
          <w:sz w:val="20"/>
          <w:szCs w:val="20"/>
          <w:lang w:val="en-MY" w:eastAsia="en-MY" w:bidi="ar-SA"/>
        </w:rPr>
        <w:drawing>
          <wp:inline distT="0" distB="0" distL="0" distR="0" wp14:anchorId="0EFC1DDC" wp14:editId="791232E5">
            <wp:extent cx="5454130" cy="2160000"/>
            <wp:effectExtent l="19050" t="19050" r="13335" b="1206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5454130" cy="2160000"/>
                    </a:xfrm>
                    <a:prstGeom prst="rect">
                      <a:avLst/>
                    </a:prstGeom>
                    <a:noFill/>
                    <a:ln w="6350">
                      <a:solidFill>
                        <a:schemeClr val="tx1"/>
                      </a:solidFill>
                    </a:ln>
                  </pic:spPr>
                </pic:pic>
              </a:graphicData>
            </a:graphic>
          </wp:inline>
        </w:drawing>
      </w:r>
    </w:p>
    <w:p w:rsidR="006A40FE" w:rsidRPr="006A40FE" w:rsidRDefault="006A40FE" w:rsidP="006A40FE">
      <w:pPr>
        <w:spacing w:after="0" w:line="240" w:lineRule="auto"/>
        <w:ind w:left="851" w:hanging="851"/>
        <w:jc w:val="both"/>
        <w:rPr>
          <w:rFonts w:ascii="Times New Roman" w:hAnsi="Times New Roman"/>
          <w:bCs/>
          <w:sz w:val="20"/>
          <w:szCs w:val="20"/>
        </w:rPr>
      </w:pPr>
      <w:r w:rsidRPr="006A40FE">
        <w:rPr>
          <w:rFonts w:ascii="Times New Roman" w:hAnsi="Times New Roman"/>
          <w:bCs/>
          <w:sz w:val="20"/>
          <w:szCs w:val="20"/>
        </w:rPr>
        <w:t>Figure 7. (a) Photodecolorization kinetics of CR using AgO-HSM at different CR concentrations; (b) Relationship between 1/K</w:t>
      </w:r>
      <w:r w:rsidRPr="006A40FE">
        <w:rPr>
          <w:rFonts w:ascii="Times New Roman" w:hAnsi="Times New Roman"/>
          <w:bCs/>
          <w:sz w:val="20"/>
          <w:szCs w:val="20"/>
          <w:vertAlign w:val="subscript"/>
        </w:rPr>
        <w:t>app</w:t>
      </w:r>
      <w:r w:rsidRPr="006A40FE">
        <w:rPr>
          <w:rFonts w:ascii="Times New Roman" w:hAnsi="Times New Roman"/>
          <w:bCs/>
          <w:sz w:val="20"/>
          <w:szCs w:val="20"/>
        </w:rPr>
        <w:t xml:space="preserve"> and 1/C</w:t>
      </w:r>
      <w:r w:rsidRPr="006A40FE">
        <w:rPr>
          <w:rFonts w:ascii="Times New Roman" w:hAnsi="Times New Roman"/>
          <w:bCs/>
          <w:sz w:val="20"/>
          <w:szCs w:val="20"/>
          <w:vertAlign w:val="subscript"/>
        </w:rPr>
        <w:t>0</w:t>
      </w:r>
      <w:r w:rsidRPr="006A40FE">
        <w:rPr>
          <w:rFonts w:ascii="Times New Roman" w:hAnsi="Times New Roman"/>
          <w:bCs/>
          <w:sz w:val="20"/>
          <w:szCs w:val="20"/>
        </w:rPr>
        <w:t xml:space="preserve"> at different initial concentrations of CR: 11 wt.% AgO-HSM</w:t>
      </w:r>
    </w:p>
    <w:p w:rsidR="006A40FE" w:rsidRPr="006A40FE" w:rsidRDefault="006A40FE" w:rsidP="00834310">
      <w:pPr>
        <w:spacing w:after="120" w:line="240" w:lineRule="auto"/>
        <w:jc w:val="both"/>
        <w:rPr>
          <w:rFonts w:ascii="Times New Roman" w:hAnsi="Times New Roman"/>
          <w:sz w:val="20"/>
          <w:szCs w:val="20"/>
        </w:rPr>
      </w:pPr>
    </w:p>
    <w:p w:rsidR="006A40FE" w:rsidRPr="006A40FE" w:rsidRDefault="006A40FE" w:rsidP="006A40FE">
      <w:pPr>
        <w:spacing w:after="0" w:line="240" w:lineRule="auto"/>
        <w:jc w:val="both"/>
        <w:rPr>
          <w:rFonts w:ascii="Times New Roman" w:hAnsi="Times New Roman"/>
          <w:sz w:val="20"/>
          <w:szCs w:val="20"/>
          <w:vertAlign w:val="superscript"/>
        </w:rPr>
      </w:pPr>
      <w:r w:rsidRPr="006A40FE">
        <w:rPr>
          <w:rFonts w:ascii="Times New Roman" w:hAnsi="Times New Roman"/>
          <w:sz w:val="20"/>
          <w:szCs w:val="20"/>
        </w:rPr>
        <w:lastRenderedPageBreak/>
        <w:t>The values of k obtained from Figure 7 are listed in Table 1, which revealed a significant and favorable effect of catalysts on the photodecolorization of CR. A lower concentration of CR results in a higher first-order rate constant, demonstrating the suitability of the system for low dye concentrations. Indeed, the concentrations of dyes in the wastewater from textile industry effluents are always low, in the range of 10-50 mg L</w:t>
      </w:r>
      <w:r w:rsidRPr="006A40FE">
        <w:rPr>
          <w:rFonts w:ascii="Times New Roman" w:eastAsia="Calibri" w:hAnsi="Times New Roman"/>
          <w:bCs/>
          <w:sz w:val="20"/>
          <w:szCs w:val="20"/>
          <w:vertAlign w:val="superscript"/>
        </w:rPr>
        <w:t>−</w:t>
      </w:r>
      <w:r w:rsidRPr="006A40FE">
        <w:rPr>
          <w:rFonts w:ascii="Times New Roman" w:hAnsi="Times New Roman"/>
          <w:sz w:val="20"/>
          <w:szCs w:val="20"/>
          <w:vertAlign w:val="superscript"/>
        </w:rPr>
        <w:t>1</w:t>
      </w:r>
      <w:r w:rsidRPr="006A40FE">
        <w:rPr>
          <w:rFonts w:ascii="Times New Roman" w:hAnsi="Times New Roman"/>
          <w:sz w:val="20"/>
          <w:szCs w:val="20"/>
        </w:rPr>
        <w:t xml:space="preserve"> [18].</w:t>
      </w:r>
    </w:p>
    <w:p w:rsidR="006A40FE" w:rsidRPr="006A40FE" w:rsidRDefault="006A40FE" w:rsidP="00834310">
      <w:pPr>
        <w:tabs>
          <w:tab w:val="left" w:pos="567"/>
        </w:tabs>
        <w:spacing w:after="120" w:line="240" w:lineRule="auto"/>
        <w:jc w:val="both"/>
        <w:rPr>
          <w:rFonts w:ascii="Times New Roman" w:hAnsi="Times New Roman"/>
          <w:sz w:val="20"/>
          <w:szCs w:val="20"/>
        </w:rPr>
      </w:pPr>
    </w:p>
    <w:p w:rsidR="006A40FE" w:rsidRPr="00834310" w:rsidRDefault="006A40FE" w:rsidP="00834310">
      <w:pPr>
        <w:tabs>
          <w:tab w:val="left" w:pos="567"/>
        </w:tabs>
        <w:spacing w:after="120" w:line="240" w:lineRule="auto"/>
        <w:jc w:val="center"/>
        <w:rPr>
          <w:rFonts w:ascii="Times New Roman" w:hAnsi="Times New Roman"/>
          <w:bCs/>
          <w:sz w:val="20"/>
          <w:szCs w:val="20"/>
        </w:rPr>
      </w:pPr>
      <w:r w:rsidRPr="006A40FE">
        <w:rPr>
          <w:rFonts w:ascii="Times New Roman" w:hAnsi="Times New Roman"/>
          <w:bCs/>
          <w:sz w:val="20"/>
          <w:szCs w:val="20"/>
        </w:rPr>
        <w:t xml:space="preserve">Table 1. </w:t>
      </w:r>
      <w:r w:rsidR="00834310">
        <w:rPr>
          <w:rFonts w:ascii="Times New Roman" w:hAnsi="Times New Roman"/>
          <w:bCs/>
          <w:sz w:val="20"/>
          <w:szCs w:val="20"/>
        </w:rPr>
        <w:t xml:space="preserve"> </w:t>
      </w:r>
      <w:r w:rsidRPr="006A40FE">
        <w:rPr>
          <w:rFonts w:ascii="Times New Roman" w:hAnsi="Times New Roman"/>
          <w:bCs/>
          <w:sz w:val="20"/>
          <w:szCs w:val="20"/>
        </w:rPr>
        <w:t>Pseudo first-order apparent constant value for CR decolorization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2"/>
        <w:gridCol w:w="1472"/>
        <w:gridCol w:w="766"/>
        <w:gridCol w:w="2044"/>
        <w:gridCol w:w="1461"/>
      </w:tblGrid>
      <w:tr w:rsidR="006A40FE" w:rsidRPr="006A40FE" w:rsidTr="00834310">
        <w:trPr>
          <w:jc w:val="center"/>
        </w:trPr>
        <w:tc>
          <w:tcPr>
            <w:tcW w:w="0" w:type="auto"/>
            <w:tcBorders>
              <w:top w:val="single" w:sz="4" w:space="0" w:color="auto"/>
              <w:bottom w:val="single" w:sz="4" w:space="0" w:color="auto"/>
            </w:tcBorders>
            <w:shd w:val="clear" w:color="auto" w:fill="auto"/>
          </w:tcPr>
          <w:p w:rsidR="006A40FE" w:rsidRPr="006A40FE" w:rsidRDefault="006A40FE" w:rsidP="00834310">
            <w:pPr>
              <w:spacing w:before="60" w:after="0" w:line="240" w:lineRule="auto"/>
              <w:rPr>
                <w:rFonts w:ascii="Times New Roman" w:hAnsi="Times New Roman" w:cs="Times New Roman"/>
                <w:b/>
                <w:sz w:val="20"/>
                <w:szCs w:val="20"/>
              </w:rPr>
            </w:pPr>
            <w:r w:rsidRPr="006A40FE">
              <w:rPr>
                <w:rFonts w:ascii="Times New Roman" w:hAnsi="Times New Roman" w:cs="Times New Roman"/>
                <w:b/>
                <w:sz w:val="20"/>
                <w:szCs w:val="20"/>
              </w:rPr>
              <w:t xml:space="preserve">Initial Concentration, </w:t>
            </w:r>
          </w:p>
          <w:p w:rsidR="006A40FE" w:rsidRPr="006A40FE" w:rsidRDefault="006A40FE" w:rsidP="00834310">
            <w:pPr>
              <w:spacing w:after="60" w:line="240" w:lineRule="auto"/>
              <w:rPr>
                <w:rFonts w:ascii="Times New Roman" w:hAnsi="Times New Roman" w:cs="Times New Roman"/>
                <w:b/>
                <w:sz w:val="20"/>
                <w:szCs w:val="20"/>
              </w:rPr>
            </w:pPr>
            <w:r w:rsidRPr="006A40FE">
              <w:rPr>
                <w:rFonts w:ascii="Times New Roman" w:hAnsi="Times New Roman" w:cs="Times New Roman"/>
                <w:b/>
                <w:sz w:val="20"/>
                <w:szCs w:val="20"/>
              </w:rPr>
              <w:t>(mg L</w:t>
            </w:r>
            <w:r w:rsidRPr="006A40FE">
              <w:rPr>
                <w:rFonts w:ascii="Times New Roman" w:hAnsi="Times New Roman" w:cs="Times New Roman"/>
                <w:b/>
                <w:sz w:val="20"/>
                <w:szCs w:val="20"/>
                <w:vertAlign w:val="superscript"/>
              </w:rPr>
              <w:t>-1</w:t>
            </w:r>
            <w:r w:rsidRPr="006A40FE">
              <w:rPr>
                <w:rFonts w:ascii="Times New Roman" w:hAnsi="Times New Roman" w:cs="Times New Roman"/>
                <w:b/>
                <w:sz w:val="20"/>
                <w:szCs w:val="20"/>
              </w:rPr>
              <w:t>)</w:t>
            </w:r>
          </w:p>
        </w:tc>
        <w:tc>
          <w:tcPr>
            <w:tcW w:w="0" w:type="auto"/>
            <w:tcBorders>
              <w:top w:val="single" w:sz="4" w:space="0" w:color="auto"/>
              <w:bottom w:val="single" w:sz="4" w:space="0" w:color="auto"/>
            </w:tcBorders>
            <w:shd w:val="clear" w:color="auto" w:fill="auto"/>
          </w:tcPr>
          <w:p w:rsidR="006A40FE" w:rsidRPr="006A40FE" w:rsidRDefault="006A40FE" w:rsidP="00834310">
            <w:pPr>
              <w:spacing w:before="60" w:after="0" w:line="240" w:lineRule="auto"/>
              <w:jc w:val="center"/>
              <w:rPr>
                <w:rFonts w:ascii="Times New Roman" w:hAnsi="Times New Roman" w:cs="Times New Roman"/>
                <w:b/>
                <w:sz w:val="20"/>
                <w:szCs w:val="20"/>
              </w:rPr>
            </w:pPr>
            <w:r w:rsidRPr="006A40FE">
              <w:rPr>
                <w:rFonts w:ascii="Times New Roman" w:hAnsi="Times New Roman" w:cs="Times New Roman"/>
                <w:b/>
                <w:sz w:val="20"/>
                <w:szCs w:val="20"/>
              </w:rPr>
              <w:t>Reaction Rate,</w:t>
            </w:r>
          </w:p>
          <w:p w:rsidR="006A40FE" w:rsidRPr="006A40FE" w:rsidRDefault="006A40FE" w:rsidP="00834310">
            <w:pPr>
              <w:spacing w:after="60" w:line="240" w:lineRule="auto"/>
              <w:jc w:val="center"/>
              <w:rPr>
                <w:rFonts w:ascii="Times New Roman" w:hAnsi="Times New Roman" w:cs="Times New Roman"/>
                <w:b/>
                <w:sz w:val="20"/>
                <w:szCs w:val="20"/>
              </w:rPr>
            </w:pPr>
            <w:r w:rsidRPr="006A40FE">
              <w:rPr>
                <w:rFonts w:ascii="Times New Roman" w:hAnsi="Times New Roman" w:cs="Times New Roman"/>
                <w:b/>
                <w:i/>
                <w:sz w:val="20"/>
                <w:szCs w:val="20"/>
              </w:rPr>
              <w:t>k</w:t>
            </w:r>
            <w:r w:rsidRPr="006A40FE">
              <w:rPr>
                <w:rFonts w:ascii="Times New Roman" w:hAnsi="Times New Roman" w:cs="Times New Roman"/>
                <w:b/>
                <w:sz w:val="20"/>
                <w:szCs w:val="20"/>
              </w:rPr>
              <w:t>ₐᵨᵨ (h</w:t>
            </w:r>
            <w:r w:rsidRPr="006A40FE">
              <w:rPr>
                <w:rFonts w:ascii="Times New Roman" w:hAnsi="Times New Roman" w:cs="Times New Roman"/>
                <w:b/>
                <w:sz w:val="20"/>
                <w:szCs w:val="20"/>
                <w:vertAlign w:val="superscript"/>
              </w:rPr>
              <w:t>-1</w:t>
            </w:r>
            <w:r w:rsidRPr="006A40FE">
              <w:rPr>
                <w:rFonts w:ascii="Times New Roman" w:hAnsi="Times New Roman" w:cs="Times New Roman"/>
                <w:b/>
                <w:sz w:val="20"/>
                <w:szCs w:val="20"/>
              </w:rPr>
              <w:t>)</w:t>
            </w:r>
          </w:p>
        </w:tc>
        <w:tc>
          <w:tcPr>
            <w:tcW w:w="0" w:type="auto"/>
            <w:tcBorders>
              <w:top w:val="single" w:sz="4" w:space="0" w:color="auto"/>
              <w:bottom w:val="single" w:sz="4" w:space="0" w:color="auto"/>
            </w:tcBorders>
            <w:shd w:val="clear" w:color="auto" w:fill="auto"/>
          </w:tcPr>
          <w:p w:rsidR="006A40FE" w:rsidRPr="006A40FE" w:rsidRDefault="006A40FE" w:rsidP="00834310">
            <w:pPr>
              <w:spacing w:after="0" w:line="240" w:lineRule="auto"/>
              <w:jc w:val="center"/>
              <w:rPr>
                <w:rFonts w:ascii="Times New Roman" w:hAnsi="Times New Roman" w:cs="Times New Roman"/>
                <w:b/>
                <w:i/>
                <w:sz w:val="20"/>
                <w:szCs w:val="20"/>
              </w:rPr>
            </w:pPr>
          </w:p>
          <w:p w:rsidR="006A40FE" w:rsidRPr="006A40FE" w:rsidRDefault="006A40FE" w:rsidP="00834310">
            <w:pPr>
              <w:spacing w:after="0" w:line="240" w:lineRule="auto"/>
              <w:jc w:val="center"/>
              <w:rPr>
                <w:rFonts w:ascii="Times New Roman" w:hAnsi="Times New Roman" w:cs="Times New Roman"/>
                <w:b/>
                <w:i/>
                <w:sz w:val="20"/>
                <w:szCs w:val="20"/>
              </w:rPr>
            </w:pPr>
            <w:r w:rsidRPr="006A40FE">
              <w:rPr>
                <w:rFonts w:ascii="Times New Roman" w:hAnsi="Times New Roman" w:cs="Times New Roman"/>
                <w:b/>
                <w:i/>
                <w:sz w:val="20"/>
                <w:szCs w:val="20"/>
              </w:rPr>
              <w:t>R</w:t>
            </w:r>
            <w:r w:rsidRPr="006A40FE">
              <w:rPr>
                <w:rFonts w:ascii="Times New Roman" w:hAnsi="Times New Roman" w:cs="Times New Roman"/>
                <w:b/>
                <w:i/>
                <w:sz w:val="20"/>
                <w:szCs w:val="20"/>
                <w:vertAlign w:val="superscript"/>
              </w:rPr>
              <w:t>2</w:t>
            </w:r>
          </w:p>
        </w:tc>
        <w:tc>
          <w:tcPr>
            <w:tcW w:w="0" w:type="auto"/>
            <w:tcBorders>
              <w:top w:val="single" w:sz="4" w:space="0" w:color="auto"/>
              <w:bottom w:val="single" w:sz="4" w:space="0" w:color="auto"/>
            </w:tcBorders>
            <w:shd w:val="clear" w:color="auto" w:fill="auto"/>
          </w:tcPr>
          <w:p w:rsidR="006A40FE" w:rsidRPr="006A40FE" w:rsidRDefault="006A40FE" w:rsidP="00834310">
            <w:pPr>
              <w:spacing w:before="60" w:after="0" w:line="240" w:lineRule="auto"/>
              <w:jc w:val="center"/>
              <w:rPr>
                <w:rFonts w:ascii="Times New Roman" w:hAnsi="Times New Roman" w:cs="Times New Roman"/>
                <w:b/>
                <w:sz w:val="20"/>
                <w:szCs w:val="20"/>
              </w:rPr>
            </w:pPr>
            <w:r w:rsidRPr="006A40FE">
              <w:rPr>
                <w:rFonts w:ascii="Times New Roman" w:hAnsi="Times New Roman" w:cs="Times New Roman"/>
                <w:b/>
                <w:sz w:val="20"/>
                <w:szCs w:val="20"/>
              </w:rPr>
              <w:t>Initial Reaction Rate,</w:t>
            </w:r>
          </w:p>
          <w:p w:rsidR="006A40FE" w:rsidRPr="006A40FE" w:rsidRDefault="006A40FE" w:rsidP="00834310">
            <w:pPr>
              <w:spacing w:after="0" w:line="240" w:lineRule="auto"/>
              <w:jc w:val="center"/>
              <w:rPr>
                <w:rFonts w:ascii="Times New Roman" w:hAnsi="Times New Roman" w:cs="Times New Roman"/>
                <w:b/>
                <w:sz w:val="20"/>
                <w:szCs w:val="20"/>
              </w:rPr>
            </w:pPr>
            <w:r w:rsidRPr="006A40FE">
              <w:rPr>
                <w:rFonts w:ascii="Times New Roman" w:hAnsi="Times New Roman" w:cs="Times New Roman"/>
                <w:b/>
                <w:sz w:val="20"/>
                <w:szCs w:val="20"/>
              </w:rPr>
              <w:t>r₀ (mg L</w:t>
            </w:r>
            <w:r w:rsidRPr="006A40FE">
              <w:rPr>
                <w:rFonts w:ascii="Times New Roman" w:hAnsi="Times New Roman" w:cs="Times New Roman"/>
                <w:b/>
                <w:sz w:val="20"/>
                <w:szCs w:val="20"/>
                <w:vertAlign w:val="superscript"/>
              </w:rPr>
              <w:t>-1</w:t>
            </w:r>
            <w:r w:rsidRPr="006A40FE">
              <w:rPr>
                <w:rFonts w:ascii="Times New Roman" w:hAnsi="Times New Roman" w:cs="Times New Roman"/>
                <w:b/>
                <w:sz w:val="20"/>
                <w:szCs w:val="20"/>
              </w:rPr>
              <w:t xml:space="preserve"> h</w:t>
            </w:r>
            <w:r w:rsidRPr="006A40FE">
              <w:rPr>
                <w:rFonts w:ascii="Times New Roman" w:hAnsi="Times New Roman" w:cs="Times New Roman"/>
                <w:b/>
                <w:sz w:val="20"/>
                <w:szCs w:val="20"/>
                <w:vertAlign w:val="superscript"/>
              </w:rPr>
              <w:t>-1</w:t>
            </w:r>
            <w:r w:rsidRPr="006A40FE">
              <w:rPr>
                <w:rFonts w:ascii="Times New Roman" w:hAnsi="Times New Roman" w:cs="Times New Roman"/>
                <w:b/>
                <w:sz w:val="20"/>
                <w:szCs w:val="20"/>
              </w:rPr>
              <w:t>)</w:t>
            </w:r>
          </w:p>
        </w:tc>
        <w:tc>
          <w:tcPr>
            <w:tcW w:w="0" w:type="auto"/>
            <w:tcBorders>
              <w:top w:val="single" w:sz="4" w:space="0" w:color="auto"/>
              <w:bottom w:val="single" w:sz="4" w:space="0" w:color="auto"/>
            </w:tcBorders>
            <w:shd w:val="clear" w:color="auto" w:fill="auto"/>
          </w:tcPr>
          <w:p w:rsidR="006A40FE" w:rsidRPr="006A40FE" w:rsidRDefault="006A40FE" w:rsidP="00834310">
            <w:pPr>
              <w:spacing w:before="60" w:after="0" w:line="240" w:lineRule="auto"/>
              <w:jc w:val="center"/>
              <w:rPr>
                <w:rFonts w:ascii="Times New Roman" w:hAnsi="Times New Roman" w:cs="Times New Roman"/>
                <w:b/>
                <w:sz w:val="20"/>
                <w:szCs w:val="20"/>
              </w:rPr>
            </w:pPr>
            <w:r w:rsidRPr="006A40FE">
              <w:rPr>
                <w:rFonts w:ascii="Times New Roman" w:hAnsi="Times New Roman" w:cs="Times New Roman"/>
                <w:b/>
                <w:sz w:val="20"/>
                <w:szCs w:val="20"/>
              </w:rPr>
              <w:t>Decolorization</w:t>
            </w:r>
          </w:p>
          <w:p w:rsidR="006A40FE" w:rsidRPr="006A40FE" w:rsidRDefault="006A40FE" w:rsidP="00834310">
            <w:pPr>
              <w:spacing w:after="60" w:line="240" w:lineRule="auto"/>
              <w:jc w:val="center"/>
              <w:rPr>
                <w:rFonts w:ascii="Times New Roman" w:hAnsi="Times New Roman" w:cs="Times New Roman"/>
                <w:b/>
                <w:sz w:val="20"/>
                <w:szCs w:val="20"/>
              </w:rPr>
            </w:pPr>
            <w:r w:rsidRPr="006A40FE">
              <w:rPr>
                <w:rFonts w:ascii="Times New Roman" w:hAnsi="Times New Roman" w:cs="Times New Roman"/>
                <w:b/>
                <w:sz w:val="20"/>
                <w:szCs w:val="20"/>
              </w:rPr>
              <w:t>(%)</w:t>
            </w:r>
          </w:p>
        </w:tc>
      </w:tr>
      <w:tr w:rsidR="006A40FE" w:rsidRPr="006A40FE" w:rsidTr="00834310">
        <w:trPr>
          <w:jc w:val="center"/>
        </w:trPr>
        <w:tc>
          <w:tcPr>
            <w:tcW w:w="0" w:type="auto"/>
            <w:tcBorders>
              <w:top w:val="single" w:sz="4" w:space="0" w:color="auto"/>
            </w:tcBorders>
            <w:shd w:val="clear" w:color="auto" w:fill="auto"/>
          </w:tcPr>
          <w:p w:rsidR="006A40FE" w:rsidRPr="006A40FE" w:rsidRDefault="006A40FE" w:rsidP="00834310">
            <w:pPr>
              <w:spacing w:before="60" w:after="0" w:line="240" w:lineRule="auto"/>
              <w:rPr>
                <w:rFonts w:ascii="Times New Roman" w:hAnsi="Times New Roman" w:cs="Times New Roman"/>
                <w:sz w:val="20"/>
                <w:szCs w:val="20"/>
              </w:rPr>
            </w:pPr>
            <w:r w:rsidRPr="006A40FE">
              <w:rPr>
                <w:rFonts w:ascii="Times New Roman" w:hAnsi="Times New Roman" w:cs="Times New Roman"/>
                <w:sz w:val="20"/>
                <w:szCs w:val="20"/>
              </w:rPr>
              <w:t>10</w:t>
            </w:r>
          </w:p>
        </w:tc>
        <w:tc>
          <w:tcPr>
            <w:tcW w:w="0" w:type="auto"/>
            <w:tcBorders>
              <w:top w:val="single" w:sz="4" w:space="0" w:color="auto"/>
            </w:tcBorders>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0.8496</w:t>
            </w:r>
          </w:p>
        </w:tc>
        <w:tc>
          <w:tcPr>
            <w:tcW w:w="0" w:type="auto"/>
            <w:tcBorders>
              <w:top w:val="single" w:sz="4" w:space="0" w:color="auto"/>
            </w:tcBorders>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0.9848</w:t>
            </w:r>
          </w:p>
        </w:tc>
        <w:tc>
          <w:tcPr>
            <w:tcW w:w="0" w:type="auto"/>
            <w:tcBorders>
              <w:top w:val="single" w:sz="4" w:space="0" w:color="auto"/>
            </w:tcBorders>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8.496</w:t>
            </w:r>
          </w:p>
        </w:tc>
        <w:tc>
          <w:tcPr>
            <w:tcW w:w="0" w:type="auto"/>
            <w:tcBorders>
              <w:top w:val="single" w:sz="4" w:space="0" w:color="auto"/>
            </w:tcBorders>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80.23</w:t>
            </w:r>
          </w:p>
        </w:tc>
      </w:tr>
      <w:tr w:rsidR="006A40FE" w:rsidRPr="006A40FE" w:rsidTr="00EE2EDE">
        <w:trPr>
          <w:jc w:val="center"/>
        </w:trPr>
        <w:tc>
          <w:tcPr>
            <w:tcW w:w="0" w:type="auto"/>
            <w:shd w:val="clear" w:color="auto" w:fill="auto"/>
          </w:tcPr>
          <w:p w:rsidR="006A40FE" w:rsidRPr="006A40FE" w:rsidRDefault="006A40FE" w:rsidP="00834310">
            <w:pPr>
              <w:spacing w:before="60" w:after="0" w:line="240" w:lineRule="auto"/>
              <w:rPr>
                <w:rFonts w:ascii="Times New Roman" w:hAnsi="Times New Roman" w:cs="Times New Roman"/>
                <w:sz w:val="20"/>
                <w:szCs w:val="20"/>
              </w:rPr>
            </w:pPr>
            <w:r w:rsidRPr="006A40FE">
              <w:rPr>
                <w:rFonts w:ascii="Times New Roman" w:hAnsi="Times New Roman" w:cs="Times New Roman"/>
                <w:sz w:val="20"/>
                <w:szCs w:val="20"/>
              </w:rPr>
              <w:t>20</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0.7976</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0.9853</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15.952</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77.41</w:t>
            </w:r>
          </w:p>
        </w:tc>
      </w:tr>
      <w:tr w:rsidR="006A40FE" w:rsidRPr="006A40FE" w:rsidTr="00EE2EDE">
        <w:trPr>
          <w:jc w:val="center"/>
        </w:trPr>
        <w:tc>
          <w:tcPr>
            <w:tcW w:w="0" w:type="auto"/>
            <w:shd w:val="clear" w:color="auto" w:fill="auto"/>
          </w:tcPr>
          <w:p w:rsidR="006A40FE" w:rsidRPr="006A40FE" w:rsidRDefault="006A40FE" w:rsidP="00834310">
            <w:pPr>
              <w:spacing w:before="60" w:after="0" w:line="240" w:lineRule="auto"/>
              <w:rPr>
                <w:rFonts w:ascii="Times New Roman" w:hAnsi="Times New Roman" w:cs="Times New Roman"/>
                <w:sz w:val="20"/>
                <w:szCs w:val="20"/>
              </w:rPr>
            </w:pPr>
            <w:r w:rsidRPr="006A40FE">
              <w:rPr>
                <w:rFonts w:ascii="Times New Roman" w:hAnsi="Times New Roman" w:cs="Times New Roman"/>
                <w:sz w:val="20"/>
                <w:szCs w:val="20"/>
              </w:rPr>
              <w:t>30</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0.7497</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0.9888</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22.491</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75.84</w:t>
            </w:r>
          </w:p>
        </w:tc>
      </w:tr>
      <w:tr w:rsidR="006A40FE" w:rsidRPr="006A40FE" w:rsidTr="00EE2EDE">
        <w:trPr>
          <w:jc w:val="center"/>
        </w:trPr>
        <w:tc>
          <w:tcPr>
            <w:tcW w:w="0" w:type="auto"/>
            <w:shd w:val="clear" w:color="auto" w:fill="auto"/>
          </w:tcPr>
          <w:p w:rsidR="006A40FE" w:rsidRPr="006A40FE" w:rsidRDefault="006A40FE" w:rsidP="00834310">
            <w:pPr>
              <w:spacing w:before="60" w:after="0" w:line="240" w:lineRule="auto"/>
              <w:rPr>
                <w:rFonts w:ascii="Times New Roman" w:hAnsi="Times New Roman" w:cs="Times New Roman"/>
                <w:sz w:val="20"/>
                <w:szCs w:val="20"/>
              </w:rPr>
            </w:pPr>
            <w:r w:rsidRPr="006A40FE">
              <w:rPr>
                <w:rFonts w:ascii="Times New Roman" w:hAnsi="Times New Roman" w:cs="Times New Roman"/>
                <w:sz w:val="20"/>
                <w:szCs w:val="20"/>
              </w:rPr>
              <w:t>50</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0.7101</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0.9539</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35.505</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72.82</w:t>
            </w:r>
          </w:p>
        </w:tc>
      </w:tr>
      <w:tr w:rsidR="006A40FE" w:rsidRPr="006A40FE" w:rsidTr="00834310">
        <w:trPr>
          <w:jc w:val="center"/>
        </w:trPr>
        <w:tc>
          <w:tcPr>
            <w:tcW w:w="0" w:type="auto"/>
            <w:shd w:val="clear" w:color="auto" w:fill="auto"/>
          </w:tcPr>
          <w:p w:rsidR="006A40FE" w:rsidRPr="006A40FE" w:rsidRDefault="006A40FE" w:rsidP="00834310">
            <w:pPr>
              <w:spacing w:before="60" w:after="0" w:line="240" w:lineRule="auto"/>
              <w:rPr>
                <w:rFonts w:ascii="Times New Roman" w:hAnsi="Times New Roman" w:cs="Times New Roman"/>
                <w:sz w:val="20"/>
                <w:szCs w:val="20"/>
              </w:rPr>
            </w:pPr>
            <w:r w:rsidRPr="006A40FE">
              <w:rPr>
                <w:rFonts w:ascii="Times New Roman" w:hAnsi="Times New Roman" w:cs="Times New Roman"/>
                <w:sz w:val="20"/>
                <w:szCs w:val="20"/>
              </w:rPr>
              <w:t>70</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0.6235</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0.9876</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43.645</w:t>
            </w:r>
          </w:p>
        </w:tc>
        <w:tc>
          <w:tcPr>
            <w:tcW w:w="0" w:type="auto"/>
            <w:shd w:val="clear" w:color="auto" w:fill="auto"/>
          </w:tcPr>
          <w:p w:rsidR="006A40FE" w:rsidRPr="006A40FE" w:rsidRDefault="006A40FE" w:rsidP="00834310">
            <w:pPr>
              <w:spacing w:before="60" w:after="0" w:line="240" w:lineRule="auto"/>
              <w:jc w:val="center"/>
              <w:rPr>
                <w:rFonts w:ascii="Times New Roman" w:hAnsi="Times New Roman" w:cs="Times New Roman"/>
                <w:sz w:val="20"/>
                <w:szCs w:val="20"/>
              </w:rPr>
            </w:pPr>
            <w:r w:rsidRPr="006A40FE">
              <w:rPr>
                <w:rFonts w:ascii="Times New Roman" w:hAnsi="Times New Roman" w:cs="Times New Roman"/>
                <w:sz w:val="20"/>
                <w:szCs w:val="20"/>
              </w:rPr>
              <w:t>70.70</w:t>
            </w:r>
          </w:p>
        </w:tc>
      </w:tr>
      <w:tr w:rsidR="006A40FE" w:rsidRPr="006A40FE" w:rsidTr="00834310">
        <w:trPr>
          <w:jc w:val="center"/>
        </w:trPr>
        <w:tc>
          <w:tcPr>
            <w:tcW w:w="0" w:type="auto"/>
            <w:tcBorders>
              <w:bottom w:val="single" w:sz="4" w:space="0" w:color="auto"/>
            </w:tcBorders>
            <w:shd w:val="clear" w:color="auto" w:fill="auto"/>
          </w:tcPr>
          <w:p w:rsidR="006A40FE" w:rsidRPr="006A40FE" w:rsidRDefault="006A40FE" w:rsidP="00834310">
            <w:pPr>
              <w:spacing w:before="60" w:after="60" w:line="240" w:lineRule="auto"/>
              <w:rPr>
                <w:rFonts w:ascii="Times New Roman" w:hAnsi="Times New Roman" w:cs="Times New Roman"/>
                <w:sz w:val="20"/>
                <w:szCs w:val="20"/>
              </w:rPr>
            </w:pPr>
            <w:r w:rsidRPr="006A40FE">
              <w:rPr>
                <w:rFonts w:ascii="Times New Roman" w:hAnsi="Times New Roman" w:cs="Times New Roman"/>
                <w:sz w:val="20"/>
                <w:szCs w:val="20"/>
              </w:rPr>
              <w:t>100</w:t>
            </w:r>
          </w:p>
        </w:tc>
        <w:tc>
          <w:tcPr>
            <w:tcW w:w="0" w:type="auto"/>
            <w:tcBorders>
              <w:bottom w:val="single" w:sz="4" w:space="0" w:color="auto"/>
            </w:tcBorders>
            <w:shd w:val="clear" w:color="auto" w:fill="auto"/>
          </w:tcPr>
          <w:p w:rsidR="006A40FE" w:rsidRPr="006A40FE" w:rsidRDefault="006A40FE" w:rsidP="00834310">
            <w:pPr>
              <w:spacing w:before="60" w:after="60" w:line="240" w:lineRule="auto"/>
              <w:jc w:val="center"/>
              <w:rPr>
                <w:rFonts w:ascii="Times New Roman" w:hAnsi="Times New Roman" w:cs="Times New Roman"/>
                <w:sz w:val="20"/>
                <w:szCs w:val="20"/>
              </w:rPr>
            </w:pPr>
            <w:r w:rsidRPr="006A40FE">
              <w:rPr>
                <w:rFonts w:ascii="Times New Roman" w:hAnsi="Times New Roman" w:cs="Times New Roman"/>
                <w:sz w:val="20"/>
                <w:szCs w:val="20"/>
              </w:rPr>
              <w:t>0.5936</w:t>
            </w:r>
          </w:p>
        </w:tc>
        <w:tc>
          <w:tcPr>
            <w:tcW w:w="0" w:type="auto"/>
            <w:tcBorders>
              <w:bottom w:val="single" w:sz="4" w:space="0" w:color="auto"/>
            </w:tcBorders>
            <w:shd w:val="clear" w:color="auto" w:fill="auto"/>
          </w:tcPr>
          <w:p w:rsidR="006A40FE" w:rsidRPr="006A40FE" w:rsidRDefault="006A40FE" w:rsidP="00834310">
            <w:pPr>
              <w:spacing w:before="60" w:after="60" w:line="240" w:lineRule="auto"/>
              <w:jc w:val="center"/>
              <w:rPr>
                <w:rFonts w:ascii="Times New Roman" w:hAnsi="Times New Roman" w:cs="Times New Roman"/>
                <w:sz w:val="20"/>
                <w:szCs w:val="20"/>
              </w:rPr>
            </w:pPr>
            <w:r w:rsidRPr="006A40FE">
              <w:rPr>
                <w:rFonts w:ascii="Times New Roman" w:hAnsi="Times New Roman" w:cs="Times New Roman"/>
                <w:sz w:val="20"/>
                <w:szCs w:val="20"/>
              </w:rPr>
              <w:t>0.9886</w:t>
            </w:r>
          </w:p>
        </w:tc>
        <w:tc>
          <w:tcPr>
            <w:tcW w:w="0" w:type="auto"/>
            <w:tcBorders>
              <w:bottom w:val="single" w:sz="4" w:space="0" w:color="auto"/>
            </w:tcBorders>
            <w:shd w:val="clear" w:color="auto" w:fill="auto"/>
          </w:tcPr>
          <w:p w:rsidR="006A40FE" w:rsidRPr="006A40FE" w:rsidRDefault="006A40FE" w:rsidP="00834310">
            <w:pPr>
              <w:spacing w:before="60" w:after="60" w:line="240" w:lineRule="auto"/>
              <w:jc w:val="center"/>
              <w:rPr>
                <w:rFonts w:ascii="Times New Roman" w:hAnsi="Times New Roman" w:cs="Times New Roman"/>
                <w:sz w:val="20"/>
                <w:szCs w:val="20"/>
              </w:rPr>
            </w:pPr>
            <w:r w:rsidRPr="006A40FE">
              <w:rPr>
                <w:rFonts w:ascii="Times New Roman" w:hAnsi="Times New Roman" w:cs="Times New Roman"/>
                <w:sz w:val="20"/>
                <w:szCs w:val="20"/>
              </w:rPr>
              <w:t>59.36</w:t>
            </w:r>
          </w:p>
        </w:tc>
        <w:tc>
          <w:tcPr>
            <w:tcW w:w="0" w:type="auto"/>
            <w:tcBorders>
              <w:bottom w:val="single" w:sz="4" w:space="0" w:color="auto"/>
            </w:tcBorders>
            <w:shd w:val="clear" w:color="auto" w:fill="auto"/>
          </w:tcPr>
          <w:p w:rsidR="006A40FE" w:rsidRPr="006A40FE" w:rsidRDefault="006A40FE" w:rsidP="00834310">
            <w:pPr>
              <w:spacing w:before="60" w:after="60" w:line="240" w:lineRule="auto"/>
              <w:jc w:val="center"/>
              <w:rPr>
                <w:rFonts w:ascii="Times New Roman" w:hAnsi="Times New Roman" w:cs="Times New Roman"/>
                <w:sz w:val="20"/>
                <w:szCs w:val="20"/>
              </w:rPr>
            </w:pPr>
            <w:r w:rsidRPr="006A40FE">
              <w:rPr>
                <w:rFonts w:ascii="Times New Roman" w:hAnsi="Times New Roman" w:cs="Times New Roman"/>
                <w:sz w:val="20"/>
                <w:szCs w:val="20"/>
              </w:rPr>
              <w:t>67.45</w:t>
            </w:r>
          </w:p>
        </w:tc>
      </w:tr>
    </w:tbl>
    <w:p w:rsidR="006A40FE" w:rsidRPr="006A40FE" w:rsidRDefault="006A40FE" w:rsidP="00834310">
      <w:pPr>
        <w:tabs>
          <w:tab w:val="left" w:pos="567"/>
        </w:tabs>
        <w:spacing w:after="120" w:line="240" w:lineRule="auto"/>
        <w:jc w:val="both"/>
        <w:rPr>
          <w:rFonts w:ascii="Times New Roman" w:hAnsi="Times New Roman"/>
          <w:b/>
          <w:sz w:val="20"/>
          <w:szCs w:val="20"/>
        </w:rPr>
      </w:pPr>
    </w:p>
    <w:p w:rsidR="006A40FE" w:rsidRPr="006A40FE" w:rsidRDefault="006A40FE" w:rsidP="006A40FE">
      <w:pPr>
        <w:tabs>
          <w:tab w:val="left" w:pos="567"/>
        </w:tabs>
        <w:spacing w:after="0" w:line="240" w:lineRule="auto"/>
        <w:jc w:val="both"/>
        <w:rPr>
          <w:rFonts w:ascii="Times New Roman" w:hAnsi="Times New Roman"/>
          <w:b/>
          <w:sz w:val="20"/>
          <w:szCs w:val="20"/>
        </w:rPr>
      </w:pPr>
      <w:r w:rsidRPr="006A40FE">
        <w:rPr>
          <w:rFonts w:ascii="Times New Roman" w:hAnsi="Times New Roman"/>
          <w:b/>
          <w:sz w:val="20"/>
          <w:szCs w:val="20"/>
        </w:rPr>
        <w:t>Investigation on biodegradability</w:t>
      </w:r>
    </w:p>
    <w:p w:rsidR="006A40FE" w:rsidRPr="006A40FE" w:rsidRDefault="006A40FE" w:rsidP="006A40FE">
      <w:pPr>
        <w:tabs>
          <w:tab w:val="left" w:pos="567"/>
        </w:tabs>
        <w:spacing w:after="0" w:line="240" w:lineRule="auto"/>
        <w:jc w:val="both"/>
        <w:rPr>
          <w:rFonts w:ascii="Times New Roman" w:hAnsi="Times New Roman"/>
          <w:sz w:val="20"/>
          <w:szCs w:val="20"/>
        </w:rPr>
      </w:pPr>
      <w:r w:rsidRPr="006A40FE">
        <w:rPr>
          <w:rFonts w:ascii="Times New Roman" w:hAnsi="Times New Roman"/>
          <w:sz w:val="20"/>
          <w:szCs w:val="20"/>
        </w:rPr>
        <w:t>The degree of mineralization during photocatalytic decolorization was determined in order to confirm whether the final solution of CR was less toxic than the initial solution. COD and BOD</w:t>
      </w:r>
      <w:r w:rsidRPr="006A40FE">
        <w:rPr>
          <w:rFonts w:ascii="Times New Roman" w:hAnsi="Times New Roman"/>
          <w:sz w:val="20"/>
          <w:szCs w:val="20"/>
          <w:vertAlign w:val="subscript"/>
        </w:rPr>
        <w:t>5</w:t>
      </w:r>
      <w:r w:rsidRPr="006A40FE">
        <w:rPr>
          <w:rFonts w:ascii="Times New Roman" w:hAnsi="Times New Roman"/>
          <w:sz w:val="20"/>
          <w:szCs w:val="20"/>
        </w:rPr>
        <w:t xml:space="preserve"> analysis were used to monitor the mineralization of the dyes. Figure 8 shows the COD and BOD</w:t>
      </w:r>
      <w:r w:rsidRPr="006A40FE">
        <w:rPr>
          <w:rFonts w:ascii="Times New Roman" w:hAnsi="Times New Roman"/>
          <w:sz w:val="20"/>
          <w:szCs w:val="20"/>
          <w:vertAlign w:val="subscript"/>
        </w:rPr>
        <w:t>5</w:t>
      </w:r>
      <w:r w:rsidRPr="006A40FE">
        <w:rPr>
          <w:rFonts w:ascii="Times New Roman" w:hAnsi="Times New Roman"/>
          <w:sz w:val="20"/>
          <w:szCs w:val="20"/>
        </w:rPr>
        <w:t xml:space="preserve"> levels of CR solutions with 11 wt.% AgO-HSM. The results indicated that the COD and BOD</w:t>
      </w:r>
      <w:r w:rsidRPr="006A40FE">
        <w:rPr>
          <w:rFonts w:ascii="Times New Roman" w:hAnsi="Times New Roman"/>
          <w:sz w:val="20"/>
          <w:szCs w:val="20"/>
          <w:vertAlign w:val="subscript"/>
        </w:rPr>
        <w:t>5</w:t>
      </w:r>
      <w:r w:rsidRPr="006A40FE">
        <w:rPr>
          <w:rFonts w:ascii="Times New Roman" w:hAnsi="Times New Roman"/>
          <w:sz w:val="20"/>
          <w:szCs w:val="20"/>
        </w:rPr>
        <w:t xml:space="preserve"> levels after reaction decreased to 38.4% and 61.1%, respectively. A significant change in BOD</w:t>
      </w:r>
      <w:r w:rsidRPr="006A40FE">
        <w:rPr>
          <w:rFonts w:ascii="Times New Roman" w:hAnsi="Times New Roman"/>
          <w:sz w:val="20"/>
          <w:szCs w:val="20"/>
          <w:vertAlign w:val="subscript"/>
        </w:rPr>
        <w:t>5</w:t>
      </w:r>
      <w:r w:rsidRPr="006A40FE">
        <w:rPr>
          <w:rFonts w:ascii="Times New Roman" w:hAnsi="Times New Roman"/>
          <w:sz w:val="20"/>
          <w:szCs w:val="20"/>
        </w:rPr>
        <w:t xml:space="preserve"> proved that the biodegradability of the CR solution can be enhanced by this photo-oxidation system, by converting non-biodegradable organics into biodegradable forms. In addition, the BOD</w:t>
      </w:r>
      <w:r w:rsidRPr="006A40FE">
        <w:rPr>
          <w:rFonts w:ascii="Times New Roman" w:hAnsi="Times New Roman"/>
          <w:sz w:val="20"/>
          <w:szCs w:val="20"/>
          <w:vertAlign w:val="subscript"/>
        </w:rPr>
        <w:t>5</w:t>
      </w:r>
      <w:r w:rsidRPr="006A40FE">
        <w:rPr>
          <w:rFonts w:ascii="Times New Roman" w:hAnsi="Times New Roman"/>
          <w:sz w:val="20"/>
          <w:szCs w:val="20"/>
        </w:rPr>
        <w:t>/COD ratio after reaction was 0.526, indicating that some non-biodegradable organic part of the CR molecule was destroyed, decomposed, and even mineralized in the photocatalytic process during the irradiation time [2, 15, 16].</w:t>
      </w:r>
    </w:p>
    <w:p w:rsidR="006A40FE" w:rsidRPr="006A40FE" w:rsidRDefault="006A40FE" w:rsidP="00834310">
      <w:pPr>
        <w:tabs>
          <w:tab w:val="left" w:pos="567"/>
        </w:tabs>
        <w:spacing w:after="120" w:line="240" w:lineRule="auto"/>
        <w:jc w:val="both"/>
        <w:rPr>
          <w:rFonts w:ascii="Times New Roman" w:hAnsi="Times New Roman"/>
          <w:b/>
          <w:sz w:val="20"/>
          <w:szCs w:val="20"/>
        </w:rPr>
      </w:pPr>
    </w:p>
    <w:p w:rsidR="006A40FE" w:rsidRPr="006A40FE" w:rsidRDefault="006A40FE" w:rsidP="00834310">
      <w:pPr>
        <w:tabs>
          <w:tab w:val="left" w:pos="567"/>
        </w:tabs>
        <w:spacing w:after="120" w:line="240" w:lineRule="auto"/>
        <w:jc w:val="center"/>
        <w:rPr>
          <w:rFonts w:ascii="Times New Roman" w:hAnsi="Times New Roman"/>
          <w:b/>
          <w:sz w:val="20"/>
          <w:szCs w:val="20"/>
        </w:rPr>
      </w:pPr>
      <w:r w:rsidRPr="006A40FE">
        <w:rPr>
          <w:rFonts w:ascii="Times New Roman" w:hAnsi="Times New Roman"/>
          <w:noProof/>
          <w:sz w:val="20"/>
          <w:szCs w:val="20"/>
          <w:lang w:val="en-MY" w:eastAsia="en-MY" w:bidi="ar-SA"/>
        </w:rPr>
        <w:drawing>
          <wp:inline distT="0" distB="0" distL="0" distR="0" wp14:anchorId="2FE7AC5D" wp14:editId="65CC3C2F">
            <wp:extent cx="2884106" cy="2520000"/>
            <wp:effectExtent l="19050" t="19050" r="12065" b="139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lum contrast="20000"/>
                      <a:extLst>
                        <a:ext uri="{28A0092B-C50C-407E-A947-70E740481C1C}">
                          <a14:useLocalDpi xmlns:a14="http://schemas.microsoft.com/office/drawing/2010/main" val="0"/>
                        </a:ext>
                      </a:extLst>
                    </a:blip>
                    <a:srcRect/>
                    <a:stretch>
                      <a:fillRect/>
                    </a:stretch>
                  </pic:blipFill>
                  <pic:spPr bwMode="auto">
                    <a:xfrm>
                      <a:off x="0" y="0"/>
                      <a:ext cx="2884106" cy="2520000"/>
                    </a:xfrm>
                    <a:prstGeom prst="rect">
                      <a:avLst/>
                    </a:prstGeom>
                    <a:noFill/>
                    <a:ln w="6350">
                      <a:solidFill>
                        <a:schemeClr val="tx1"/>
                      </a:solidFill>
                    </a:ln>
                  </pic:spPr>
                </pic:pic>
              </a:graphicData>
            </a:graphic>
          </wp:inline>
        </w:drawing>
      </w:r>
    </w:p>
    <w:p w:rsidR="006A40FE" w:rsidRPr="006A40FE" w:rsidRDefault="006A40FE" w:rsidP="006A40FE">
      <w:pPr>
        <w:spacing w:after="0" w:line="240" w:lineRule="auto"/>
        <w:ind w:left="851" w:hanging="851"/>
        <w:jc w:val="both"/>
        <w:rPr>
          <w:rFonts w:ascii="Times New Roman" w:hAnsi="Times New Roman"/>
          <w:bCs/>
          <w:sz w:val="20"/>
          <w:szCs w:val="20"/>
        </w:rPr>
      </w:pPr>
      <w:r w:rsidRPr="006A40FE">
        <w:rPr>
          <w:rFonts w:ascii="Times New Roman" w:hAnsi="Times New Roman"/>
          <w:bCs/>
          <w:sz w:val="20"/>
          <w:szCs w:val="20"/>
        </w:rPr>
        <w:t xml:space="preserve">Figure 8. </w:t>
      </w:r>
      <w:r w:rsidR="00834310">
        <w:rPr>
          <w:rFonts w:ascii="Times New Roman" w:hAnsi="Times New Roman"/>
          <w:bCs/>
          <w:sz w:val="20"/>
          <w:szCs w:val="20"/>
        </w:rPr>
        <w:tab/>
      </w:r>
      <w:r w:rsidRPr="006A40FE">
        <w:rPr>
          <w:rFonts w:ascii="Times New Roman" w:hAnsi="Times New Roman"/>
          <w:bCs/>
          <w:sz w:val="20"/>
          <w:szCs w:val="20"/>
        </w:rPr>
        <w:t>BOD</w:t>
      </w:r>
      <w:r w:rsidRPr="006A40FE">
        <w:rPr>
          <w:rFonts w:ascii="Times New Roman" w:hAnsi="Times New Roman"/>
          <w:bCs/>
          <w:sz w:val="20"/>
          <w:szCs w:val="20"/>
          <w:vertAlign w:val="subscript"/>
        </w:rPr>
        <w:t>5</w:t>
      </w:r>
      <w:r w:rsidRPr="006A40FE">
        <w:rPr>
          <w:rFonts w:ascii="Times New Roman" w:hAnsi="Times New Roman"/>
          <w:bCs/>
          <w:sz w:val="20"/>
          <w:szCs w:val="20"/>
        </w:rPr>
        <w:t xml:space="preserve"> and COD levels before and after reaction </w:t>
      </w:r>
      <w:r w:rsidR="00A81947">
        <w:rPr>
          <w:rFonts w:ascii="Times New Roman" w:hAnsi="Times New Roman"/>
          <w:bCs/>
          <w:sz w:val="20"/>
          <w:szCs w:val="20"/>
        </w:rPr>
        <w:t xml:space="preserve"> </w:t>
      </w:r>
      <w:r w:rsidRPr="006A40FE">
        <w:rPr>
          <w:rFonts w:ascii="Times New Roman" w:hAnsi="Times New Roman"/>
          <w:bCs/>
          <w:sz w:val="20"/>
          <w:szCs w:val="20"/>
        </w:rPr>
        <w:t xml:space="preserve">(pH = 5, </w:t>
      </w:r>
      <w:r w:rsidR="00A81947">
        <w:rPr>
          <w:rFonts w:ascii="Times New Roman" w:hAnsi="Times New Roman"/>
          <w:bCs/>
          <w:sz w:val="20"/>
          <w:szCs w:val="20"/>
        </w:rPr>
        <w:t xml:space="preserve"> </w:t>
      </w:r>
      <w:r w:rsidRPr="006A40FE">
        <w:rPr>
          <w:rFonts w:ascii="Times New Roman" w:hAnsi="Times New Roman"/>
          <w:bCs/>
          <w:sz w:val="20"/>
          <w:szCs w:val="20"/>
        </w:rPr>
        <w:t xml:space="preserve">AgO </w:t>
      </w:r>
      <w:r w:rsidR="00A81947">
        <w:rPr>
          <w:rFonts w:ascii="Times New Roman" w:hAnsi="Times New Roman"/>
          <w:bCs/>
          <w:sz w:val="20"/>
          <w:szCs w:val="20"/>
        </w:rPr>
        <w:t xml:space="preserve"> </w:t>
      </w:r>
      <w:r w:rsidRPr="006A40FE">
        <w:rPr>
          <w:rFonts w:ascii="Times New Roman" w:hAnsi="Times New Roman"/>
          <w:bCs/>
          <w:sz w:val="20"/>
          <w:szCs w:val="20"/>
        </w:rPr>
        <w:t xml:space="preserve">loading = 11 wt.%, </w:t>
      </w:r>
      <w:r w:rsidR="00A81947">
        <w:rPr>
          <w:rFonts w:ascii="Times New Roman" w:hAnsi="Times New Roman"/>
          <w:bCs/>
          <w:sz w:val="20"/>
          <w:szCs w:val="20"/>
        </w:rPr>
        <w:t xml:space="preserve"> </w:t>
      </w:r>
      <w:r w:rsidRPr="006A40FE">
        <w:rPr>
          <w:rFonts w:ascii="Times New Roman" w:hAnsi="Times New Roman"/>
          <w:bCs/>
          <w:sz w:val="20"/>
          <w:szCs w:val="20"/>
        </w:rPr>
        <w:t xml:space="preserve">catalyst </w:t>
      </w:r>
      <w:r w:rsidR="00A81947">
        <w:rPr>
          <w:rFonts w:ascii="Times New Roman" w:hAnsi="Times New Roman"/>
          <w:bCs/>
          <w:sz w:val="20"/>
          <w:szCs w:val="20"/>
        </w:rPr>
        <w:t xml:space="preserve"> </w:t>
      </w:r>
      <w:r w:rsidRPr="006A40FE">
        <w:rPr>
          <w:rFonts w:ascii="Times New Roman" w:hAnsi="Times New Roman"/>
          <w:bCs/>
          <w:sz w:val="20"/>
          <w:szCs w:val="20"/>
        </w:rPr>
        <w:t>dosage = 0.2 gL</w:t>
      </w:r>
      <w:r w:rsidRPr="006A40FE">
        <w:rPr>
          <w:rFonts w:ascii="Times New Roman" w:hAnsi="Times New Roman"/>
          <w:bCs/>
          <w:sz w:val="20"/>
          <w:szCs w:val="20"/>
          <w:vertAlign w:val="superscript"/>
        </w:rPr>
        <w:t>−1</w:t>
      </w:r>
      <w:r w:rsidRPr="006A40FE">
        <w:rPr>
          <w:rFonts w:ascii="Times New Roman" w:hAnsi="Times New Roman"/>
          <w:bCs/>
          <w:sz w:val="20"/>
          <w:szCs w:val="20"/>
        </w:rPr>
        <w:t>, initial concentration = 10 mgL</w:t>
      </w:r>
      <w:r w:rsidRPr="006A40FE">
        <w:rPr>
          <w:rFonts w:ascii="Times New Roman" w:hAnsi="Times New Roman"/>
          <w:bCs/>
          <w:sz w:val="20"/>
          <w:szCs w:val="20"/>
          <w:vertAlign w:val="superscript"/>
        </w:rPr>
        <w:t>-1</w:t>
      </w:r>
      <w:r w:rsidRPr="006A40FE">
        <w:rPr>
          <w:rFonts w:ascii="Times New Roman" w:hAnsi="Times New Roman"/>
          <w:bCs/>
          <w:sz w:val="20"/>
          <w:szCs w:val="20"/>
        </w:rPr>
        <w:t>, and temperature = 30 ºC)</w:t>
      </w:r>
    </w:p>
    <w:p w:rsidR="006A40FE" w:rsidRPr="006A40FE" w:rsidRDefault="006A40FE" w:rsidP="006A40FE">
      <w:pPr>
        <w:tabs>
          <w:tab w:val="left" w:pos="567"/>
        </w:tabs>
        <w:spacing w:after="0" w:line="240" w:lineRule="auto"/>
        <w:jc w:val="center"/>
        <w:rPr>
          <w:rFonts w:ascii="Times New Roman" w:hAnsi="Times New Roman"/>
          <w:b/>
          <w:sz w:val="20"/>
          <w:szCs w:val="20"/>
        </w:rPr>
      </w:pPr>
    </w:p>
    <w:p w:rsidR="006768E9" w:rsidRDefault="006768E9" w:rsidP="006A40FE">
      <w:pPr>
        <w:spacing w:after="0" w:line="240" w:lineRule="auto"/>
        <w:jc w:val="center"/>
        <w:rPr>
          <w:rFonts w:ascii="Times New Roman" w:hAnsi="Times New Roman"/>
          <w:noProof/>
          <w:sz w:val="20"/>
          <w:szCs w:val="20"/>
          <w:lang w:bidi="ar-SA"/>
        </w:rPr>
      </w:pPr>
    </w:p>
    <w:p w:rsidR="00834310" w:rsidRDefault="00834310" w:rsidP="006A40FE">
      <w:pPr>
        <w:spacing w:after="0" w:line="240" w:lineRule="auto"/>
        <w:jc w:val="center"/>
        <w:rPr>
          <w:rFonts w:ascii="Times New Roman" w:hAnsi="Times New Roman"/>
          <w:noProof/>
          <w:sz w:val="20"/>
          <w:szCs w:val="20"/>
          <w:lang w:bidi="ar-SA"/>
        </w:rPr>
      </w:pPr>
    </w:p>
    <w:p w:rsidR="00834310" w:rsidRPr="00F447A7" w:rsidRDefault="00834310" w:rsidP="006A40F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834310" w:rsidRPr="00834310" w:rsidRDefault="00834310" w:rsidP="00834310">
      <w:pPr>
        <w:tabs>
          <w:tab w:val="left" w:pos="567"/>
        </w:tabs>
        <w:spacing w:after="0" w:line="240" w:lineRule="auto"/>
        <w:jc w:val="both"/>
        <w:rPr>
          <w:rFonts w:ascii="Times New Roman" w:hAnsi="Times New Roman"/>
          <w:sz w:val="20"/>
          <w:szCs w:val="20"/>
        </w:rPr>
      </w:pPr>
      <w:r w:rsidRPr="00834310">
        <w:rPr>
          <w:rFonts w:ascii="Times New Roman" w:hAnsi="Times New Roman"/>
          <w:sz w:val="20"/>
          <w:szCs w:val="20"/>
        </w:rPr>
        <w:t xml:space="preserve">AgO supported hot spring mud (AgO-HSM) catalysts were prepared using electrochemical methods. The physical properties of the catalyst were studied </w:t>
      </w:r>
      <w:r w:rsidRPr="00834310">
        <w:rPr>
          <w:rFonts w:ascii="Times New Roman" w:hAnsi="Times New Roman"/>
          <w:i/>
          <w:sz w:val="20"/>
          <w:szCs w:val="20"/>
        </w:rPr>
        <w:t>via</w:t>
      </w:r>
      <w:r w:rsidRPr="00834310">
        <w:rPr>
          <w:rFonts w:ascii="Times New Roman" w:hAnsi="Times New Roman"/>
          <w:sz w:val="20"/>
          <w:szCs w:val="20"/>
        </w:rPr>
        <w:t xml:space="preserve"> FTIR. The interaction between silver species and HSM support during the electrosynthesis was found to affect the AgO-HSM structure. The photodecolorization percentage of 80.2% in 10 mg L</w:t>
      </w:r>
      <w:r w:rsidRPr="00834310">
        <w:rPr>
          <w:rFonts w:ascii="Times New Roman" w:hAnsi="Times New Roman"/>
          <w:sz w:val="20"/>
          <w:szCs w:val="20"/>
          <w:vertAlign w:val="superscript"/>
        </w:rPr>
        <w:t>−1</w:t>
      </w:r>
      <w:r w:rsidRPr="00834310">
        <w:rPr>
          <w:rFonts w:ascii="Times New Roman" w:hAnsi="Times New Roman"/>
          <w:sz w:val="20"/>
          <w:szCs w:val="20"/>
        </w:rPr>
        <w:t xml:space="preserve"> CR was obtained for 11 wt. % AgO-HSM. The kinetic studies showed that the reaction rate was pseudo-first order as determined by the Langmuir–Hinshelwood model, where the value of K</w:t>
      </w:r>
      <w:r w:rsidRPr="00834310">
        <w:rPr>
          <w:rFonts w:ascii="Times New Roman" w:hAnsi="Times New Roman"/>
          <w:sz w:val="20"/>
          <w:szCs w:val="20"/>
          <w:vertAlign w:val="subscript"/>
        </w:rPr>
        <w:t>r</w:t>
      </w:r>
      <w:r w:rsidRPr="00834310">
        <w:rPr>
          <w:rFonts w:ascii="Times New Roman" w:hAnsi="Times New Roman"/>
          <w:sz w:val="20"/>
          <w:szCs w:val="20"/>
        </w:rPr>
        <w:t xml:space="preserve"> was higher compared to K</w:t>
      </w:r>
      <w:r w:rsidRPr="00834310">
        <w:rPr>
          <w:rFonts w:ascii="Times New Roman" w:hAnsi="Times New Roman"/>
          <w:sz w:val="20"/>
          <w:szCs w:val="20"/>
          <w:vertAlign w:val="subscript"/>
        </w:rPr>
        <w:t>LH</w:t>
      </w:r>
      <w:r w:rsidRPr="00834310">
        <w:rPr>
          <w:rFonts w:ascii="Times New Roman" w:hAnsi="Times New Roman"/>
          <w:sz w:val="20"/>
          <w:szCs w:val="20"/>
        </w:rPr>
        <w:t xml:space="preserve">, indicating dye adsorption was the controlling step of the process. </w:t>
      </w:r>
      <w:r w:rsidRPr="00834310">
        <w:rPr>
          <w:rFonts w:ascii="Times New Roman" w:eastAsia="Calibri" w:hAnsi="Times New Roman"/>
          <w:bCs/>
          <w:sz w:val="20"/>
          <w:szCs w:val="20"/>
        </w:rPr>
        <w:t>The COD and BOD</w:t>
      </w:r>
      <w:r w:rsidRPr="00834310">
        <w:rPr>
          <w:rFonts w:ascii="Times New Roman" w:eastAsia="Calibri" w:hAnsi="Times New Roman"/>
          <w:bCs/>
          <w:sz w:val="20"/>
          <w:szCs w:val="20"/>
          <w:vertAlign w:val="subscript"/>
        </w:rPr>
        <w:t>5</w:t>
      </w:r>
      <w:r w:rsidRPr="00834310">
        <w:rPr>
          <w:rFonts w:ascii="Times New Roman" w:eastAsia="Calibri" w:hAnsi="Times New Roman"/>
          <w:bCs/>
          <w:sz w:val="20"/>
          <w:szCs w:val="20"/>
        </w:rPr>
        <w:t xml:space="preserve"> levels, used to determine the mineralization of CR, were 38.4% and 61.1%, respectively, before and after reaction. Moreover, the BOD</w:t>
      </w:r>
      <w:r w:rsidRPr="00834310">
        <w:rPr>
          <w:rFonts w:ascii="Times New Roman" w:eastAsia="Calibri" w:hAnsi="Times New Roman"/>
          <w:bCs/>
          <w:sz w:val="20"/>
          <w:szCs w:val="20"/>
          <w:vertAlign w:val="subscript"/>
        </w:rPr>
        <w:t>5</w:t>
      </w:r>
      <w:r w:rsidRPr="00834310">
        <w:rPr>
          <w:rFonts w:ascii="Times New Roman" w:eastAsia="Calibri" w:hAnsi="Times New Roman"/>
          <w:bCs/>
          <w:sz w:val="20"/>
          <w:szCs w:val="20"/>
        </w:rPr>
        <w:t xml:space="preserve">/COD ratio after reaction was 0.526, indicating that some non-biodegradable organic parts of the CR molecules were destroyed, decomposed, and even mineralized in the photocatalytic process. Therefore, AgO has a great potential to be used as a catalyst for the photocatalytic decolorization of various dyes in wastewater. </w:t>
      </w:r>
    </w:p>
    <w:p w:rsidR="00834310" w:rsidRPr="00834310" w:rsidRDefault="00834310" w:rsidP="00834310">
      <w:pPr>
        <w:tabs>
          <w:tab w:val="left" w:pos="567"/>
        </w:tabs>
        <w:spacing w:after="0" w:line="240" w:lineRule="auto"/>
        <w:jc w:val="center"/>
        <w:rPr>
          <w:rFonts w:ascii="Times New Roman" w:eastAsia="Calibri" w:hAnsi="Times New Roman"/>
          <w:b/>
          <w:sz w:val="20"/>
          <w:szCs w:val="20"/>
        </w:rPr>
      </w:pPr>
    </w:p>
    <w:p w:rsidR="00834310" w:rsidRPr="00834310" w:rsidRDefault="00834310" w:rsidP="00834310">
      <w:pPr>
        <w:tabs>
          <w:tab w:val="left" w:pos="567"/>
        </w:tabs>
        <w:spacing w:after="0" w:line="240" w:lineRule="auto"/>
        <w:jc w:val="center"/>
        <w:rPr>
          <w:rFonts w:ascii="Times New Roman" w:eastAsia="Calibri" w:hAnsi="Times New Roman"/>
          <w:b/>
          <w:sz w:val="20"/>
          <w:szCs w:val="20"/>
        </w:rPr>
      </w:pPr>
      <w:r w:rsidRPr="00834310">
        <w:rPr>
          <w:rFonts w:ascii="Times New Roman" w:eastAsia="Calibri" w:hAnsi="Times New Roman"/>
          <w:b/>
          <w:sz w:val="20"/>
          <w:szCs w:val="20"/>
        </w:rPr>
        <w:t>Acknowledgements</w:t>
      </w:r>
    </w:p>
    <w:p w:rsidR="006768E9" w:rsidRPr="00834310" w:rsidRDefault="00834310" w:rsidP="00834310">
      <w:pPr>
        <w:tabs>
          <w:tab w:val="left" w:pos="567"/>
        </w:tabs>
        <w:spacing w:after="0" w:line="240" w:lineRule="auto"/>
        <w:jc w:val="both"/>
        <w:rPr>
          <w:rFonts w:ascii="Times New Roman" w:eastAsia="Calibri" w:hAnsi="Times New Roman"/>
          <w:bCs/>
          <w:sz w:val="20"/>
          <w:szCs w:val="20"/>
        </w:rPr>
      </w:pPr>
      <w:r w:rsidRPr="00834310">
        <w:rPr>
          <w:rFonts w:ascii="Times New Roman" w:eastAsia="Calibri" w:hAnsi="Times New Roman"/>
          <w:bCs/>
          <w:sz w:val="20"/>
          <w:szCs w:val="20"/>
        </w:rPr>
        <w:t>The authors are grateful for the financial support by the Short Term Research Grant (STRG) from Universiti Kuala Lumpur (Grant No. 17004 &amp; 17029), Majlis Amanah Rakyat Malaysia (MARA), the awards of Yayasan Tengku Abdullah Scholarship (YTAS-Muhammad Farhan bin Hanafi), and also the Malaysian Institute of Chemical and Bioengineering Technology, Universiti Kuala Lumpur for their support</w:t>
      </w:r>
      <w:r w:rsidRPr="00834310">
        <w:rPr>
          <w:rFonts w:ascii="Times New Roman" w:hAnsi="Times New Roman"/>
          <w:sz w:val="20"/>
          <w:szCs w:val="20"/>
          <w:lang w:val="en-MY" w:eastAsia="en-IN"/>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Sima, J. and Hasal, P. (2013). Photocatalytic degradation of textile dyes in a TiO</w:t>
      </w:r>
      <w:r w:rsidRPr="00834310">
        <w:rPr>
          <w:rFonts w:ascii="Times New Roman" w:hAnsi="Times New Roman"/>
          <w:sz w:val="20"/>
          <w:szCs w:val="20"/>
          <w:vertAlign w:val="subscript"/>
        </w:rPr>
        <w:t>2</w:t>
      </w:r>
      <w:r w:rsidRPr="00834310">
        <w:rPr>
          <w:rFonts w:ascii="Times New Roman" w:hAnsi="Times New Roman"/>
          <w:sz w:val="20"/>
          <w:szCs w:val="20"/>
        </w:rPr>
        <w:t xml:space="preserve">/UV system. </w:t>
      </w:r>
      <w:r w:rsidRPr="00834310">
        <w:rPr>
          <w:rFonts w:ascii="Times New Roman" w:hAnsi="Times New Roman"/>
          <w:i/>
          <w:iCs/>
          <w:sz w:val="20"/>
          <w:szCs w:val="20"/>
        </w:rPr>
        <w:t>Chemical Engineering Transactions</w:t>
      </w:r>
      <w:r w:rsidRPr="00834310">
        <w:rPr>
          <w:rFonts w:ascii="Times New Roman" w:hAnsi="Times New Roman"/>
          <w:sz w:val="20"/>
          <w:szCs w:val="20"/>
        </w:rPr>
        <w:t>, 32: 79-84.</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bCs/>
          <w:sz w:val="20"/>
          <w:szCs w:val="20"/>
        </w:rPr>
        <w:t>Sapawe</w:t>
      </w:r>
      <w:r w:rsidRPr="00834310">
        <w:rPr>
          <w:rFonts w:ascii="Times New Roman" w:hAnsi="Times New Roman"/>
          <w:sz w:val="20"/>
          <w:szCs w:val="20"/>
        </w:rPr>
        <w:t>, N., Jalil, A. A., Triwahyono, S., Adam, S. H., Jaafar, N. F. and Satar, M. A. H. (2012).</w:t>
      </w:r>
      <w:r w:rsidRPr="00834310">
        <w:rPr>
          <w:rFonts w:ascii="Times New Roman" w:hAnsi="Times New Roman"/>
          <w:bCs/>
          <w:sz w:val="20"/>
          <w:szCs w:val="20"/>
        </w:rPr>
        <w:t xml:space="preserve"> </w:t>
      </w:r>
      <w:r w:rsidRPr="00834310">
        <w:rPr>
          <w:rFonts w:ascii="Times New Roman" w:hAnsi="Times New Roman"/>
          <w:sz w:val="20"/>
          <w:szCs w:val="20"/>
        </w:rPr>
        <w:t xml:space="preserve">Isomorphous substitution of Zr in the framework of aluminosilicate HY by an electrochemical method: Evaluation by methylene blue decolorization. </w:t>
      </w:r>
      <w:r w:rsidRPr="00834310">
        <w:rPr>
          <w:rFonts w:ascii="Times New Roman" w:hAnsi="Times New Roman"/>
          <w:i/>
          <w:sz w:val="20"/>
          <w:szCs w:val="20"/>
        </w:rPr>
        <w:t>Applied Catalysis B: Environmental</w:t>
      </w:r>
      <w:r w:rsidRPr="00834310">
        <w:rPr>
          <w:rFonts w:ascii="Times New Roman" w:hAnsi="Times New Roman"/>
          <w:sz w:val="20"/>
          <w:szCs w:val="20"/>
        </w:rPr>
        <w:t>, 125: 311-323.</w:t>
      </w:r>
      <w:r w:rsidRPr="00834310">
        <w:rPr>
          <w:rFonts w:ascii="Times New Roman" w:hAnsi="Times New Roman"/>
          <w:iCs/>
          <w:sz w:val="20"/>
          <w:szCs w:val="20"/>
        </w:rPr>
        <w:t xml:space="preserve"> </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bCs/>
          <w:sz w:val="20"/>
          <w:szCs w:val="20"/>
        </w:rPr>
        <w:t>Sapawe</w:t>
      </w:r>
      <w:r w:rsidRPr="00834310">
        <w:rPr>
          <w:rFonts w:ascii="Times New Roman" w:hAnsi="Times New Roman"/>
          <w:sz w:val="20"/>
          <w:szCs w:val="20"/>
        </w:rPr>
        <w:t>, N., Jalil, A. A., Triwahyono, S., Sah, R. N. R. A., Jusoh, N. W. C. and Hairom, N. H. H.</w:t>
      </w:r>
      <w:r w:rsidRPr="00834310">
        <w:rPr>
          <w:rFonts w:ascii="Times New Roman" w:hAnsi="Times New Roman"/>
          <w:bCs/>
          <w:sz w:val="20"/>
          <w:szCs w:val="20"/>
        </w:rPr>
        <w:t xml:space="preserve"> </w:t>
      </w:r>
      <w:r w:rsidRPr="00834310">
        <w:rPr>
          <w:rFonts w:ascii="Times New Roman" w:hAnsi="Times New Roman"/>
          <w:sz w:val="20"/>
          <w:szCs w:val="20"/>
        </w:rPr>
        <w:t xml:space="preserve">(2013). Electrochemical strategy for grown ZnO nanoparticles deposited onto HY zeolite with enhanced photodecolorization of methylene blue: Effect of the formation of Si-O-Zn bonds. </w:t>
      </w:r>
      <w:r w:rsidRPr="00834310">
        <w:rPr>
          <w:rFonts w:ascii="Times New Roman" w:hAnsi="Times New Roman"/>
          <w:i/>
          <w:sz w:val="20"/>
          <w:szCs w:val="20"/>
        </w:rPr>
        <w:t>Applied Catalysis A: General</w:t>
      </w:r>
      <w:r w:rsidRPr="00834310">
        <w:rPr>
          <w:rFonts w:ascii="Times New Roman" w:hAnsi="Times New Roman"/>
          <w:sz w:val="20"/>
          <w:szCs w:val="20"/>
        </w:rPr>
        <w:t>, 456: 144-158.</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Gopalpur, N. (2011). Organic synthesis using clay and clay-supported catalysts. </w:t>
      </w:r>
      <w:r w:rsidRPr="00834310">
        <w:rPr>
          <w:rFonts w:ascii="Times New Roman" w:hAnsi="Times New Roman"/>
          <w:i/>
          <w:iCs/>
          <w:sz w:val="20"/>
          <w:szCs w:val="20"/>
        </w:rPr>
        <w:t>Applied Clay Science</w:t>
      </w:r>
      <w:r w:rsidRPr="00834310">
        <w:rPr>
          <w:rFonts w:ascii="Times New Roman" w:hAnsi="Times New Roman"/>
          <w:sz w:val="20"/>
          <w:szCs w:val="20"/>
        </w:rPr>
        <w:t>, 53: 106-138.</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Kumar, P., Govindaraju, M., Senthamilselvi, S. and Premkumar, K. (2013). Photocatalytic degradation of methyl orange dye using silver (Ag) nanoparticles synthesized from </w:t>
      </w:r>
      <w:r w:rsidRPr="00834310">
        <w:rPr>
          <w:rFonts w:ascii="Times New Roman" w:hAnsi="Times New Roman"/>
          <w:i/>
          <w:iCs/>
          <w:sz w:val="20"/>
          <w:szCs w:val="20"/>
        </w:rPr>
        <w:t>Ulva lactuca</w:t>
      </w:r>
      <w:r w:rsidRPr="00834310">
        <w:rPr>
          <w:rFonts w:ascii="Times New Roman" w:hAnsi="Times New Roman"/>
          <w:sz w:val="20"/>
          <w:szCs w:val="20"/>
        </w:rPr>
        <w:t xml:space="preserve">. </w:t>
      </w:r>
      <w:r w:rsidRPr="00834310">
        <w:rPr>
          <w:rFonts w:ascii="Times New Roman" w:hAnsi="Times New Roman"/>
          <w:i/>
          <w:iCs/>
          <w:sz w:val="20"/>
          <w:szCs w:val="20"/>
        </w:rPr>
        <w:t>Colloids and Surfaces B: Biointerfaces</w:t>
      </w:r>
      <w:r w:rsidRPr="00834310">
        <w:rPr>
          <w:rFonts w:ascii="Times New Roman" w:hAnsi="Times New Roman"/>
          <w:sz w:val="20"/>
          <w:szCs w:val="20"/>
        </w:rPr>
        <w:t>, 103: 658-661.</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Albiter, E., Valenzuela, M. A., Alfaro, S., Valverde-Aguilar, G. and Martı´nez-Pallares, F. M. (2015). Photocatalytic deposition of Ag nanoparticles on TiO</w:t>
      </w:r>
      <w:r w:rsidRPr="00834310">
        <w:rPr>
          <w:rFonts w:ascii="Times New Roman" w:hAnsi="Times New Roman"/>
          <w:sz w:val="20"/>
          <w:szCs w:val="20"/>
          <w:vertAlign w:val="subscript"/>
        </w:rPr>
        <w:t>2</w:t>
      </w:r>
      <w:r w:rsidRPr="00834310">
        <w:rPr>
          <w:rFonts w:ascii="Times New Roman" w:hAnsi="Times New Roman"/>
          <w:sz w:val="20"/>
          <w:szCs w:val="20"/>
        </w:rPr>
        <w:t xml:space="preserve">: Metal precursor effect on the structural and photoactivity properties. </w:t>
      </w:r>
      <w:r w:rsidRPr="00834310">
        <w:rPr>
          <w:rFonts w:ascii="Times New Roman" w:hAnsi="Times New Roman"/>
          <w:i/>
          <w:iCs/>
          <w:sz w:val="20"/>
          <w:szCs w:val="20"/>
        </w:rPr>
        <w:t>Journal of Saudi Chemical Society</w:t>
      </w:r>
      <w:r w:rsidRPr="00834310">
        <w:rPr>
          <w:rFonts w:ascii="Times New Roman" w:hAnsi="Times New Roman"/>
          <w:sz w:val="20"/>
          <w:szCs w:val="20"/>
        </w:rPr>
        <w:t>, 19: 563-573.</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Sapawe, N., Rustam, M. A., Mahadzir, M. H. H., Lani, M. K. E. M., Raidin, A. and Hanafi, M. F. (2019). </w:t>
      </w:r>
      <w:hyperlink r:id="rId18" w:history="1">
        <w:r w:rsidRPr="00834310">
          <w:rPr>
            <w:rFonts w:ascii="Times New Roman" w:hAnsi="Times New Roman"/>
            <w:sz w:val="20"/>
            <w:szCs w:val="20"/>
            <w:lang w:eastAsia="en-GB"/>
          </w:rPr>
          <w:t xml:space="preserve">A novel approach of </w:t>
        </w:r>
        <w:r w:rsidRPr="00834310">
          <w:rPr>
            <w:rFonts w:ascii="Times New Roman" w:hAnsi="Times New Roman"/>
            <w:i/>
            <w:iCs/>
            <w:sz w:val="20"/>
            <w:szCs w:val="20"/>
            <w:lang w:eastAsia="en-GB"/>
          </w:rPr>
          <w:t>in-situ</w:t>
        </w:r>
        <w:r w:rsidRPr="00834310">
          <w:rPr>
            <w:rFonts w:ascii="Times New Roman" w:hAnsi="Times New Roman"/>
            <w:sz w:val="20"/>
            <w:szCs w:val="20"/>
            <w:lang w:eastAsia="en-GB"/>
          </w:rPr>
          <w:t xml:space="preserve"> electrobiosynthesis of metal oxide nanoparticles using crude plant extract as main medium for supporting electrolyte</w:t>
        </w:r>
      </w:hyperlink>
      <w:r w:rsidRPr="00834310">
        <w:rPr>
          <w:rFonts w:ascii="Times New Roman" w:hAnsi="Times New Roman"/>
          <w:sz w:val="20"/>
          <w:szCs w:val="20"/>
          <w:lang w:eastAsia="en-GB"/>
        </w:rPr>
        <w:t xml:space="preserve">.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19</w:t>
      </w:r>
      <w:r w:rsidRPr="00834310">
        <w:rPr>
          <w:rFonts w:ascii="Times New Roman" w:hAnsi="Times New Roman"/>
          <w:sz w:val="20"/>
          <w:szCs w:val="20"/>
          <w:shd w:val="clear" w:color="auto" w:fill="FFFFFF"/>
        </w:rPr>
        <w:t xml:space="preserve">(4): </w:t>
      </w:r>
      <w:r w:rsidRPr="00834310">
        <w:rPr>
          <w:rFonts w:ascii="Times New Roman" w:hAnsi="Times New Roman"/>
          <w:sz w:val="20"/>
          <w:szCs w:val="20"/>
          <w:lang w:eastAsia="en-GB"/>
        </w:rPr>
        <w:t>1441-1445</w:t>
      </w:r>
      <w:r w:rsidRPr="00834310">
        <w:rPr>
          <w:rFonts w:ascii="Times New Roman" w:hAnsi="Times New Roman"/>
          <w:sz w:val="20"/>
          <w:szCs w:val="20"/>
          <w:shd w:val="clear" w:color="auto" w:fill="FFFFFF"/>
        </w:rPr>
        <w:t>.</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Hanafi, M. F., Sapawe, N., Rahim, M. Z. A., Rahman, N. N., Rahman, A. H. A. and Ahmad, A. A. (2016). Performance of EGZrO</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-EGFe</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O</w:t>
      </w:r>
      <w:r w:rsidRPr="00834310">
        <w:rPr>
          <w:rFonts w:ascii="Times New Roman" w:hAnsi="Times New Roman"/>
          <w:sz w:val="20"/>
          <w:szCs w:val="20"/>
          <w:shd w:val="clear" w:color="auto" w:fill="FFFFFF"/>
          <w:vertAlign w:val="subscript"/>
        </w:rPr>
        <w:t>3</w:t>
      </w:r>
      <w:r w:rsidRPr="00834310">
        <w:rPr>
          <w:rFonts w:ascii="Times New Roman" w:hAnsi="Times New Roman"/>
          <w:sz w:val="20"/>
          <w:szCs w:val="20"/>
          <w:shd w:val="clear" w:color="auto" w:fill="FFFFFF"/>
        </w:rPr>
        <w:t>/HY as photocatalyst and its efficacy in decolorization of dye-contaminants</w:t>
      </w:r>
      <w:r w:rsidRPr="00834310">
        <w:rPr>
          <w:rFonts w:ascii="Times New Roman" w:hAnsi="Times New Roman"/>
          <w:sz w:val="20"/>
          <w:szCs w:val="20"/>
        </w:rPr>
        <w:t xml:space="preserve">. </w:t>
      </w:r>
      <w:r w:rsidRPr="00834310">
        <w:rPr>
          <w:rFonts w:ascii="Times New Roman" w:hAnsi="Times New Roman"/>
          <w:i/>
          <w:iCs/>
          <w:sz w:val="20"/>
          <w:szCs w:val="20"/>
        </w:rPr>
        <w:t>Malaysian Journal of Analytical Sciences</w:t>
      </w:r>
      <w:r w:rsidRPr="00834310">
        <w:rPr>
          <w:rFonts w:ascii="Times New Roman" w:hAnsi="Times New Roman"/>
          <w:sz w:val="20"/>
          <w:szCs w:val="20"/>
        </w:rPr>
        <w:t>, 20(5): 1052-1058.</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Hanafi, M. F. and Sapawe, N. (2018). Remarkable degradation of methyl orange by tetragonal zirconia catalyst.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5</w:t>
      </w:r>
      <w:r w:rsidRPr="00834310">
        <w:rPr>
          <w:rFonts w:ascii="Times New Roman" w:hAnsi="Times New Roman"/>
          <w:sz w:val="20"/>
          <w:szCs w:val="20"/>
          <w:shd w:val="clear" w:color="auto" w:fill="FFFFFF"/>
        </w:rPr>
        <w:t>(10): 21849-21852.</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Hanafi, M.F. and Sapawe, N. (2019). The potential of ZrO</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 xml:space="preserve"> catalyst toward degradation of dyes and phenolic compound.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19(4): 1524-1528.</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Hanafi, M. F. and Sapawe, N. (2019). Electrosynthesis of ZrO</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 xml:space="preserve"> nanoparticles with enhanced removal of phenolic compound. </w:t>
      </w:r>
      <w:r w:rsidRPr="00834310">
        <w:rPr>
          <w:rFonts w:ascii="Times New Roman" w:hAnsi="Times New Roman"/>
          <w:i/>
          <w:sz w:val="20"/>
          <w:szCs w:val="20"/>
          <w:shd w:val="clear" w:color="auto" w:fill="FFFFFF"/>
        </w:rPr>
        <w:t>Materials Today: Proceeding</w:t>
      </w:r>
      <w:r w:rsidRPr="00834310">
        <w:rPr>
          <w:rFonts w:ascii="Times New Roman" w:hAnsi="Times New Roman"/>
          <w:iCs/>
          <w:sz w:val="20"/>
          <w:szCs w:val="20"/>
          <w:shd w:val="clear" w:color="auto" w:fill="FFFFFF"/>
        </w:rPr>
        <w:t>s</w:t>
      </w:r>
      <w:r w:rsidRPr="00834310">
        <w:rPr>
          <w:rFonts w:ascii="Times New Roman" w:hAnsi="Times New Roman"/>
          <w:sz w:val="20"/>
          <w:szCs w:val="20"/>
          <w:shd w:val="clear" w:color="auto" w:fill="FFFFFF"/>
        </w:rPr>
        <w:t>, 1</w:t>
      </w:r>
      <w:r w:rsidRPr="00834310">
        <w:rPr>
          <w:rFonts w:ascii="Times New Roman" w:hAnsi="Times New Roman"/>
          <w:iCs/>
          <w:sz w:val="20"/>
          <w:szCs w:val="20"/>
          <w:shd w:val="clear" w:color="auto" w:fill="FFFFFF"/>
        </w:rPr>
        <w:t>9(4)</w:t>
      </w:r>
      <w:r w:rsidRPr="00834310">
        <w:rPr>
          <w:rFonts w:ascii="Times New Roman" w:hAnsi="Times New Roman"/>
          <w:sz w:val="20"/>
          <w:szCs w:val="20"/>
          <w:shd w:val="clear" w:color="auto" w:fill="FFFFFF"/>
        </w:rPr>
        <w:t>, 1529-1532.</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Hanafi, M. F. and Sapawe, N. (2019). Effect of calcination temperature on the structure and catalytic performance of ZrO</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 xml:space="preserve"> catalyst in phenol degradation.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19(4)</w:t>
      </w:r>
      <w:r w:rsidRPr="00834310">
        <w:rPr>
          <w:rFonts w:ascii="Times New Roman" w:hAnsi="Times New Roman"/>
          <w:sz w:val="20"/>
          <w:szCs w:val="20"/>
          <w:shd w:val="clear" w:color="auto" w:fill="FFFFFF"/>
        </w:rPr>
        <w:t>: 1533-1536.</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Hanafi, M. F. and Sapawe, N. (2019). </w:t>
      </w:r>
      <w:hyperlink r:id="rId19" w:history="1">
        <w:r w:rsidRPr="00834310">
          <w:rPr>
            <w:rFonts w:ascii="Times New Roman" w:hAnsi="Times New Roman"/>
            <w:sz w:val="20"/>
            <w:szCs w:val="20"/>
            <w:lang w:eastAsia="en-GB"/>
          </w:rPr>
          <w:t>Electrogenerated zirconia (EGZrO</w:t>
        </w:r>
        <w:r w:rsidRPr="00834310">
          <w:rPr>
            <w:rFonts w:ascii="Times New Roman" w:hAnsi="Times New Roman"/>
            <w:sz w:val="20"/>
            <w:szCs w:val="20"/>
            <w:vertAlign w:val="subscript"/>
            <w:lang w:eastAsia="en-GB"/>
          </w:rPr>
          <w:t>2</w:t>
        </w:r>
        <w:r w:rsidRPr="00834310">
          <w:rPr>
            <w:rFonts w:ascii="Times New Roman" w:hAnsi="Times New Roman"/>
            <w:sz w:val="20"/>
            <w:szCs w:val="20"/>
            <w:lang w:eastAsia="en-GB"/>
          </w:rPr>
          <w:t>) nanoparticles as recyclable catalyst for effective photocatalytic degradation of phenol</w:t>
        </w:r>
      </w:hyperlink>
      <w:r w:rsidRPr="00834310">
        <w:rPr>
          <w:rFonts w:ascii="Times New Roman" w:hAnsi="Times New Roman"/>
          <w:sz w:val="20"/>
          <w:szCs w:val="20"/>
          <w:shd w:val="clear" w:color="auto" w:fill="FFFFFF"/>
        </w:rPr>
        <w:t xml:space="preserve">.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xml:space="preserve">, </w:t>
      </w:r>
      <w:r w:rsidRPr="00834310">
        <w:rPr>
          <w:rFonts w:ascii="Times New Roman" w:hAnsi="Times New Roman"/>
          <w:iCs/>
          <w:sz w:val="20"/>
          <w:szCs w:val="20"/>
          <w:shd w:val="clear" w:color="auto" w:fill="FFFFFF"/>
        </w:rPr>
        <w:t>19(4)</w:t>
      </w:r>
      <w:r w:rsidRPr="00834310">
        <w:rPr>
          <w:rFonts w:ascii="Times New Roman" w:hAnsi="Times New Roman"/>
          <w:sz w:val="20"/>
          <w:szCs w:val="20"/>
          <w:shd w:val="clear" w:color="auto" w:fill="FFFFFF"/>
        </w:rPr>
        <w:t>: 1537-1540.</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lastRenderedPageBreak/>
        <w:t xml:space="preserve">Sapawe, N. and Hanafi, M. F. (2015). Facile one-pot electrosynthesis of high photoreactive hexacoordinated Si with Zr and Zn catalyst. </w:t>
      </w:r>
      <w:r w:rsidRPr="00834310">
        <w:rPr>
          <w:rFonts w:ascii="Times New Roman" w:hAnsi="Times New Roman"/>
          <w:i/>
          <w:sz w:val="20"/>
          <w:szCs w:val="20"/>
          <w:shd w:val="clear" w:color="auto" w:fill="FFFFFF"/>
        </w:rPr>
        <w:t>RSC Advances</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5</w:t>
      </w:r>
      <w:r w:rsidRPr="00834310">
        <w:rPr>
          <w:rFonts w:ascii="Times New Roman" w:hAnsi="Times New Roman"/>
          <w:sz w:val="20"/>
          <w:szCs w:val="20"/>
          <w:shd w:val="clear" w:color="auto" w:fill="FFFFFF"/>
        </w:rPr>
        <w:t>(92): 75141-75144.</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Sapawe, N. (2015). Hybridization of zirconia, zinc and iron supported on HY zeolite as a solar-based catalyst for the rapid decolorization of various dyes. </w:t>
      </w:r>
      <w:r w:rsidRPr="00834310">
        <w:rPr>
          <w:rFonts w:ascii="Times New Roman" w:hAnsi="Times New Roman"/>
          <w:i/>
          <w:sz w:val="20"/>
          <w:szCs w:val="20"/>
          <w:shd w:val="clear" w:color="auto" w:fill="FFFFFF"/>
        </w:rPr>
        <w:t>New Journal of Chemistry</w:t>
      </w:r>
      <w:r w:rsidRPr="00834310">
        <w:rPr>
          <w:rFonts w:ascii="Times New Roman" w:hAnsi="Times New Roman"/>
          <w:sz w:val="20"/>
          <w:szCs w:val="20"/>
          <w:shd w:val="clear" w:color="auto" w:fill="FFFFFF"/>
        </w:rPr>
        <w:t>, 3</w:t>
      </w:r>
      <w:r w:rsidRPr="00834310">
        <w:rPr>
          <w:rFonts w:ascii="Times New Roman" w:hAnsi="Times New Roman"/>
          <w:iCs/>
          <w:sz w:val="20"/>
          <w:szCs w:val="20"/>
          <w:shd w:val="clear" w:color="auto" w:fill="FFFFFF"/>
        </w:rPr>
        <w:t>9</w:t>
      </w:r>
      <w:r w:rsidRPr="00834310">
        <w:rPr>
          <w:rFonts w:ascii="Times New Roman" w:hAnsi="Times New Roman"/>
          <w:sz w:val="20"/>
          <w:szCs w:val="20"/>
          <w:shd w:val="clear" w:color="auto" w:fill="FFFFFF"/>
        </w:rPr>
        <w:t>(6): 4526-4533.</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Sapawe, N. (2015). Effective solar-based iron oxide supported HY zeolite catalyst for the decolorization of organic and simulated dyes. </w:t>
      </w:r>
      <w:r w:rsidRPr="00834310">
        <w:rPr>
          <w:rFonts w:ascii="Times New Roman" w:hAnsi="Times New Roman"/>
          <w:i/>
          <w:sz w:val="20"/>
          <w:szCs w:val="20"/>
          <w:shd w:val="clear" w:color="auto" w:fill="FFFFFF"/>
        </w:rPr>
        <w:t>New Journal of Chemistry</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39</w:t>
      </w:r>
      <w:r w:rsidRPr="00834310">
        <w:rPr>
          <w:rFonts w:ascii="Times New Roman" w:hAnsi="Times New Roman"/>
          <w:sz w:val="20"/>
          <w:szCs w:val="20"/>
          <w:shd w:val="clear" w:color="auto" w:fill="FFFFFF"/>
        </w:rPr>
        <w:t>(8): 6377-6387.</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Purkait, M. K., Maiti, A., Das Gupta, S. and De, S. (2007). Removal of Congo Red using activated carbon and its regeneration. </w:t>
      </w:r>
      <w:r w:rsidRPr="00834310">
        <w:rPr>
          <w:rFonts w:ascii="Times New Roman" w:hAnsi="Times New Roman"/>
          <w:i/>
          <w:iCs/>
          <w:sz w:val="20"/>
          <w:szCs w:val="20"/>
        </w:rPr>
        <w:t>Journal Hazardous Materials</w:t>
      </w:r>
      <w:r w:rsidRPr="00834310">
        <w:rPr>
          <w:rFonts w:ascii="Times New Roman" w:hAnsi="Times New Roman"/>
          <w:sz w:val="20"/>
          <w:szCs w:val="20"/>
        </w:rPr>
        <w:t>, 145: 287-295.</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Grzechulska, J. and Morawski, A.W. (2002). Photocatalytic decomposition of azo-dye acid black 1 in water over modified titanium dioxide. </w:t>
      </w:r>
      <w:r w:rsidRPr="00834310">
        <w:rPr>
          <w:rFonts w:ascii="Times New Roman" w:hAnsi="Times New Roman"/>
          <w:i/>
          <w:iCs/>
          <w:sz w:val="20"/>
          <w:szCs w:val="20"/>
        </w:rPr>
        <w:t>Applied Catalysis B: Environmental</w:t>
      </w:r>
      <w:r w:rsidRPr="00834310">
        <w:rPr>
          <w:rFonts w:ascii="Times New Roman" w:hAnsi="Times New Roman"/>
          <w:sz w:val="20"/>
          <w:szCs w:val="20"/>
        </w:rPr>
        <w:t>, 36: 45-51.</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Bokare, A. D., Chikate, R. C., Rode, C. V. and Paknikar, K. M.  (2008). Iron-nickel bimetallic nanopartilcles for reductive degradation of azo dye Orange G in aqueous solution, </w:t>
      </w:r>
      <w:r w:rsidRPr="00834310">
        <w:rPr>
          <w:rFonts w:ascii="Times New Roman" w:hAnsi="Times New Roman"/>
          <w:i/>
          <w:iCs/>
          <w:sz w:val="20"/>
          <w:szCs w:val="20"/>
        </w:rPr>
        <w:t>Applied Catalysis B: Environmental</w:t>
      </w:r>
      <w:r w:rsidRPr="00834310">
        <w:rPr>
          <w:rFonts w:ascii="Times New Roman" w:hAnsi="Times New Roman"/>
          <w:sz w:val="20"/>
          <w:szCs w:val="20"/>
        </w:rPr>
        <w:t>, 79: 270-278.</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Wang, C.C., Lee, C.K., Lyu, M.D., &amp; Juang, L.C (2008). Photocatalytic degradation of C.I. basic violet 10 using TiO</w:t>
      </w:r>
      <w:r w:rsidRPr="00834310">
        <w:rPr>
          <w:rFonts w:ascii="Times New Roman" w:hAnsi="Times New Roman"/>
          <w:sz w:val="20"/>
          <w:szCs w:val="20"/>
          <w:vertAlign w:val="subscript"/>
        </w:rPr>
        <w:t>2</w:t>
      </w:r>
      <w:r w:rsidRPr="00834310">
        <w:rPr>
          <w:rFonts w:ascii="Times New Roman" w:hAnsi="Times New Roman"/>
          <w:sz w:val="20"/>
          <w:szCs w:val="20"/>
        </w:rPr>
        <w:t xml:space="preserve"> catalysts supported by Y zeolite: an investigation of the effects of operational parameters. Dyes Pigments, 76, 817-824.</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Sapawe, N., Jalil, A. A. and Triwahyono, S. (2013). One-pot electro-synthesis of ZrO</w:t>
      </w:r>
      <w:r w:rsidRPr="00834310">
        <w:rPr>
          <w:rFonts w:ascii="Times New Roman" w:hAnsi="Times New Roman"/>
          <w:sz w:val="20"/>
          <w:szCs w:val="20"/>
          <w:vertAlign w:val="subscript"/>
        </w:rPr>
        <w:t>2</w:t>
      </w:r>
      <w:r w:rsidRPr="00834310">
        <w:rPr>
          <w:rFonts w:ascii="Times New Roman" w:hAnsi="Times New Roman"/>
          <w:sz w:val="20"/>
          <w:szCs w:val="20"/>
        </w:rPr>
        <w:t xml:space="preserve">–ZnO/HY nanocomposite for photocatalytic decolorization of various dye-contaminants. </w:t>
      </w:r>
      <w:r w:rsidRPr="00834310">
        <w:rPr>
          <w:rFonts w:ascii="Times New Roman" w:hAnsi="Times New Roman"/>
          <w:i/>
          <w:iCs/>
          <w:sz w:val="20"/>
          <w:szCs w:val="20"/>
        </w:rPr>
        <w:t>Chemical Engineering Journal</w:t>
      </w:r>
      <w:r w:rsidRPr="00834310">
        <w:rPr>
          <w:rFonts w:ascii="Times New Roman" w:hAnsi="Times New Roman"/>
          <w:sz w:val="20"/>
          <w:szCs w:val="20"/>
        </w:rPr>
        <w:t>, 225: 254-265.</w:t>
      </w:r>
    </w:p>
    <w:p w:rsidR="00834310" w:rsidRPr="00834310" w:rsidRDefault="00834310" w:rsidP="00834310">
      <w:pPr>
        <w:pStyle w:val="ListParagraph"/>
        <w:numPr>
          <w:ilvl w:val="0"/>
          <w:numId w:val="2"/>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Sun, J., Wang, X., Sun, J., Sun, R. and Qiao, L. (2006). Photocatalytic degradation and kinetic of Orange G using nano-sizes Sn(IV)/TiO</w:t>
      </w:r>
      <w:r w:rsidRPr="00834310">
        <w:rPr>
          <w:rFonts w:ascii="Times New Roman" w:hAnsi="Times New Roman"/>
          <w:sz w:val="20"/>
          <w:szCs w:val="20"/>
          <w:vertAlign w:val="subscript"/>
        </w:rPr>
        <w:t>2</w:t>
      </w:r>
      <w:r w:rsidRPr="00834310">
        <w:rPr>
          <w:rFonts w:ascii="Times New Roman" w:hAnsi="Times New Roman"/>
          <w:sz w:val="20"/>
          <w:szCs w:val="20"/>
        </w:rPr>
        <w:t xml:space="preserve">/AC photocatalyst. </w:t>
      </w:r>
      <w:r w:rsidRPr="00834310">
        <w:rPr>
          <w:rFonts w:ascii="Times New Roman" w:hAnsi="Times New Roman"/>
          <w:i/>
          <w:iCs/>
          <w:sz w:val="20"/>
          <w:szCs w:val="20"/>
        </w:rPr>
        <w:t>Journal Molecules Catalysis A: Chemical</w:t>
      </w:r>
      <w:r w:rsidRPr="00834310">
        <w:rPr>
          <w:rFonts w:ascii="Times New Roman" w:hAnsi="Times New Roman"/>
          <w:sz w:val="20"/>
          <w:szCs w:val="20"/>
        </w:rPr>
        <w:t>, 260: 241-246.</w:t>
      </w:r>
    </w:p>
    <w:p w:rsidR="00A74A7E" w:rsidRPr="007A738C" w:rsidRDefault="00A74A7E" w:rsidP="00834310">
      <w:pPr>
        <w:spacing w:after="0" w:line="240" w:lineRule="auto"/>
        <w:jc w:val="both"/>
        <w:rPr>
          <w:rFonts w:ascii="Times New Roman" w:hAnsi="Times New Roman"/>
          <w:noProof/>
          <w:lang w:bidi="ar-SA"/>
        </w:rPr>
      </w:pPr>
    </w:p>
    <w:sectPr w:rsidR="00A74A7E" w:rsidRPr="007A738C" w:rsidSect="000137E3">
      <w:headerReference w:type="even" r:id="rId20"/>
      <w:headerReference w:type="default" r:id="rId21"/>
      <w:footerReference w:type="even" r:id="rId22"/>
      <w:footerReference w:type="default" r:id="rId23"/>
      <w:headerReference w:type="first" r:id="rId24"/>
      <w:pgSz w:w="12240" w:h="15840" w:code="1"/>
      <w:pgMar w:top="1800" w:right="1469" w:bottom="1699" w:left="1440" w:header="706" w:footer="706" w:gutter="0"/>
      <w:pgNumType w:start="26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2C7" w:rsidRDefault="008B02C7" w:rsidP="00FB4C59">
      <w:pPr>
        <w:spacing w:after="0" w:line="240" w:lineRule="auto"/>
      </w:pPr>
      <w:r>
        <w:separator/>
      </w:r>
    </w:p>
  </w:endnote>
  <w:endnote w:type="continuationSeparator" w:id="0">
    <w:p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7C3D02">
      <w:rPr>
        <w:rFonts w:ascii="Times New Roman" w:hAnsi="Times New Roman"/>
        <w:noProof/>
      </w:rPr>
      <w:t>266</w:t>
    </w:r>
    <w:r w:rsidRPr="00C0756D">
      <w:rPr>
        <w:rFonts w:ascii="Times New Roman" w:hAnsi="Times New Roman"/>
        <w:noProof/>
      </w:rPr>
      <w:fldChar w:fldCharType="end"/>
    </w:r>
  </w:p>
  <w:p w:rsidR="00C0756D" w:rsidRPr="00C0756D" w:rsidRDefault="00C0756D">
    <w:pPr>
      <w:pStyle w:val="Footer"/>
      <w:jc w:val="right"/>
      <w:rPr>
        <w:rFonts w:ascii="Times New Roman" w:hAnsi="Times New Roman"/>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3D33DD">
      <w:rPr>
        <w:rFonts w:ascii="Times New Roman" w:hAnsi="Times New Roman"/>
        <w:noProof/>
      </w:rPr>
      <w:t>267</w:t>
    </w:r>
    <w:r w:rsidRPr="00C0756D">
      <w:rPr>
        <w:rFonts w:ascii="Times New Roman" w:hAnsi="Times New Roman"/>
        <w:noProof/>
      </w:rPr>
      <w:fldChar w:fldCharType="end"/>
    </w:r>
  </w:p>
  <w:p w:rsidR="00C0756D" w:rsidRPr="00C0756D" w:rsidRDefault="00C0756D">
    <w:pPr>
      <w:pStyle w:val="Footer"/>
      <w:rPr>
        <w:rFonts w:ascii="Times New Roman" w:hAnsi="Times New Roman"/>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2C7" w:rsidRDefault="008B02C7" w:rsidP="00FB4C59">
      <w:pPr>
        <w:spacing w:after="0" w:line="240" w:lineRule="auto"/>
      </w:pPr>
      <w:r>
        <w:separator/>
      </w:r>
    </w:p>
  </w:footnote>
  <w:footnote w:type="continuationSeparator" w:id="0">
    <w:p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735444">
      <w:rPr>
        <w:rFonts w:ascii="Times New Roman" w:hAnsi="Times New Roman"/>
        <w:i/>
        <w:lang w:val="en-US"/>
      </w:rPr>
      <w:t>No 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0137E3">
      <w:rPr>
        <w:rFonts w:ascii="Times New Roman" w:hAnsi="Times New Roman"/>
        <w:i/>
        <w:lang w:val="en-US"/>
      </w:rPr>
      <w:t>266</w:t>
    </w:r>
    <w:r w:rsidR="004B43FF">
      <w:rPr>
        <w:rFonts w:ascii="Times New Roman" w:hAnsi="Times New Roman"/>
        <w:i/>
        <w:lang w:val="en-US"/>
      </w:rPr>
      <w:t xml:space="preserve"> </w:t>
    </w:r>
    <w:r w:rsidR="00583C85">
      <w:rPr>
        <w:rFonts w:ascii="Times New Roman" w:hAnsi="Times New Roman"/>
        <w:i/>
        <w:lang w:val="en-US"/>
      </w:rPr>
      <w:t>-</w:t>
    </w:r>
    <w:r w:rsidR="000137E3">
      <w:rPr>
        <w:rFonts w:ascii="Times New Roman" w:hAnsi="Times New Roman"/>
        <w:i/>
        <w:lang w:val="en-US"/>
      </w:rPr>
      <w:t xml:space="preserve"> 275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B42" w:rsidRPr="00687B42" w:rsidRDefault="00067F2A" w:rsidP="00067F2A">
    <w:pPr>
      <w:spacing w:after="0" w:line="240" w:lineRule="auto"/>
      <w:ind w:left="2160" w:hanging="2160"/>
      <w:outlineLvl w:val="0"/>
      <w:rPr>
        <w:rFonts w:ascii="Times New Roman" w:hAnsi="Times New Roman"/>
        <w:sz w:val="20"/>
        <w:szCs w:val="20"/>
      </w:rPr>
    </w:pPr>
    <w:r>
      <w:rPr>
        <w:rFonts w:ascii="Times New Roman" w:hAnsi="Times New Roman"/>
        <w:sz w:val="20"/>
        <w:szCs w:val="20"/>
      </w:rPr>
      <w:t>Muhammad Farhan et al</w:t>
    </w:r>
    <w:r w:rsidR="008E6968" w:rsidRPr="00687B42">
      <w:rPr>
        <w:rFonts w:ascii="Times New Roman" w:hAnsi="Times New Roman"/>
        <w:sz w:val="20"/>
        <w:szCs w:val="20"/>
      </w:rPr>
      <w:t xml:space="preserve">:  </w:t>
    </w:r>
    <w:r w:rsidR="002752F0" w:rsidRPr="00687B42">
      <w:rPr>
        <w:rFonts w:ascii="Times New Roman" w:hAnsi="Times New Roman"/>
        <w:sz w:val="20"/>
        <w:szCs w:val="20"/>
      </w:rPr>
      <w:t xml:space="preserve"> </w:t>
    </w:r>
    <w:r w:rsidR="00687B42" w:rsidRPr="00687B42">
      <w:rPr>
        <w:rFonts w:ascii="Times New Roman" w:hAnsi="Times New Roman"/>
        <w:sz w:val="20"/>
        <w:szCs w:val="20"/>
      </w:rPr>
      <w:t>ELECTROSYNTHESIS OF SILVER OXIDE DEPOSITED ONTO HOT SPRING MUD WITH ENHANCED DEGRADATION OF CONGO RED</w:t>
    </w:r>
  </w:p>
  <w:p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A83" w:rsidRDefault="006E6A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7F53795"/>
    <w:multiLevelType w:val="hybridMultilevel"/>
    <w:tmpl w:val="0920556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37E3"/>
    <w:rsid w:val="00016385"/>
    <w:rsid w:val="00022C54"/>
    <w:rsid w:val="00067F2A"/>
    <w:rsid w:val="00070690"/>
    <w:rsid w:val="00077022"/>
    <w:rsid w:val="00084936"/>
    <w:rsid w:val="000B28CE"/>
    <w:rsid w:val="000C49FF"/>
    <w:rsid w:val="000C5261"/>
    <w:rsid w:val="000E5AF1"/>
    <w:rsid w:val="000F77DA"/>
    <w:rsid w:val="001068E8"/>
    <w:rsid w:val="00117BCD"/>
    <w:rsid w:val="001D035A"/>
    <w:rsid w:val="001D3855"/>
    <w:rsid w:val="001D6F2C"/>
    <w:rsid w:val="001F72B9"/>
    <w:rsid w:val="002004F5"/>
    <w:rsid w:val="00221D39"/>
    <w:rsid w:val="0022751F"/>
    <w:rsid w:val="002752F0"/>
    <w:rsid w:val="002867F0"/>
    <w:rsid w:val="0029079C"/>
    <w:rsid w:val="002A7FC9"/>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33DD"/>
    <w:rsid w:val="003D585B"/>
    <w:rsid w:val="003E7DA6"/>
    <w:rsid w:val="003F12FF"/>
    <w:rsid w:val="00420074"/>
    <w:rsid w:val="004760D4"/>
    <w:rsid w:val="0049465C"/>
    <w:rsid w:val="00494C46"/>
    <w:rsid w:val="004A12DD"/>
    <w:rsid w:val="004B43FF"/>
    <w:rsid w:val="00502641"/>
    <w:rsid w:val="00534441"/>
    <w:rsid w:val="00545363"/>
    <w:rsid w:val="00567D9E"/>
    <w:rsid w:val="00583C85"/>
    <w:rsid w:val="00584156"/>
    <w:rsid w:val="005C6768"/>
    <w:rsid w:val="00624C7C"/>
    <w:rsid w:val="00634C25"/>
    <w:rsid w:val="006416AB"/>
    <w:rsid w:val="00672075"/>
    <w:rsid w:val="006768E9"/>
    <w:rsid w:val="00687982"/>
    <w:rsid w:val="00687B42"/>
    <w:rsid w:val="00695D0E"/>
    <w:rsid w:val="006A3A0F"/>
    <w:rsid w:val="006A40FE"/>
    <w:rsid w:val="006B3EC8"/>
    <w:rsid w:val="006D695E"/>
    <w:rsid w:val="006E6A83"/>
    <w:rsid w:val="00725A6A"/>
    <w:rsid w:val="00730CB3"/>
    <w:rsid w:val="00735444"/>
    <w:rsid w:val="007703FE"/>
    <w:rsid w:val="007859BE"/>
    <w:rsid w:val="007943F3"/>
    <w:rsid w:val="007A738C"/>
    <w:rsid w:val="007B1349"/>
    <w:rsid w:val="007C3D02"/>
    <w:rsid w:val="007E25BD"/>
    <w:rsid w:val="007F4ECC"/>
    <w:rsid w:val="00801E18"/>
    <w:rsid w:val="00802C35"/>
    <w:rsid w:val="0082181A"/>
    <w:rsid w:val="00834310"/>
    <w:rsid w:val="0086622B"/>
    <w:rsid w:val="008B02C7"/>
    <w:rsid w:val="008B470E"/>
    <w:rsid w:val="008C14D6"/>
    <w:rsid w:val="008E1211"/>
    <w:rsid w:val="008E5BBF"/>
    <w:rsid w:val="008E6968"/>
    <w:rsid w:val="008F2DC2"/>
    <w:rsid w:val="009110FB"/>
    <w:rsid w:val="00917637"/>
    <w:rsid w:val="00992776"/>
    <w:rsid w:val="00994D06"/>
    <w:rsid w:val="00A14DB9"/>
    <w:rsid w:val="00A4762A"/>
    <w:rsid w:val="00A74A7E"/>
    <w:rsid w:val="00A81947"/>
    <w:rsid w:val="00A830E9"/>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80273"/>
    <w:rsid w:val="00C850B0"/>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A02B1"/>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C850B0"/>
    <w:rPr>
      <w:color w:val="0000FF" w:themeColor="hyperlink"/>
      <w:u w:val="single"/>
    </w:rPr>
  </w:style>
  <w:style w:type="table" w:styleId="TableGrid">
    <w:name w:val="Table Grid"/>
    <w:basedOn w:val="TableNormal"/>
    <w:uiPriority w:val="59"/>
    <w:rsid w:val="00C850B0"/>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C850B0"/>
    <w:rPr>
      <w:color w:val="0000FF" w:themeColor="hyperlink"/>
      <w:u w:val="single"/>
    </w:rPr>
  </w:style>
  <w:style w:type="table" w:styleId="TableGrid">
    <w:name w:val="Table Grid"/>
    <w:basedOn w:val="TableNormal"/>
    <w:uiPriority w:val="59"/>
    <w:rsid w:val="00C850B0"/>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yperlink" Target="javascript:void(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hyperlink" Target="javascript:void(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BFFC8-E6D9-476E-B290-3878D4B7E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3939</Words>
  <Characters>21586</Characters>
  <Application>Microsoft Office Word</Application>
  <DocSecurity>0</DocSecurity>
  <Lines>372</Lines>
  <Paragraphs>150</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25375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17</cp:revision>
  <cp:lastPrinted>2020-04-02T07:36:00Z</cp:lastPrinted>
  <dcterms:created xsi:type="dcterms:W3CDTF">2020-03-30T05:13:00Z</dcterms:created>
  <dcterms:modified xsi:type="dcterms:W3CDTF">2020-04-02T07:44:00Z</dcterms:modified>
</cp:coreProperties>
</file>