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9">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rsidR="009B0F4A" w:rsidRPr="00F447A7" w:rsidRDefault="009B0F4A" w:rsidP="009B0F4A">
      <w:pPr>
        <w:spacing w:after="0" w:line="240" w:lineRule="auto"/>
        <w:jc w:val="center"/>
        <w:rPr>
          <w:rFonts w:ascii="Times New Roman" w:hAnsi="Times New Roman"/>
          <w:noProof/>
          <w:sz w:val="20"/>
          <w:szCs w:val="20"/>
          <w:lang w:bidi="ar-SA"/>
        </w:rPr>
      </w:pPr>
    </w:p>
    <w:p w:rsidR="00E36E1D" w:rsidRPr="00E36E1D" w:rsidRDefault="00E36E1D" w:rsidP="00E36E1D">
      <w:pPr>
        <w:keepNext/>
        <w:suppressAutoHyphens/>
        <w:spacing w:after="0" w:line="240" w:lineRule="auto"/>
        <w:ind w:right="2"/>
        <w:jc w:val="center"/>
        <w:rPr>
          <w:rFonts w:ascii="Times New Roman" w:hAnsi="Times New Roman"/>
          <w:sz w:val="28"/>
        </w:rPr>
      </w:pPr>
      <w:r w:rsidRPr="00E36E1D">
        <w:rPr>
          <w:rFonts w:ascii="Times New Roman" w:hAnsi="Times New Roman"/>
          <w:sz w:val="28"/>
        </w:rPr>
        <w:t>VORTEX-ASSISTED SUPRAMOLECULAR-BASED DISPERSIVE LIQUID PHASE MICROEXTRACTION FOR SPECTROPHOTOMETRIC DETERMINATION OF RHODAMINE B IN CHILI POWDER</w:t>
      </w:r>
    </w:p>
    <w:p w:rsidR="00E36E1D" w:rsidRPr="00E36E1D" w:rsidRDefault="00E36E1D" w:rsidP="00E36E1D">
      <w:pPr>
        <w:keepNext/>
        <w:suppressAutoHyphens/>
        <w:spacing w:after="0" w:line="240" w:lineRule="auto"/>
        <w:ind w:right="2"/>
        <w:jc w:val="center"/>
        <w:rPr>
          <w:rFonts w:ascii="Times New Roman" w:hAnsi="Times New Roman"/>
          <w:sz w:val="24"/>
          <w:szCs w:val="24"/>
        </w:rPr>
      </w:pPr>
    </w:p>
    <w:p w:rsidR="00E36E1D" w:rsidRPr="00E36E1D" w:rsidRDefault="00E36E1D" w:rsidP="00E36E1D">
      <w:pPr>
        <w:keepNext/>
        <w:suppressAutoHyphens/>
        <w:spacing w:after="0" w:line="240" w:lineRule="auto"/>
        <w:ind w:right="2"/>
        <w:jc w:val="center"/>
        <w:rPr>
          <w:rFonts w:ascii="Times New Roman" w:hAnsi="Times New Roman"/>
          <w:sz w:val="24"/>
        </w:rPr>
      </w:pPr>
      <w:r w:rsidRPr="00E36E1D">
        <w:rPr>
          <w:rFonts w:ascii="Times New Roman" w:hAnsi="Times New Roman"/>
          <w:b/>
          <w:sz w:val="24"/>
        </w:rPr>
        <w:t>(</w:t>
      </w:r>
      <w:r w:rsidRPr="00E36E1D">
        <w:rPr>
          <w:rFonts w:ascii="Times New Roman" w:hAnsi="Times New Roman"/>
          <w:noProof/>
          <w:sz w:val="24"/>
        </w:rPr>
        <w:t>Supramolekul Berasaskan Serakan Cecair Fasa Pengekstrakan Mikro Berbantu-Vorteks untuk Penentuan Spektrofotometrik Rhodamin B dalam Serbuk Cili</w:t>
      </w:r>
      <w:r w:rsidRPr="00E36E1D">
        <w:rPr>
          <w:rFonts w:ascii="Times New Roman" w:hAnsi="Times New Roman"/>
          <w:sz w:val="24"/>
        </w:rPr>
        <w:t>)</w:t>
      </w:r>
    </w:p>
    <w:p w:rsidR="00E36E1D" w:rsidRPr="00E36E1D" w:rsidRDefault="00E36E1D" w:rsidP="00E36E1D">
      <w:pPr>
        <w:keepNext/>
        <w:suppressAutoHyphens/>
        <w:spacing w:after="0" w:line="240" w:lineRule="auto"/>
        <w:ind w:right="2"/>
        <w:jc w:val="center"/>
        <w:rPr>
          <w:rFonts w:ascii="Times New Roman" w:hAnsi="Times New Roman"/>
          <w:sz w:val="20"/>
          <w:szCs w:val="20"/>
        </w:rPr>
      </w:pPr>
    </w:p>
    <w:p w:rsidR="00E36E1D" w:rsidRPr="00E36E1D" w:rsidRDefault="00E36E1D" w:rsidP="00E36E1D">
      <w:pPr>
        <w:keepNext/>
        <w:suppressAutoHyphens/>
        <w:spacing w:after="0" w:line="240" w:lineRule="auto"/>
        <w:ind w:right="2"/>
        <w:jc w:val="center"/>
        <w:rPr>
          <w:rFonts w:ascii="Times New Roman" w:eastAsia="SimSun" w:hAnsi="Times New Roman"/>
          <w:noProof/>
          <w:sz w:val="20"/>
          <w:szCs w:val="20"/>
          <w:lang w:val="en-GB"/>
        </w:rPr>
      </w:pPr>
      <w:r w:rsidRPr="00E36E1D">
        <w:rPr>
          <w:rFonts w:ascii="Times New Roman" w:eastAsia="SimSun" w:hAnsi="Times New Roman"/>
          <w:noProof/>
          <w:sz w:val="20"/>
          <w:szCs w:val="20"/>
        </w:rPr>
        <w:t>Renitha Harikrishnan</w:t>
      </w:r>
      <w:r w:rsidRPr="00E36E1D">
        <w:rPr>
          <w:rFonts w:ascii="Times New Roman" w:eastAsia="SimSun" w:hAnsi="Times New Roman"/>
          <w:noProof/>
          <w:sz w:val="20"/>
          <w:szCs w:val="20"/>
          <w:vertAlign w:val="superscript"/>
        </w:rPr>
        <w:t>1</w:t>
      </w:r>
      <w:r w:rsidRPr="00E36E1D">
        <w:rPr>
          <w:rFonts w:ascii="Times New Roman" w:eastAsia="SimSun" w:hAnsi="Times New Roman"/>
          <w:noProof/>
          <w:sz w:val="20"/>
          <w:szCs w:val="20"/>
        </w:rPr>
        <w:t>, Kavisha Sundraraj</w:t>
      </w:r>
      <w:r w:rsidRPr="00E36E1D">
        <w:rPr>
          <w:rFonts w:ascii="Times New Roman" w:eastAsia="SimSun" w:hAnsi="Times New Roman"/>
          <w:noProof/>
          <w:sz w:val="20"/>
          <w:szCs w:val="20"/>
          <w:vertAlign w:val="superscript"/>
        </w:rPr>
        <w:t>2</w:t>
      </w:r>
      <w:r w:rsidRPr="00E36E1D">
        <w:rPr>
          <w:rFonts w:ascii="Times New Roman" w:eastAsia="SimSun" w:hAnsi="Times New Roman"/>
          <w:noProof/>
          <w:sz w:val="20"/>
          <w:szCs w:val="20"/>
        </w:rPr>
        <w:t>, Boon Yih Hui</w:t>
      </w:r>
      <w:r w:rsidRPr="00E36E1D">
        <w:rPr>
          <w:rFonts w:ascii="Times New Roman" w:eastAsia="SimSun" w:hAnsi="Times New Roman"/>
          <w:noProof/>
          <w:sz w:val="20"/>
          <w:szCs w:val="20"/>
          <w:vertAlign w:val="superscript"/>
        </w:rPr>
        <w:t>3</w:t>
      </w:r>
      <w:r w:rsidRPr="00E36E1D">
        <w:rPr>
          <w:rFonts w:ascii="Times New Roman" w:eastAsia="SimSun" w:hAnsi="Times New Roman"/>
          <w:noProof/>
          <w:sz w:val="20"/>
          <w:szCs w:val="20"/>
          <w:lang w:val="en-GB"/>
        </w:rPr>
        <w:t>, Nur Nadhirah Mohamad Zain</w:t>
      </w:r>
      <w:r w:rsidRPr="00E36E1D">
        <w:rPr>
          <w:rFonts w:ascii="Times New Roman" w:eastAsia="SimSun" w:hAnsi="Times New Roman"/>
          <w:noProof/>
          <w:sz w:val="20"/>
          <w:szCs w:val="20"/>
          <w:vertAlign w:val="superscript"/>
          <w:lang w:val="en-GB"/>
        </w:rPr>
        <w:t>3</w:t>
      </w:r>
      <w:r w:rsidRPr="00E36E1D">
        <w:rPr>
          <w:rFonts w:ascii="Times New Roman" w:eastAsia="SimSun" w:hAnsi="Times New Roman"/>
          <w:noProof/>
          <w:sz w:val="20"/>
          <w:szCs w:val="20"/>
          <w:lang w:val="en-GB"/>
        </w:rPr>
        <w:t>, Noorfatimah Yahaya</w:t>
      </w:r>
      <w:r w:rsidRPr="00E36E1D">
        <w:rPr>
          <w:rFonts w:ascii="Times New Roman" w:eastAsia="SimSun" w:hAnsi="Times New Roman"/>
          <w:noProof/>
          <w:sz w:val="20"/>
          <w:szCs w:val="20"/>
          <w:vertAlign w:val="superscript"/>
          <w:lang w:val="en-GB"/>
        </w:rPr>
        <w:t>3</w:t>
      </w:r>
      <w:r w:rsidRPr="00E36E1D">
        <w:rPr>
          <w:rFonts w:ascii="Times New Roman" w:eastAsia="SimSun" w:hAnsi="Times New Roman"/>
          <w:noProof/>
          <w:sz w:val="20"/>
          <w:szCs w:val="20"/>
          <w:lang w:val="en-GB"/>
        </w:rPr>
        <w:t>, Kavirajaa Pandian Sambasevam</w:t>
      </w:r>
      <w:r w:rsidRPr="00E36E1D">
        <w:rPr>
          <w:rFonts w:ascii="Times New Roman" w:eastAsia="SimSun" w:hAnsi="Times New Roman"/>
          <w:noProof/>
          <w:sz w:val="20"/>
          <w:szCs w:val="20"/>
          <w:vertAlign w:val="superscript"/>
          <w:lang w:val="en-GB"/>
        </w:rPr>
        <w:t>4</w:t>
      </w:r>
      <w:r w:rsidRPr="00E36E1D">
        <w:rPr>
          <w:rFonts w:ascii="Times New Roman" w:eastAsia="SimSun" w:hAnsi="Times New Roman"/>
          <w:noProof/>
          <w:sz w:val="20"/>
          <w:szCs w:val="20"/>
          <w:lang w:val="en-GB"/>
        </w:rPr>
        <w:t>,</w:t>
      </w:r>
      <w:r w:rsidRPr="00E36E1D">
        <w:rPr>
          <w:rFonts w:ascii="Times New Roman" w:hAnsi="Times New Roman"/>
          <w:sz w:val="20"/>
          <w:szCs w:val="20"/>
        </w:rPr>
        <w:t xml:space="preserve"> </w:t>
      </w:r>
      <w:r w:rsidRPr="00E36E1D">
        <w:rPr>
          <w:rFonts w:ascii="Times New Roman" w:eastAsia="SimSun" w:hAnsi="Times New Roman"/>
          <w:noProof/>
          <w:sz w:val="20"/>
          <w:szCs w:val="20"/>
          <w:lang w:val="en-GB"/>
        </w:rPr>
        <w:t>Sharifah Mohamad</w:t>
      </w:r>
      <w:r w:rsidRPr="00E36E1D">
        <w:rPr>
          <w:rFonts w:ascii="Times New Roman" w:eastAsia="SimSun" w:hAnsi="Times New Roman"/>
          <w:noProof/>
          <w:sz w:val="20"/>
          <w:szCs w:val="20"/>
          <w:vertAlign w:val="superscript"/>
          <w:lang w:val="en-GB"/>
        </w:rPr>
        <w:t>5.,6</w:t>
      </w:r>
      <w:r w:rsidRPr="00E36E1D">
        <w:rPr>
          <w:rFonts w:ascii="Times New Roman" w:eastAsia="SimSun" w:hAnsi="Times New Roman"/>
          <w:noProof/>
          <w:sz w:val="20"/>
          <w:szCs w:val="20"/>
          <w:lang w:val="en-GB"/>
        </w:rPr>
        <w:t>, Yatimah Alias</w:t>
      </w:r>
      <w:r w:rsidRPr="00E36E1D">
        <w:rPr>
          <w:rFonts w:ascii="Times New Roman" w:eastAsia="SimSun" w:hAnsi="Times New Roman"/>
          <w:noProof/>
          <w:sz w:val="20"/>
          <w:szCs w:val="20"/>
          <w:vertAlign w:val="superscript"/>
          <w:lang w:val="en-GB"/>
        </w:rPr>
        <w:t>5,6</w:t>
      </w:r>
      <w:r w:rsidRPr="00E36E1D">
        <w:rPr>
          <w:rFonts w:ascii="Times New Roman" w:eastAsia="SimSun" w:hAnsi="Times New Roman"/>
          <w:noProof/>
          <w:sz w:val="20"/>
          <w:szCs w:val="20"/>
          <w:lang w:val="en-GB"/>
        </w:rPr>
        <w:t>,</w:t>
      </w:r>
      <w:r>
        <w:rPr>
          <w:rFonts w:ascii="Times New Roman" w:eastAsia="SimSun" w:hAnsi="Times New Roman"/>
          <w:noProof/>
          <w:sz w:val="20"/>
          <w:szCs w:val="20"/>
          <w:lang w:val="en-GB"/>
        </w:rPr>
        <w:t xml:space="preserve"> </w:t>
      </w:r>
      <w:r w:rsidRPr="00E36E1D">
        <w:rPr>
          <w:rFonts w:ascii="Times New Roman" w:eastAsia="SimSun" w:hAnsi="Times New Roman"/>
          <w:noProof/>
          <w:sz w:val="20"/>
          <w:szCs w:val="20"/>
          <w:lang w:val="en-GB"/>
        </w:rPr>
        <w:t>Muggundha Raoov</w:t>
      </w:r>
      <w:r w:rsidRPr="00E36E1D">
        <w:rPr>
          <w:rFonts w:ascii="Times New Roman" w:eastAsia="SimSun" w:hAnsi="Times New Roman"/>
          <w:noProof/>
          <w:sz w:val="20"/>
          <w:szCs w:val="20"/>
          <w:vertAlign w:val="superscript"/>
          <w:lang w:val="en-GB"/>
        </w:rPr>
        <w:t>5,6</w:t>
      </w:r>
      <w:r w:rsidRPr="00E36E1D">
        <w:rPr>
          <w:rFonts w:ascii="Times New Roman" w:eastAsia="SimSun" w:hAnsi="Times New Roman"/>
          <w:noProof/>
          <w:sz w:val="20"/>
          <w:szCs w:val="20"/>
          <w:lang w:val="en-GB"/>
        </w:rPr>
        <w:t>*</w:t>
      </w:r>
    </w:p>
    <w:p w:rsidR="00E36E1D" w:rsidRPr="00E36E1D" w:rsidRDefault="00E36E1D" w:rsidP="00E36E1D">
      <w:pPr>
        <w:keepNext/>
        <w:suppressAutoHyphens/>
        <w:spacing w:after="0" w:line="240" w:lineRule="auto"/>
        <w:ind w:right="2"/>
        <w:jc w:val="center"/>
        <w:rPr>
          <w:rFonts w:ascii="Times New Roman" w:eastAsia="SimSun" w:hAnsi="Times New Roman"/>
          <w:noProof/>
          <w:sz w:val="24"/>
          <w:szCs w:val="24"/>
          <w:lang w:val="en-GB"/>
        </w:rPr>
      </w:pPr>
    </w:p>
    <w:p w:rsidR="00E36E1D" w:rsidRPr="00E36E1D" w:rsidRDefault="00E36E1D" w:rsidP="00E36E1D">
      <w:pPr>
        <w:suppressAutoHyphens/>
        <w:spacing w:after="0" w:line="240" w:lineRule="auto"/>
        <w:jc w:val="center"/>
        <w:rPr>
          <w:rFonts w:ascii="Times New Roman" w:eastAsia="SimSun" w:hAnsi="Times New Roman"/>
          <w:i/>
          <w:noProof/>
          <w:sz w:val="18"/>
          <w:szCs w:val="18"/>
          <w:lang w:val="en-GB"/>
        </w:rPr>
      </w:pPr>
      <w:r w:rsidRPr="00E36E1D">
        <w:rPr>
          <w:rFonts w:ascii="Times New Roman" w:eastAsia="SimSun" w:hAnsi="Times New Roman"/>
          <w:i/>
          <w:noProof/>
          <w:sz w:val="18"/>
          <w:szCs w:val="18"/>
          <w:vertAlign w:val="superscript"/>
          <w:lang w:val="en-GB"/>
        </w:rPr>
        <w:t>1</w:t>
      </w:r>
      <w:r w:rsidRPr="00E36E1D">
        <w:rPr>
          <w:rFonts w:ascii="Times New Roman" w:eastAsia="SimSun" w:hAnsi="Times New Roman"/>
          <w:i/>
          <w:noProof/>
          <w:sz w:val="18"/>
          <w:szCs w:val="18"/>
          <w:lang w:val="en-GB"/>
        </w:rPr>
        <w:t xml:space="preserve"> School of Distance Education,</w:t>
      </w:r>
    </w:p>
    <w:p w:rsidR="00E36E1D" w:rsidRPr="00E36E1D" w:rsidRDefault="00E36E1D" w:rsidP="00E36E1D">
      <w:pPr>
        <w:suppressAutoHyphens/>
        <w:spacing w:after="0" w:line="240" w:lineRule="auto"/>
        <w:jc w:val="center"/>
        <w:rPr>
          <w:rFonts w:ascii="Times New Roman" w:eastAsia="SimSun" w:hAnsi="Times New Roman"/>
          <w:i/>
          <w:noProof/>
          <w:sz w:val="18"/>
          <w:szCs w:val="18"/>
          <w:lang w:val="en-GB"/>
        </w:rPr>
      </w:pPr>
      <w:r w:rsidRPr="00E36E1D">
        <w:rPr>
          <w:rFonts w:ascii="Times New Roman" w:eastAsia="SimSun" w:hAnsi="Times New Roman"/>
          <w:i/>
          <w:noProof/>
          <w:sz w:val="18"/>
          <w:szCs w:val="18"/>
          <w:lang w:val="en-GB"/>
        </w:rPr>
        <w:t>Universiti Sains Malaysia, 11800, Pulau Pinang, Malaysia</w:t>
      </w:r>
    </w:p>
    <w:p w:rsidR="00E36E1D" w:rsidRDefault="00E36E1D" w:rsidP="00E36E1D">
      <w:pPr>
        <w:suppressAutoHyphens/>
        <w:spacing w:after="0" w:line="240" w:lineRule="auto"/>
        <w:jc w:val="center"/>
        <w:rPr>
          <w:rFonts w:ascii="Times New Roman" w:eastAsia="SimSun" w:hAnsi="Times New Roman"/>
          <w:i/>
          <w:noProof/>
          <w:sz w:val="18"/>
          <w:szCs w:val="18"/>
          <w:lang w:val="en-GB"/>
        </w:rPr>
      </w:pPr>
      <w:r w:rsidRPr="00E36E1D">
        <w:rPr>
          <w:rFonts w:ascii="Times New Roman" w:eastAsia="SimSun" w:hAnsi="Times New Roman"/>
          <w:i/>
          <w:noProof/>
          <w:sz w:val="18"/>
          <w:szCs w:val="18"/>
          <w:vertAlign w:val="superscript"/>
          <w:lang w:val="en-GB"/>
        </w:rPr>
        <w:t>2</w:t>
      </w:r>
      <w:r w:rsidRPr="00E36E1D">
        <w:rPr>
          <w:rFonts w:ascii="Times New Roman" w:eastAsia="SimSun" w:hAnsi="Times New Roman"/>
          <w:i/>
          <w:noProof/>
          <w:sz w:val="18"/>
          <w:szCs w:val="18"/>
          <w:lang w:val="en-GB"/>
        </w:rPr>
        <w:t xml:space="preserve"> Department of Chemical Science, </w:t>
      </w:r>
      <w:r>
        <w:rPr>
          <w:rFonts w:ascii="Times New Roman" w:eastAsia="SimSun" w:hAnsi="Times New Roman"/>
          <w:i/>
          <w:noProof/>
          <w:sz w:val="18"/>
          <w:szCs w:val="18"/>
          <w:lang w:val="en-GB"/>
        </w:rPr>
        <w:t>Faculty of Science,</w:t>
      </w:r>
    </w:p>
    <w:p w:rsidR="00E36E1D" w:rsidRPr="00E36E1D" w:rsidRDefault="00E36E1D" w:rsidP="00E36E1D">
      <w:pPr>
        <w:suppressAutoHyphens/>
        <w:spacing w:after="0" w:line="240" w:lineRule="auto"/>
        <w:jc w:val="center"/>
        <w:rPr>
          <w:rFonts w:ascii="Times New Roman" w:eastAsia="SimSun" w:hAnsi="Times New Roman"/>
          <w:i/>
          <w:noProof/>
          <w:sz w:val="18"/>
          <w:szCs w:val="18"/>
          <w:lang w:val="en-GB"/>
        </w:rPr>
      </w:pPr>
      <w:r w:rsidRPr="00E36E1D">
        <w:rPr>
          <w:rFonts w:ascii="Times New Roman" w:eastAsia="SimSun" w:hAnsi="Times New Roman"/>
          <w:i/>
          <w:noProof/>
          <w:sz w:val="18"/>
          <w:szCs w:val="18"/>
          <w:lang w:val="en-GB"/>
        </w:rPr>
        <w:t>Universiti Tunku Abdul Rahman, Kampar 31900, Malaysia</w:t>
      </w:r>
    </w:p>
    <w:p w:rsidR="00E36E1D" w:rsidRPr="00E36E1D" w:rsidRDefault="00E36E1D" w:rsidP="00E36E1D">
      <w:pPr>
        <w:suppressAutoHyphens/>
        <w:spacing w:after="0" w:line="240" w:lineRule="auto"/>
        <w:jc w:val="center"/>
        <w:rPr>
          <w:rFonts w:ascii="Times New Roman" w:eastAsia="SimSun" w:hAnsi="Times New Roman"/>
          <w:i/>
          <w:noProof/>
          <w:sz w:val="18"/>
          <w:szCs w:val="18"/>
          <w:lang w:val="en-GB"/>
        </w:rPr>
      </w:pPr>
      <w:r>
        <w:rPr>
          <w:rFonts w:ascii="Times New Roman" w:eastAsia="SimSun" w:hAnsi="Times New Roman"/>
          <w:i/>
          <w:noProof/>
          <w:sz w:val="18"/>
          <w:szCs w:val="18"/>
          <w:vertAlign w:val="superscript"/>
          <w:lang w:val="en-GB"/>
        </w:rPr>
        <w:t xml:space="preserve">3 </w:t>
      </w:r>
      <w:r w:rsidRPr="00E36E1D">
        <w:rPr>
          <w:rFonts w:ascii="Times New Roman" w:eastAsia="SimSun" w:hAnsi="Times New Roman"/>
          <w:i/>
          <w:noProof/>
          <w:sz w:val="18"/>
          <w:szCs w:val="18"/>
          <w:lang w:val="en-GB"/>
        </w:rPr>
        <w:t xml:space="preserve">Integrative Medicine Cluster, Advanced Medical &amp; Dental Institute, </w:t>
      </w:r>
    </w:p>
    <w:p w:rsidR="00E36E1D" w:rsidRPr="00E36E1D" w:rsidRDefault="00E36E1D" w:rsidP="00E36E1D">
      <w:pPr>
        <w:suppressAutoHyphens/>
        <w:spacing w:after="0" w:line="240" w:lineRule="auto"/>
        <w:jc w:val="center"/>
        <w:rPr>
          <w:rFonts w:ascii="Times New Roman" w:eastAsia="SimSun" w:hAnsi="Times New Roman"/>
          <w:i/>
          <w:noProof/>
          <w:sz w:val="18"/>
          <w:szCs w:val="18"/>
          <w:lang w:val="en-GB"/>
        </w:rPr>
      </w:pPr>
      <w:r w:rsidRPr="00E36E1D">
        <w:rPr>
          <w:rFonts w:ascii="Times New Roman" w:eastAsia="SimSun" w:hAnsi="Times New Roman"/>
          <w:i/>
          <w:noProof/>
          <w:sz w:val="18"/>
          <w:szCs w:val="18"/>
          <w:lang w:val="en-GB"/>
        </w:rPr>
        <w:t>Universiti Sains Malaysia, Pulau Pinang 13200, Malaysia</w:t>
      </w:r>
    </w:p>
    <w:p w:rsidR="00E36E1D" w:rsidRPr="00E36E1D" w:rsidRDefault="00E36E1D" w:rsidP="00E36E1D">
      <w:pPr>
        <w:suppressAutoHyphens/>
        <w:spacing w:after="0" w:line="240" w:lineRule="auto"/>
        <w:jc w:val="center"/>
        <w:rPr>
          <w:rFonts w:ascii="Times New Roman" w:hAnsi="Times New Roman"/>
          <w:i/>
          <w:sz w:val="18"/>
          <w:szCs w:val="18"/>
        </w:rPr>
      </w:pPr>
      <w:r w:rsidRPr="00E36E1D">
        <w:rPr>
          <w:rFonts w:ascii="Times New Roman" w:hAnsi="Times New Roman"/>
          <w:i/>
          <w:sz w:val="18"/>
          <w:szCs w:val="18"/>
          <w:vertAlign w:val="superscript"/>
          <w:lang w:val="en-GB"/>
        </w:rPr>
        <w:t xml:space="preserve">4 </w:t>
      </w:r>
      <w:r w:rsidRPr="00E36E1D">
        <w:rPr>
          <w:rFonts w:ascii="Times New Roman" w:hAnsi="Times New Roman"/>
          <w:i/>
          <w:sz w:val="18"/>
          <w:szCs w:val="18"/>
        </w:rPr>
        <w:t xml:space="preserve">School of Chemistry and Environment, </w:t>
      </w:r>
    </w:p>
    <w:p w:rsidR="00E36E1D" w:rsidRPr="00E36E1D" w:rsidRDefault="00E36E1D" w:rsidP="00E36E1D">
      <w:pPr>
        <w:suppressAutoHyphens/>
        <w:spacing w:after="0" w:line="240" w:lineRule="auto"/>
        <w:jc w:val="center"/>
        <w:rPr>
          <w:rFonts w:ascii="Times New Roman" w:eastAsia="SimSun" w:hAnsi="Times New Roman"/>
          <w:i/>
          <w:noProof/>
          <w:sz w:val="18"/>
          <w:szCs w:val="18"/>
          <w:lang w:val="en-GB"/>
        </w:rPr>
      </w:pPr>
      <w:r w:rsidRPr="00E36E1D">
        <w:rPr>
          <w:rFonts w:ascii="Times New Roman" w:hAnsi="Times New Roman"/>
          <w:i/>
          <w:sz w:val="18"/>
          <w:szCs w:val="18"/>
        </w:rPr>
        <w:t>Universiti Teknologi MARA, Kuala Pilah, Negeri Sembilan, Malaysia</w:t>
      </w:r>
    </w:p>
    <w:p w:rsidR="00E36E1D" w:rsidRDefault="00E36E1D" w:rsidP="00E36E1D">
      <w:pPr>
        <w:suppressAutoHyphens/>
        <w:spacing w:after="0" w:line="240" w:lineRule="auto"/>
        <w:jc w:val="center"/>
        <w:rPr>
          <w:rFonts w:ascii="Times New Roman" w:eastAsia="SimSun" w:hAnsi="Times New Roman"/>
          <w:i/>
          <w:noProof/>
          <w:sz w:val="18"/>
          <w:szCs w:val="18"/>
          <w:lang w:val="en-GB"/>
        </w:rPr>
      </w:pPr>
      <w:r w:rsidRPr="00E36E1D">
        <w:rPr>
          <w:rFonts w:ascii="Times New Roman" w:eastAsia="SimSun" w:hAnsi="Times New Roman"/>
          <w:i/>
          <w:noProof/>
          <w:sz w:val="18"/>
          <w:szCs w:val="18"/>
          <w:vertAlign w:val="superscript"/>
          <w:lang w:val="en-GB"/>
        </w:rPr>
        <w:t xml:space="preserve">5 </w:t>
      </w:r>
      <w:r w:rsidRPr="00E36E1D">
        <w:rPr>
          <w:rFonts w:ascii="Times New Roman" w:eastAsia="SimSun" w:hAnsi="Times New Roman"/>
          <w:i/>
          <w:noProof/>
          <w:sz w:val="18"/>
          <w:szCs w:val="18"/>
          <w:lang w:val="en-GB"/>
        </w:rPr>
        <w:t>Department of Chemistry,</w:t>
      </w:r>
      <w:r>
        <w:rPr>
          <w:rFonts w:ascii="Times New Roman" w:eastAsia="SimSun" w:hAnsi="Times New Roman"/>
          <w:i/>
          <w:noProof/>
          <w:sz w:val="18"/>
          <w:szCs w:val="18"/>
          <w:lang w:val="en-GB"/>
        </w:rPr>
        <w:t xml:space="preserve"> </w:t>
      </w:r>
      <w:r w:rsidR="008D3551">
        <w:rPr>
          <w:rFonts w:ascii="Times New Roman" w:eastAsia="SimSun" w:hAnsi="Times New Roman"/>
          <w:i/>
          <w:noProof/>
          <w:sz w:val="18"/>
          <w:szCs w:val="18"/>
          <w:lang w:val="en-GB"/>
        </w:rPr>
        <w:t>Faculty of Science</w:t>
      </w:r>
    </w:p>
    <w:p w:rsidR="008D3551" w:rsidRPr="008D3551" w:rsidRDefault="00E36E1D" w:rsidP="008D3551">
      <w:pPr>
        <w:suppressAutoHyphens/>
        <w:spacing w:after="0" w:line="240" w:lineRule="auto"/>
        <w:jc w:val="center"/>
        <w:rPr>
          <w:rFonts w:ascii="Times New Roman" w:eastAsia="SimSun" w:hAnsi="Times New Roman"/>
          <w:i/>
          <w:noProof/>
          <w:sz w:val="18"/>
          <w:szCs w:val="18"/>
          <w:lang w:val="en-GB"/>
        </w:rPr>
      </w:pPr>
      <w:r w:rsidRPr="00E36E1D">
        <w:rPr>
          <w:rFonts w:ascii="Times New Roman" w:eastAsia="SimSun" w:hAnsi="Times New Roman"/>
          <w:i/>
          <w:noProof/>
          <w:sz w:val="18"/>
          <w:szCs w:val="18"/>
          <w:vertAlign w:val="superscript"/>
          <w:lang w:val="en-GB"/>
        </w:rPr>
        <w:t xml:space="preserve">6 </w:t>
      </w:r>
      <w:r w:rsidRPr="00E36E1D">
        <w:rPr>
          <w:rFonts w:ascii="Times New Roman" w:eastAsia="SimSun" w:hAnsi="Times New Roman"/>
          <w:i/>
          <w:noProof/>
          <w:sz w:val="18"/>
          <w:szCs w:val="18"/>
          <w:lang w:val="en-GB"/>
        </w:rPr>
        <w:t>Universiti Malaya Centre for Ionic Liquids (UMCiL), Department o</w:t>
      </w:r>
      <w:r w:rsidR="008D3551">
        <w:rPr>
          <w:rFonts w:ascii="Times New Roman" w:eastAsia="SimSun" w:hAnsi="Times New Roman"/>
          <w:i/>
          <w:noProof/>
          <w:sz w:val="18"/>
          <w:szCs w:val="18"/>
          <w:lang w:val="en-GB"/>
        </w:rPr>
        <w:t>f Chemistry, Faculty of Science</w:t>
      </w:r>
      <w:r w:rsidRPr="00E36E1D">
        <w:rPr>
          <w:rFonts w:ascii="Times New Roman" w:hAnsi="Times New Roman"/>
          <w:i/>
          <w:sz w:val="18"/>
          <w:szCs w:val="18"/>
        </w:rPr>
        <w:t xml:space="preserve"> </w:t>
      </w:r>
    </w:p>
    <w:p w:rsidR="00E36E1D" w:rsidRPr="00E36E1D" w:rsidRDefault="00E36E1D" w:rsidP="00E36E1D">
      <w:pPr>
        <w:suppressAutoHyphens/>
        <w:spacing w:after="0" w:line="240" w:lineRule="auto"/>
        <w:jc w:val="center"/>
        <w:rPr>
          <w:rFonts w:ascii="Times New Roman" w:eastAsia="SimSun" w:hAnsi="Times New Roman"/>
          <w:i/>
          <w:noProof/>
          <w:sz w:val="18"/>
          <w:szCs w:val="18"/>
          <w:lang w:val="en-GB"/>
        </w:rPr>
      </w:pPr>
      <w:r w:rsidRPr="00E36E1D">
        <w:rPr>
          <w:rFonts w:ascii="Times New Roman" w:eastAsia="SimSun" w:hAnsi="Times New Roman"/>
          <w:i/>
          <w:noProof/>
          <w:sz w:val="18"/>
          <w:szCs w:val="18"/>
          <w:lang w:val="en-GB"/>
        </w:rPr>
        <w:t>Universiti Malaya, Kuala Lumpur 50603, Malaysia</w:t>
      </w:r>
    </w:p>
    <w:p w:rsidR="00E36E1D" w:rsidRPr="00E36E1D" w:rsidRDefault="00E36E1D" w:rsidP="00E36E1D">
      <w:pPr>
        <w:suppressAutoHyphens/>
        <w:spacing w:after="0" w:line="240" w:lineRule="auto"/>
        <w:jc w:val="center"/>
        <w:rPr>
          <w:rFonts w:ascii="Times New Roman" w:eastAsia="SimSun" w:hAnsi="Times New Roman"/>
          <w:noProof/>
          <w:sz w:val="18"/>
          <w:szCs w:val="18"/>
          <w:lang w:val="en-GB"/>
        </w:rPr>
      </w:pPr>
    </w:p>
    <w:p w:rsidR="00E36E1D" w:rsidRPr="00E36E1D" w:rsidRDefault="00E36E1D" w:rsidP="00E36E1D">
      <w:pPr>
        <w:pStyle w:val="NoSpacing"/>
        <w:jc w:val="center"/>
        <w:rPr>
          <w:rFonts w:ascii="Times New Roman" w:hAnsi="Times New Roman"/>
          <w:i/>
          <w:sz w:val="18"/>
          <w:szCs w:val="18"/>
        </w:rPr>
      </w:pPr>
      <w:r w:rsidRPr="00E36E1D">
        <w:rPr>
          <w:rFonts w:ascii="Times New Roman" w:hAnsi="Times New Roman"/>
          <w:i/>
          <w:sz w:val="18"/>
          <w:szCs w:val="18"/>
        </w:rPr>
        <w:t>*Corresponding author:</w:t>
      </w:r>
      <w:r w:rsidRPr="00E36E1D">
        <w:rPr>
          <w:rFonts w:ascii="Times New Roman" w:hAnsi="Times New Roman"/>
          <w:sz w:val="18"/>
          <w:szCs w:val="18"/>
        </w:rPr>
        <w:t xml:space="preserve"> </w:t>
      </w:r>
      <w:r>
        <w:rPr>
          <w:rFonts w:ascii="Times New Roman" w:hAnsi="Times New Roman"/>
          <w:sz w:val="18"/>
          <w:szCs w:val="18"/>
        </w:rPr>
        <w:t xml:space="preserve"> </w:t>
      </w:r>
      <w:r w:rsidRPr="00E36E1D">
        <w:rPr>
          <w:rFonts w:ascii="Times New Roman" w:hAnsi="Times New Roman"/>
          <w:i/>
          <w:sz w:val="18"/>
          <w:szCs w:val="18"/>
        </w:rPr>
        <w:t>muggundha@um.edu.my</w:t>
      </w:r>
    </w:p>
    <w:p w:rsidR="006768E9" w:rsidRPr="00F447A7" w:rsidRDefault="006768E9" w:rsidP="00E36E1D">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486EFF">
        <w:rPr>
          <w:rFonts w:ascii="Times New Roman" w:hAnsi="Times New Roman"/>
          <w:noProof/>
          <w:sz w:val="18"/>
          <w:szCs w:val="18"/>
          <w:lang w:bidi="ar-SA"/>
        </w:rPr>
        <w:t>16 December 2019</w:t>
      </w:r>
      <w:r>
        <w:rPr>
          <w:rFonts w:ascii="Times New Roman" w:hAnsi="Times New Roman"/>
          <w:noProof/>
          <w:sz w:val="18"/>
          <w:szCs w:val="18"/>
          <w:lang w:bidi="ar-SA"/>
        </w:rPr>
        <w:t xml:space="preserve">; Accepted: </w:t>
      </w:r>
      <w:r w:rsidR="00486EFF">
        <w:rPr>
          <w:rFonts w:ascii="Times New Roman" w:hAnsi="Times New Roman"/>
          <w:noProof/>
          <w:sz w:val="18"/>
          <w:szCs w:val="18"/>
          <w:lang w:bidi="ar-SA"/>
        </w:rPr>
        <w:t>8 March 2020</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8D3551" w:rsidRDefault="008D3551" w:rsidP="008D3551">
      <w:pPr>
        <w:tabs>
          <w:tab w:val="left" w:pos="1950"/>
        </w:tabs>
        <w:spacing w:after="0" w:line="240" w:lineRule="auto"/>
        <w:jc w:val="both"/>
        <w:rPr>
          <w:rFonts w:ascii="Times New Roman" w:hAnsi="Times New Roman"/>
          <w:sz w:val="18"/>
          <w:szCs w:val="18"/>
        </w:rPr>
      </w:pPr>
      <w:r w:rsidRPr="008D3551">
        <w:rPr>
          <w:rFonts w:ascii="Times New Roman" w:hAnsi="Times New Roman"/>
          <w:sz w:val="18"/>
          <w:szCs w:val="18"/>
        </w:rPr>
        <w:t>A vortex-assisted supramolecular-based dispersive liquid phase microextraction technique was established to detect trace quantities of Rhodamine B (RhB) in chili powder prior to its determination by ultraviolet-visible spectrophotometry. The supramolecular solvent, which was made of reverse micelles of 1-pentanol created through self-assembly processes, was injected into the aqueous sample solution as fine droplets and assisted by vortexing, which accelerated the mass transfer of target analyte into the supramolecular solvent phase. Five important parameters (type and volume of the extraction solvent, extraction time, sample pH, and ionic strength) were investigated, and the optimum conditions were as follows: 400 µL of 1-pentanol as the supramolecular solvent; 30 min extraction time; pH 5; and 15% salt addition. Under optimum conditions, linearity was in the range of 0.1 to 2.5 mg kg</w:t>
      </w:r>
      <w:r w:rsidRPr="008D3551">
        <w:rPr>
          <w:rFonts w:ascii="Times New Roman" w:hAnsi="Times New Roman"/>
          <w:sz w:val="18"/>
          <w:szCs w:val="18"/>
          <w:vertAlign w:val="superscript"/>
        </w:rPr>
        <w:t>–1</w:t>
      </w:r>
      <w:r w:rsidRPr="008D3551">
        <w:rPr>
          <w:rFonts w:ascii="Times New Roman" w:hAnsi="Times New Roman"/>
          <w:sz w:val="18"/>
          <w:szCs w:val="18"/>
        </w:rPr>
        <w:t>. The detection limit was 0.008 mg kg</w:t>
      </w:r>
      <w:r w:rsidRPr="008D3551">
        <w:rPr>
          <w:rFonts w:ascii="Times New Roman" w:hAnsi="Times New Roman"/>
          <w:sz w:val="18"/>
          <w:szCs w:val="18"/>
          <w:vertAlign w:val="superscript"/>
        </w:rPr>
        <w:t>–1</w:t>
      </w:r>
      <w:r w:rsidRPr="008D3551">
        <w:rPr>
          <w:rFonts w:ascii="Times New Roman" w:hAnsi="Times New Roman"/>
          <w:sz w:val="18"/>
          <w:szCs w:val="18"/>
        </w:rPr>
        <w:t xml:space="preserve"> with pre-concentration factor of 16, and the relative standard deviation (n = 5) was &lt; 1.48%. The method was successfully applied to detect and measure RhB in selected chili powder samples,</w:t>
      </w:r>
      <w:r w:rsidRPr="008D3551">
        <w:rPr>
          <w:sz w:val="18"/>
          <w:szCs w:val="18"/>
        </w:rPr>
        <w:t xml:space="preserve"> </w:t>
      </w:r>
      <w:r w:rsidRPr="008D3551">
        <w:rPr>
          <w:rFonts w:ascii="Times New Roman" w:hAnsi="Times New Roman"/>
          <w:sz w:val="18"/>
          <w:szCs w:val="18"/>
        </w:rPr>
        <w:t>and good spiked recoveries in the range of 95.0 to 115.2% were obtained. This method has direct applications for monitoring the presence of potentially harmful dyes in processed foods.</w:t>
      </w:r>
    </w:p>
    <w:p w:rsidR="008D3551" w:rsidRPr="008D3551" w:rsidRDefault="008D3551" w:rsidP="008D3551">
      <w:pPr>
        <w:tabs>
          <w:tab w:val="left" w:pos="1950"/>
        </w:tabs>
        <w:spacing w:after="0" w:line="240" w:lineRule="auto"/>
        <w:jc w:val="both"/>
        <w:rPr>
          <w:rFonts w:ascii="Times New Roman" w:hAnsi="Times New Roman"/>
          <w:sz w:val="18"/>
          <w:szCs w:val="18"/>
        </w:rPr>
      </w:pPr>
    </w:p>
    <w:p w:rsidR="008D3551" w:rsidRDefault="008D3551" w:rsidP="008D3551">
      <w:pPr>
        <w:spacing w:after="0" w:line="240" w:lineRule="auto"/>
        <w:jc w:val="both"/>
        <w:rPr>
          <w:rFonts w:ascii="Times New Roman" w:hAnsi="Times New Roman"/>
          <w:sz w:val="18"/>
          <w:szCs w:val="18"/>
        </w:rPr>
      </w:pPr>
      <w:r w:rsidRPr="008D3551">
        <w:rPr>
          <w:rFonts w:ascii="Times New Roman" w:hAnsi="Times New Roman"/>
          <w:b/>
          <w:bCs/>
          <w:sz w:val="18"/>
          <w:szCs w:val="18"/>
        </w:rPr>
        <w:t xml:space="preserve">Keywords: </w:t>
      </w:r>
      <w:r>
        <w:rPr>
          <w:rFonts w:ascii="Times New Roman" w:hAnsi="Times New Roman"/>
          <w:b/>
          <w:bCs/>
          <w:sz w:val="18"/>
          <w:szCs w:val="18"/>
        </w:rPr>
        <w:t xml:space="preserve"> </w:t>
      </w:r>
      <w:r>
        <w:rPr>
          <w:rFonts w:ascii="Times New Roman" w:hAnsi="Times New Roman"/>
          <w:sz w:val="18"/>
          <w:szCs w:val="18"/>
        </w:rPr>
        <w:t>r</w:t>
      </w:r>
      <w:r w:rsidRPr="008D3551">
        <w:rPr>
          <w:rFonts w:ascii="Times New Roman" w:hAnsi="Times New Roman"/>
          <w:sz w:val="18"/>
          <w:szCs w:val="18"/>
        </w:rPr>
        <w:t>hodamine B, UV-Vis spectrophotometry, supramolecular solvent, chili powder</w:t>
      </w:r>
    </w:p>
    <w:p w:rsidR="008D3551" w:rsidRPr="008D3551" w:rsidRDefault="008D3551" w:rsidP="008D3551">
      <w:pPr>
        <w:spacing w:after="0" w:line="240" w:lineRule="auto"/>
        <w:jc w:val="center"/>
        <w:rPr>
          <w:rFonts w:ascii="Times New Roman" w:hAnsi="Times New Roman"/>
          <w:sz w:val="18"/>
          <w:szCs w:val="18"/>
        </w:rPr>
      </w:pPr>
    </w:p>
    <w:p w:rsidR="008D3551" w:rsidRPr="008D3551" w:rsidRDefault="008D3551" w:rsidP="008D3551">
      <w:pPr>
        <w:widowControl w:val="0"/>
        <w:autoSpaceDE w:val="0"/>
        <w:autoSpaceDN w:val="0"/>
        <w:spacing w:after="0" w:line="240" w:lineRule="auto"/>
        <w:jc w:val="center"/>
        <w:rPr>
          <w:rFonts w:ascii="Times New Roman" w:eastAsia="SimSun" w:hAnsi="Times New Roman"/>
          <w:b/>
          <w:noProof/>
          <w:kern w:val="2"/>
          <w:sz w:val="18"/>
          <w:szCs w:val="18"/>
          <w:lang w:val="ms-MY" w:eastAsia="ko-KR"/>
        </w:rPr>
      </w:pPr>
      <w:r w:rsidRPr="008D3551">
        <w:rPr>
          <w:rFonts w:ascii="Times New Roman" w:eastAsia="SimSun" w:hAnsi="Times New Roman"/>
          <w:b/>
          <w:noProof/>
          <w:kern w:val="2"/>
          <w:sz w:val="18"/>
          <w:szCs w:val="18"/>
          <w:lang w:val="ms-MY" w:eastAsia="ko-KR"/>
        </w:rPr>
        <w:t>Abstrak</w:t>
      </w:r>
    </w:p>
    <w:p w:rsidR="008D3551" w:rsidRDefault="008D3551" w:rsidP="008D3551">
      <w:pPr>
        <w:spacing w:after="0" w:line="240" w:lineRule="auto"/>
        <w:jc w:val="both"/>
        <w:rPr>
          <w:rFonts w:ascii="Times New Roman" w:eastAsia="SimSun" w:hAnsi="Times New Roman"/>
          <w:noProof/>
          <w:sz w:val="18"/>
          <w:szCs w:val="18"/>
          <w:lang w:val="ms-MY"/>
        </w:rPr>
      </w:pPr>
      <w:r w:rsidRPr="008D3551">
        <w:rPr>
          <w:rFonts w:ascii="Times New Roman" w:eastAsia="SimSun" w:hAnsi="Times New Roman"/>
          <w:noProof/>
          <w:sz w:val="18"/>
          <w:szCs w:val="18"/>
          <w:lang w:val="ms-MY"/>
        </w:rPr>
        <w:t>Supramolekul berasaskan serakan fasa cecair pengekstrakan mikro berbantu vorteks (VASM-DLPME) telah dibangunkan untuk mengesan kuantiti Rhodamin B (RhB) dalam serbuk cili dengan menggunakan spektrofotometrik UV-Vis. Pelarut supramolekul adalah misel songsang yang dihasilkan daripada 1-pentanol melalui proses pemasangan kendiri dan disuntik ke dalam larutan sampel akueus sebagai titisan halus dibantu oleh vorteks, yang mempercepatkan masa pemindahan daripada analisis sasaran ke dalam fasa pelarut supramolekul.</w:t>
      </w:r>
      <w:r w:rsidRPr="008D3551">
        <w:rPr>
          <w:noProof/>
          <w:sz w:val="18"/>
          <w:szCs w:val="18"/>
          <w:lang w:val="ms-MY"/>
        </w:rPr>
        <w:t xml:space="preserve"> </w:t>
      </w:r>
      <w:r w:rsidRPr="008D3551">
        <w:rPr>
          <w:rFonts w:ascii="Times New Roman" w:eastAsia="SimSun" w:hAnsi="Times New Roman"/>
          <w:noProof/>
          <w:sz w:val="18"/>
          <w:szCs w:val="18"/>
          <w:lang w:val="ms-MY"/>
        </w:rPr>
        <w:t xml:space="preserve">Lima parameter penting seperti jenis dan isipadu pelarut pengekstrakan, masa pengekstrakan, sampel pH dan kekuatan ionik telah dikaji dan keadaan optimum yang diperoleh adalah seperti berikut: 400 µL 1-pentanol </w:t>
      </w:r>
      <w:r w:rsidRPr="008D3551">
        <w:rPr>
          <w:rFonts w:ascii="Times New Roman" w:eastAsia="SimSun" w:hAnsi="Times New Roman"/>
          <w:noProof/>
          <w:sz w:val="18"/>
          <w:szCs w:val="18"/>
          <w:lang w:val="ms-MY"/>
        </w:rPr>
        <w:lastRenderedPageBreak/>
        <w:t>sebagai pelarut supramolekul, masa pengekstrakan selama 30 minit pada pH 5 dengan penambahan garam sebanyak 15%. Di bawah keadaan yang optimum, kelinearan didapati dalam julat 0.1 hingga 2.5 mg kg</w:t>
      </w:r>
      <w:r w:rsidRPr="008D3551">
        <w:rPr>
          <w:rFonts w:ascii="Times New Roman" w:eastAsia="SimSun" w:hAnsi="Times New Roman"/>
          <w:noProof/>
          <w:sz w:val="18"/>
          <w:szCs w:val="18"/>
          <w:vertAlign w:val="superscript"/>
          <w:lang w:val="ms-MY"/>
        </w:rPr>
        <w:t>-1</w:t>
      </w:r>
      <w:r w:rsidRPr="008D3551">
        <w:rPr>
          <w:rFonts w:ascii="Times New Roman" w:eastAsia="SimSun" w:hAnsi="Times New Roman"/>
          <w:noProof/>
          <w:sz w:val="18"/>
          <w:szCs w:val="18"/>
          <w:lang w:val="ms-MY"/>
        </w:rPr>
        <w:t>. Had pengesanan yang diperolehi adalah 0.008 mg kg</w:t>
      </w:r>
      <w:r w:rsidRPr="008D3551">
        <w:rPr>
          <w:rFonts w:ascii="Times New Roman" w:eastAsia="SimSun" w:hAnsi="Times New Roman"/>
          <w:noProof/>
          <w:sz w:val="18"/>
          <w:szCs w:val="18"/>
          <w:vertAlign w:val="superscript"/>
          <w:lang w:val="ms-MY"/>
        </w:rPr>
        <w:t>-1</w:t>
      </w:r>
      <w:r w:rsidRPr="008D3551">
        <w:rPr>
          <w:rFonts w:ascii="Times New Roman" w:eastAsia="SimSun" w:hAnsi="Times New Roman"/>
          <w:noProof/>
          <w:sz w:val="18"/>
          <w:szCs w:val="18"/>
          <w:lang w:val="ms-MY"/>
        </w:rPr>
        <w:t xml:space="preserve"> dengan faktor pra-kepekatan 16 dan sisihan piawai relatif (RSD, n = 5) kurang daripada 1.48% telah dicapai. Kaedah ini telah berjaya diaplikasikan untuk penentuan RhB dalam sampel serbuk cili terpilih dan kadar pemulihan berada pada julat 95.0-115.2% diperolehi. Kaedah ini mempunyai aplikasi langsung untuk pemantauan pewarna berbahaya dalam makanan yang diproses.</w:t>
      </w:r>
    </w:p>
    <w:p w:rsidR="008D3551" w:rsidRPr="008D3551" w:rsidRDefault="008D3551" w:rsidP="008D3551">
      <w:pPr>
        <w:spacing w:after="0" w:line="240" w:lineRule="auto"/>
        <w:jc w:val="both"/>
        <w:rPr>
          <w:rFonts w:ascii="Times New Roman" w:eastAsia="SimSun" w:hAnsi="Times New Roman"/>
          <w:noProof/>
          <w:sz w:val="18"/>
          <w:szCs w:val="18"/>
          <w:lang w:val="ms-MY"/>
        </w:rPr>
      </w:pPr>
    </w:p>
    <w:p w:rsidR="008D3551" w:rsidRPr="008D3551" w:rsidRDefault="008D3551" w:rsidP="008D3551">
      <w:pPr>
        <w:spacing w:after="0" w:line="240" w:lineRule="auto"/>
        <w:jc w:val="both"/>
        <w:rPr>
          <w:rFonts w:ascii="Times New Roman" w:eastAsia="SimSun" w:hAnsi="Times New Roman"/>
          <w:noProof/>
          <w:sz w:val="18"/>
          <w:szCs w:val="18"/>
          <w:lang w:val="ms-MY"/>
        </w:rPr>
      </w:pPr>
      <w:r w:rsidRPr="008D3551">
        <w:rPr>
          <w:rFonts w:ascii="Times New Roman" w:eastAsia="SimSun" w:hAnsi="Times New Roman"/>
          <w:b/>
          <w:bCs/>
          <w:noProof/>
          <w:sz w:val="18"/>
          <w:szCs w:val="18"/>
          <w:lang w:val="ms-MY"/>
        </w:rPr>
        <w:t>Kata kunci:</w:t>
      </w:r>
      <w:r>
        <w:rPr>
          <w:rFonts w:ascii="Times New Roman" w:eastAsia="SimSun" w:hAnsi="Times New Roman"/>
          <w:noProof/>
          <w:sz w:val="18"/>
          <w:szCs w:val="18"/>
          <w:lang w:val="ms-MY"/>
        </w:rPr>
        <w:t xml:space="preserve">  r</w:t>
      </w:r>
      <w:r w:rsidRPr="008D3551">
        <w:rPr>
          <w:rFonts w:ascii="Times New Roman" w:eastAsia="SimSun" w:hAnsi="Times New Roman"/>
          <w:noProof/>
          <w:sz w:val="18"/>
          <w:szCs w:val="18"/>
          <w:lang w:val="ms-MY"/>
        </w:rPr>
        <w:t>hodamin B, spektrofotometri UV-Vis, pelarut supramolekul, serbuk cili</w:t>
      </w:r>
    </w:p>
    <w:p w:rsidR="006768E9" w:rsidRDefault="006768E9" w:rsidP="008D3551">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8D3551" w:rsidRDefault="008D3551" w:rsidP="008D3551">
      <w:pPr>
        <w:spacing w:after="0" w:line="240" w:lineRule="auto"/>
        <w:jc w:val="both"/>
        <w:rPr>
          <w:rFonts w:ascii="Times New Roman" w:eastAsia="Calibri" w:hAnsi="Times New Roman"/>
          <w:sz w:val="20"/>
          <w:szCs w:val="20"/>
          <w:lang w:val="en-GB"/>
        </w:rPr>
      </w:pPr>
      <w:r w:rsidRPr="008D3551">
        <w:rPr>
          <w:rFonts w:ascii="Times New Roman" w:eastAsia="Calibri" w:hAnsi="Times New Roman"/>
          <w:sz w:val="20"/>
          <w:szCs w:val="20"/>
          <w:lang w:val="en-GB"/>
        </w:rPr>
        <w:t xml:space="preserve">Chili powder is a popular spice due to its beneficial health properties and the pungency and flavour it adds to dishes. Chili powder also is an ingredient utilized by the pabulum manufacturing industry in the formulation of a wide range of products, including oriental dishes, curries, sauces, and pickles. To meet the worldwide demand for chili powder, artificial food colorants are often added to it to preserve its natural colour during food processing and to create the desired coloured appearance </w:t>
      </w:r>
      <w:r w:rsidRPr="008D3551">
        <w:rPr>
          <w:rStyle w:val="FootnoteReference"/>
          <w:rFonts w:ascii="Times New Roman" w:eastAsia="Calibri" w:hAnsi="Times New Roman"/>
          <w:sz w:val="20"/>
          <w:szCs w:val="20"/>
          <w:lang w:val="en-GB"/>
        </w:rPr>
        <w:fldChar w:fldCharType="begin" w:fldLock="1"/>
      </w:r>
      <w:r w:rsidRPr="008D3551">
        <w:rPr>
          <w:rFonts w:ascii="Times New Roman" w:eastAsia="Calibri" w:hAnsi="Times New Roman"/>
          <w:sz w:val="20"/>
          <w:szCs w:val="20"/>
          <w:lang w:val="en-GB"/>
        </w:rPr>
        <w:instrText>ADDIN CSL_CITATION {"citationItems":[{"id":"ITEM-1","itemData":{"DOI":"10.1016/j.jfda.2014.09.003","ISSN":"10219498","abstract":"A liquid chromatography/tandem mass spectrometry (LC-MS/MS) method is developed to simultaneously determine 20 synthetic dyes (New Coccine, Indigo Carmine, Erythrosine, Tartrazine, Sunset Yellow FCF, Fast Green FCF, Brilliant Blue FCF, Allura Red AC, Amaranth, Dimethyl Yellow, Fast Garnet GBC, Para Red, Sudan I, Sudan II, Sudan III, Sudan IV, Sudan Orange G, Sudan Red 7B, Sudan Red B, and Sudan Red G) in food samples. This method offers high sensitivity and selectivity through the selection of two fragment ion transitions under multiple reaction monitoring mode to satisfy the requirements of both quantitation and qualitation. Using LC-MS/MS, the newly developed extraction protocol used in this study is rapid and simple and does not require the use of solid-phase extraction cartridges. The linearities and recoveries of the method are observed at the concentration range of 0.10-200 μg/kg and more than 90% for all dyes, respectively. The method has been successfully applied to screen 18 commercial chili powders and six commercial syrup-preserved fruits purchased from retail establishments in Taipei City. The results show that three legal food dyes, Tartrazine, and/or Sunset Yellow FCF, and/or New Coccine, are present in some syrup-preserved fruits. Amaranth, an illegal food dye in certain countries but declared illegal in Taiwan, is found in an imported syrup-preserved fruit.","author":[{"dropping-particle":"","family":"Tsai","given":"Chia Fen","non-dropping-particle":"","parse-names":false,"suffix":""},{"dropping-particle":"","family":"Kuo","given":"Ching Hao","non-dropping-particle":"","parse-names":false,"suffix":""},{"dropping-particle":"","family":"Shih","given":"Daniel Yang Chih","non-dropping-particle":"","parse-names":false,"suffix":""}],"container-title":"Journal of Food and Drug Analysis","id":"ITEM-1","issue":"3","issued":{"date-parts":[["2015"]]},"page":"453-462","publisher":"Elsevier Ltd","title":"Determination of 20 synthetic dyes in chili powders and syrup-preserved fruits by liquid chromatography/tandem mass spectrometry","type":"article-journal","volume":"23"},"uris":["http://www.mendeley.com/documents/?uuid=3fb11929-79b9-411f-a8d1-b48823e7177d","http://www.mendeley.com/documents/?uuid=22673c5b-88f7-436c-b5ed-c7607c88a338"]}],"mendeley":{"formattedCitation":"[1]","plainTextFormattedCitation":"[1]","previouslyFormattedCitation":"[1]"},"properties":{"noteIndex":0},"schema":"https://github.com/citation-style-language/schema/raw/master/csl-citation.json"}</w:instrText>
      </w:r>
      <w:r w:rsidRPr="008D3551">
        <w:rPr>
          <w:rStyle w:val="FootnoteReference"/>
          <w:rFonts w:ascii="Times New Roman" w:eastAsia="Calibri" w:hAnsi="Times New Roman"/>
          <w:sz w:val="20"/>
          <w:szCs w:val="20"/>
          <w:lang w:val="en-GB"/>
        </w:rPr>
        <w:fldChar w:fldCharType="separate"/>
      </w:r>
      <w:r w:rsidRPr="008D3551">
        <w:rPr>
          <w:rFonts w:ascii="Times New Roman" w:eastAsia="Calibri" w:hAnsi="Times New Roman"/>
          <w:noProof/>
          <w:sz w:val="20"/>
          <w:szCs w:val="20"/>
          <w:lang w:val="en-GB"/>
        </w:rPr>
        <w:t>[1]</w:t>
      </w:r>
      <w:r w:rsidRPr="008D3551">
        <w:rPr>
          <w:rStyle w:val="FootnoteReference"/>
          <w:rFonts w:ascii="Times New Roman" w:eastAsia="Calibri" w:hAnsi="Times New Roman"/>
          <w:sz w:val="20"/>
          <w:szCs w:val="20"/>
          <w:lang w:val="en-GB"/>
        </w:rPr>
        <w:fldChar w:fldCharType="end"/>
      </w:r>
      <w:r w:rsidRPr="008D3551">
        <w:rPr>
          <w:rFonts w:ascii="Times New Roman" w:eastAsia="Calibri" w:hAnsi="Times New Roman"/>
          <w:sz w:val="20"/>
          <w:szCs w:val="20"/>
          <w:lang w:val="en-GB"/>
        </w:rPr>
        <w:t>.</w:t>
      </w:r>
    </w:p>
    <w:p w:rsidR="008D3551" w:rsidRPr="008D3551" w:rsidRDefault="008D3551" w:rsidP="008D3551">
      <w:pPr>
        <w:spacing w:after="0" w:line="240" w:lineRule="auto"/>
        <w:jc w:val="both"/>
        <w:rPr>
          <w:rFonts w:ascii="Times New Roman" w:eastAsia="Calibri" w:hAnsi="Times New Roman"/>
          <w:sz w:val="20"/>
          <w:szCs w:val="20"/>
          <w:lang w:val="en-GB"/>
        </w:rPr>
      </w:pPr>
    </w:p>
    <w:p w:rsidR="008D3551" w:rsidRDefault="008D3551" w:rsidP="008D3551">
      <w:pPr>
        <w:spacing w:after="0" w:line="240" w:lineRule="auto"/>
        <w:jc w:val="both"/>
        <w:rPr>
          <w:rFonts w:ascii="Times New Roman" w:eastAsia="Calibri" w:hAnsi="Times New Roman"/>
          <w:sz w:val="20"/>
          <w:szCs w:val="20"/>
          <w:lang w:val="en-GB"/>
        </w:rPr>
      </w:pPr>
      <w:r w:rsidRPr="008D3551">
        <w:rPr>
          <w:rFonts w:ascii="Times New Roman" w:eastAsia="Calibri" w:hAnsi="Times New Roman"/>
          <w:sz w:val="20"/>
          <w:szCs w:val="20"/>
          <w:lang w:val="en-GB"/>
        </w:rPr>
        <w:t xml:space="preserve">Thus, the quality of chili powder is measured by the brightness and intensity of the spice’s colour, and this affects its economic value. Colour additives are widely used in the food industry to make food more attractive, appealing, and appetizing </w:t>
      </w:r>
      <w:r w:rsidRPr="008D3551">
        <w:rPr>
          <w:rStyle w:val="FootnoteReference"/>
          <w:rFonts w:ascii="Times New Roman" w:eastAsia="Calibri" w:hAnsi="Times New Roman"/>
          <w:sz w:val="20"/>
          <w:szCs w:val="20"/>
          <w:lang w:val="en-GB"/>
        </w:rPr>
        <w:fldChar w:fldCharType="begin" w:fldLock="1"/>
      </w:r>
      <w:r w:rsidRPr="008D3551">
        <w:rPr>
          <w:rFonts w:ascii="Times New Roman" w:eastAsia="Calibri" w:hAnsi="Times New Roman"/>
          <w:sz w:val="20"/>
          <w:szCs w:val="20"/>
          <w:lang w:val="en-GB"/>
        </w:rPr>
        <w:instrText>ADDIN CSL_CITATION {"citationItems":[{"id":"ITEM-1","itemData":{"author":[{"dropping-particle":"","family":"Vachirapatama","given":"Narumol","non-dropping-particle":"","parse-names":false,"suffix":""},{"dropping-particle":"","family":"Mahajaroensiri","given":"Juthamas","non-dropping-particle":"","parse-names":false,"suffix":""},{"dropping-particle":"","family":"Visessanguan","given":"Wonnop","non-dropping-particle":"","parse-names":false,"suffix":""}],"id":"ITEM-1","issue":"5","issued":{"date-parts":[["2008"]]},"page":"77-82","title":"Identification and Determination of Seven Synthetic Dyes in Foodstuffs and Soft Drinks on Monolithic C18 Column by High Performance Liquid Chromatography","type":"article-journal","volume":"16"},"uris":["http://www.mendeley.com/documents/?uuid=ba25db88-044c-4b95-99ec-f9426e3dd90c","http://www.mendeley.com/documents/?uuid=ed194d59-bead-433a-b38f-50c614ff7134"]}],"mendeley":{"formattedCitation":"[2]","plainTextFormattedCitation":"[2]","previouslyFormattedCitation":"[2]"},"properties":{"noteIndex":0},"schema":"https://github.com/citation-style-language/schema/raw/master/csl-citation.json"}</w:instrText>
      </w:r>
      <w:r w:rsidRPr="008D3551">
        <w:rPr>
          <w:rStyle w:val="FootnoteReference"/>
          <w:rFonts w:ascii="Times New Roman" w:eastAsia="Calibri" w:hAnsi="Times New Roman"/>
          <w:sz w:val="20"/>
          <w:szCs w:val="20"/>
          <w:lang w:val="en-GB"/>
        </w:rPr>
        <w:fldChar w:fldCharType="separate"/>
      </w:r>
      <w:r w:rsidRPr="008D3551">
        <w:rPr>
          <w:rFonts w:ascii="Times New Roman" w:eastAsia="Calibri" w:hAnsi="Times New Roman"/>
          <w:noProof/>
          <w:sz w:val="20"/>
          <w:szCs w:val="20"/>
          <w:lang w:val="en-GB"/>
        </w:rPr>
        <w:t>[2]</w:t>
      </w:r>
      <w:r w:rsidRPr="008D3551">
        <w:rPr>
          <w:rStyle w:val="FootnoteReference"/>
          <w:rFonts w:ascii="Times New Roman" w:eastAsia="Calibri" w:hAnsi="Times New Roman"/>
          <w:sz w:val="20"/>
          <w:szCs w:val="20"/>
          <w:lang w:val="en-GB"/>
        </w:rPr>
        <w:fldChar w:fldCharType="end"/>
      </w:r>
      <w:r w:rsidRPr="008D3551">
        <w:rPr>
          <w:rFonts w:ascii="Times New Roman" w:eastAsia="Calibri" w:hAnsi="Times New Roman"/>
          <w:sz w:val="20"/>
          <w:szCs w:val="20"/>
          <w:lang w:val="en-GB"/>
        </w:rPr>
        <w:t xml:space="preserve">. Rhodamine B (RhB), which belongs to the class of synthetic azo dyes, was used commercially in chili powders to intensify their colour, but its use was prohibited more than 50 years ago. Nevertheless, spices from Vietnam and paprika and chimi churri from Argentina have been found to contain RhB </w:t>
      </w:r>
      <w:r w:rsidRPr="008D3551">
        <w:rPr>
          <w:rFonts w:ascii="Times New Roman" w:eastAsia="Calibri" w:hAnsi="Times New Roman"/>
          <w:sz w:val="20"/>
          <w:szCs w:val="20"/>
          <w:lang w:val="en-GB"/>
        </w:rPr>
        <w:fldChar w:fldCharType="begin" w:fldLock="1"/>
      </w:r>
      <w:r w:rsidRPr="008D3551">
        <w:rPr>
          <w:rFonts w:ascii="Times New Roman" w:eastAsia="Calibri" w:hAnsi="Times New Roman"/>
          <w:sz w:val="20"/>
          <w:szCs w:val="20"/>
          <w:lang w:val="en-GB"/>
        </w:rPr>
        <w:instrText>ADDIN CSL_CITATION {"citationItems":[{"id":"ITEM-1","itemData":{"DOI":"10.1007/s12161-015-0345-x","ISSN":"1936976X","abstract":"A modified Quick, Easy, Cheap, Effective, Rugged, and Safe method based on ultrasound-assisted dispersive solid-phase microextraction (dSPME) was developed for the determination of rhodamine B (RhB) in food samples. In this study, ionic liquid–coated multiwalled carbon nanotube (IL-MWCNT) was first used as dSPME material for the preconcentration of analyte. Several experimental parameters, including the type of ILs, the ratios of MWCNTs and ILs, amount of sorbent, extraction time, pH and ionic strength of sample solution, and desorption conditions, were evaluated. Under optimal experimental conditions, good linearity was observed in the range of 1.0–100.0 ng/mL with the correlation coefficient of 0.9978. The present method was applied to the analysis of different beverage and chili oil samples, and the recoveries of RhB obtained were in the range of 85.1–96.0 %. The results showed that the proposed method was a rapid, convenient, and feasible method for the determination of RhB in food samples.","author":[{"dropping-particle":"","family":"Xu","given":"Xu","non-dropping-particle":"","parse-names":false,"suffix":""},{"dropping-particle":"","family":"Zhang","given":"Minhui","non-dropping-particle":"","parse-names":false,"suffix":""},{"dropping-particle":"","family":"Wang","given":"Lingling","non-dropping-particle":"","parse-names":false,"suffix":""},{"dropping-particle":"","family":"Zhang","given":"Shuming","non-dropping-particle":"","parse-names":false,"suffix":""},{"dropping-particle":"","family":"Liu","given":"Mingyang","non-dropping-particle":"","parse-names":false,"suffix":""},{"dropping-particle":"","family":"Long","given":"Na","non-dropping-particle":"","parse-names":false,"suffix":""},{"dropping-particle":"","family":"Qi","given":"Xinyu","non-dropping-particle":"","parse-names":false,"suffix":""},{"dropping-particle":"","family":"Cui","given":"Zizheng","non-dropping-particle":"","parse-names":false,"suffix":""},{"dropping-particle":"","family":"Zhang","given":"Lei","non-dropping-particle":"","parse-names":false,"suffix":""}],"container-title":"Food Analytical Methods","id":"ITEM-1","issue":"6","issued":{"date-parts":[["2016"]]},"page":"1696-1705","title":"Determination of Rhodamine B in Food Using Ionic Liquid–Coated Multiwalled Carbon Nanotube–Based Ultrasound-Assisted Dispersive Solid-Phase Microextraction Followed by High-Performance Liquid Chromatography","type":"article-journal","volume":"9"},"uris":["http://www.mendeley.com/documents/?uuid=e1b024cc-62d8-4e56-b6e4-b92c97891e13"]}],"mendeley":{"formattedCitation":"[3]","plainTextFormattedCitation":"[3]","previouslyFormattedCitation":"[3]"},"properties":{"noteIndex":0},"schema":"https://github.com/citation-style-language/schema/raw/master/csl-citation.json"}</w:instrText>
      </w:r>
      <w:r w:rsidRPr="008D3551">
        <w:rPr>
          <w:rFonts w:ascii="Times New Roman" w:eastAsia="Calibri" w:hAnsi="Times New Roman"/>
          <w:sz w:val="20"/>
          <w:szCs w:val="20"/>
          <w:lang w:val="en-GB"/>
        </w:rPr>
        <w:fldChar w:fldCharType="separate"/>
      </w:r>
      <w:r w:rsidRPr="008D3551">
        <w:rPr>
          <w:rFonts w:ascii="Times New Roman" w:eastAsia="Calibri" w:hAnsi="Times New Roman"/>
          <w:noProof/>
          <w:sz w:val="20"/>
          <w:szCs w:val="20"/>
          <w:lang w:val="en-GB"/>
        </w:rPr>
        <w:t>[3]</w:t>
      </w:r>
      <w:r w:rsidRPr="008D3551">
        <w:rPr>
          <w:rFonts w:ascii="Times New Roman" w:eastAsia="Calibri" w:hAnsi="Times New Roman"/>
          <w:sz w:val="20"/>
          <w:szCs w:val="20"/>
          <w:lang w:val="en-GB"/>
        </w:rPr>
        <w:fldChar w:fldCharType="end"/>
      </w:r>
      <w:r w:rsidRPr="008D3551">
        <w:rPr>
          <w:rFonts w:ascii="Times New Roman" w:eastAsia="Calibri" w:hAnsi="Times New Roman"/>
          <w:sz w:val="20"/>
          <w:szCs w:val="20"/>
          <w:lang w:val="en-GB"/>
        </w:rPr>
        <w:t>.</w:t>
      </w:r>
    </w:p>
    <w:p w:rsidR="008D3551" w:rsidRPr="008D3551" w:rsidRDefault="008D3551" w:rsidP="008D3551">
      <w:pPr>
        <w:spacing w:after="0" w:line="240" w:lineRule="auto"/>
        <w:jc w:val="both"/>
        <w:rPr>
          <w:rFonts w:ascii="Times New Roman" w:eastAsia="Calibri" w:hAnsi="Times New Roman"/>
          <w:sz w:val="20"/>
          <w:szCs w:val="20"/>
          <w:lang w:val="en-GB"/>
        </w:rPr>
      </w:pPr>
    </w:p>
    <w:p w:rsidR="008D3551" w:rsidRDefault="008D3551" w:rsidP="008D3551">
      <w:pPr>
        <w:spacing w:after="0" w:line="240" w:lineRule="auto"/>
        <w:jc w:val="both"/>
        <w:rPr>
          <w:rFonts w:ascii="Times New Roman" w:eastAsia="Calibri" w:hAnsi="Times New Roman"/>
          <w:sz w:val="20"/>
          <w:szCs w:val="20"/>
          <w:lang w:val="en-GB"/>
        </w:rPr>
      </w:pPr>
      <w:r w:rsidRPr="008D3551">
        <w:rPr>
          <w:rFonts w:ascii="Times New Roman" w:eastAsia="Calibri" w:hAnsi="Times New Roman"/>
          <w:sz w:val="20"/>
          <w:szCs w:val="20"/>
          <w:lang w:val="en-GB"/>
        </w:rPr>
        <w:t xml:space="preserve">RhB consists of xanthene rings and aromatic compounds that are an important source of environmental pollution. Their metabolites are considered to be carcinogenic and to have reproductive and developmental toxicity as well as neurotoxicity towards humans and animals </w:t>
      </w:r>
      <w:r w:rsidRPr="008D3551">
        <w:rPr>
          <w:rStyle w:val="FootnoteReference"/>
          <w:rFonts w:ascii="Times New Roman" w:eastAsia="Calibri" w:hAnsi="Times New Roman"/>
          <w:sz w:val="20"/>
          <w:szCs w:val="20"/>
          <w:lang w:val="en-GB"/>
        </w:rPr>
        <w:fldChar w:fldCharType="begin" w:fldLock="1"/>
      </w:r>
      <w:r w:rsidRPr="008D3551">
        <w:rPr>
          <w:rFonts w:ascii="Times New Roman" w:eastAsia="Calibri" w:hAnsi="Times New Roman"/>
          <w:sz w:val="20"/>
          <w:szCs w:val="20"/>
          <w:lang w:val="en-GB"/>
        </w:rPr>
        <w:instrText>ADDIN CSL_CITATION {"citationItems":[{"id":"ITEM-1","itemData":{"DOI":"10.1016/j.foodchem.2016.01.002","ISSN":"18737072","abstract":"Three hydrophobic ionic liquids (ILs) (1-butyl-3-methylimidazole hexafluorophosphate ([BMIM]PF6), 1-hexyl-3-methyl-imidazole hexafluoro-phosphate ([HMIM]PF6), and 1-octyl-3-methylimidazole hexafluorophosphate ([OMIM]PF6)) were used to coat Fe3O4 at SiO2 nanoparticles (NPs) with core-shell structures to prepare magnetic solid phase extraction (MSPE) agents (Fe3O4 at SiO2 at IL). A novel method of MSPE coupled with high-performance liquid chromatography for the separation/analysis of Rhodamine B was then established. The results showed that Rhodamine B was adsorbed rapidly on Fe3O4 at SiO2 at [OMIM]PF6 and was released using ethanol. Under optimal conditions, the pre-concentration factor for the proposed method was 25. The linear range, limit of detection (LOD), correlation coefficient (R), and relative standard deviation (RSD) were found to be 0.50-150.00 ??g L-1, 0.08 ??g L-1, 0.9999, and 0.51% (n = 3, c = 10.00 ??g L-1), respectively. The Fe3O4 at SiO2 NPs could be re-used up to 10 times. The method was successfully applied to the determination of Rhodamine B in food samples.","author":[{"dropping-particle":"","family":"Jieping","given":"Chen","non-dropping-particle":"","parse-names":false,"suffix":""},{"dropping-particle":"","family":"Zhu","given":"Xiashi","non-dropping-particle":"","parse-names":false,"suffix":""}],"container-title":"Food Chemistry","id":"ITEM-1","issued":{"date-parts":[["2016"]]},"page":"10-15","title":"Magnetic solid phase extraction using ionic liquid-coated core-shell magnetic nanoparticles followed by high-performance liquid chromatography for determination of Rhodamine B in food samples","type":"article-journal","volume":"200"},"uris":["http://www.mendeley.com/documents/?uuid=4de05422-a7c4-42e5-89da-e539243416a5"]},{"id":"ITEM-2","itemData":{"DOI":"10.1007/s10895-017-2042-1","ISSN":"10530509","abstract":"© 2017, Springer Science+Business Media New York. Fe 3 O 4 @Ionic liquids β-cyclodextrin polymer(Fe 3 O 4 @ mono-6- deoxy-6- (1-ethyl- imidazolium)-β-cyclodextrin iodide polymer, ILs-β-CDCP) was prepared. A novel method based on Fe 3 O 4 @ILs-β-CDCP solid phase extraction coupled with fluorescence spectrophotometry for Rhodamine B (RhB) determination, was investigated. Results were shown that RhB was adsorbed on Fe 3 O 4 @ILs-β-CDCP and eluted with sodium dodecyl sulfate (SDS) (1.0%) rapidly. Different parameters, such as pH, adsorption time and volume, eluent volume and time were studied. This method introduced linearity for RhB between 0.01–9.00 μg/mL −1 , the limit of detection was 5.2 ng/mL −1 , correlation coefficient (R) was &gt; 0.9987 and the relative standard deviation (RSD) was 3.1% (n = 3, c = 4.00 μg/mL). The mechanism of adsorption of RhB on Fe 3 O 4 @ILs-β-CDCP was studied through the FTIR analysis and the inclusion constant of Fe 3 O 4 @ILs-β-CDCP-RhB. This method was applied successfully for determination of RhB in real samples with satisfactory results.","author":[{"dropping-particle":"","family":"Ahmed Bakheet","given":"Almojtaba AbdAlkhalig","non-dropping-particle":"","parse-names":false,"suffix":""},{"dropping-particle":"","family":"Zhu","given":"Xia Shi","non-dropping-particle":"","parse-names":false,"suffix":""}],"container-title":"Journal of Fluorescence","id":"ITEM-2","issue":"3","issued":{"date-parts":[["2017"]]},"page":"1087-1094","title":"Determination of Rhodamine B in Food Samples by Fe3O4@ Ionic Liquids-β-Cyclodextrin Cross Linked Polymer Solid Phase Extraction Coupled with Fluorescence Spectrophotometry","type":"article-journal","volume":"27"},"uris":["http://www.mendeley.com/documents/?uuid=313f0c5e-54a1-44e3-8b2e-89fa83b2ebf5"]}],"mendeley":{"formattedCitation":"[4, 5]","plainTextFormattedCitation":"[4, 5]","previouslyFormattedCitation":"[4, 5]"},"properties":{"noteIndex":0},"schema":"https://github.com/citation-style-language/schema/raw/master/csl-citation.json"}</w:instrText>
      </w:r>
      <w:r w:rsidRPr="008D3551">
        <w:rPr>
          <w:rStyle w:val="FootnoteReference"/>
          <w:rFonts w:ascii="Times New Roman" w:eastAsia="Calibri" w:hAnsi="Times New Roman"/>
          <w:sz w:val="20"/>
          <w:szCs w:val="20"/>
          <w:lang w:val="en-GB"/>
        </w:rPr>
        <w:fldChar w:fldCharType="separate"/>
      </w:r>
      <w:r w:rsidRPr="008D3551">
        <w:rPr>
          <w:rFonts w:ascii="Times New Roman" w:eastAsia="Calibri" w:hAnsi="Times New Roman"/>
          <w:noProof/>
          <w:sz w:val="20"/>
          <w:szCs w:val="20"/>
          <w:lang w:val="en-GB"/>
        </w:rPr>
        <w:t>[4, 5]</w:t>
      </w:r>
      <w:r w:rsidRPr="008D3551">
        <w:rPr>
          <w:rStyle w:val="FootnoteReference"/>
          <w:rFonts w:ascii="Times New Roman" w:eastAsia="Calibri" w:hAnsi="Times New Roman"/>
          <w:sz w:val="20"/>
          <w:szCs w:val="20"/>
          <w:lang w:val="en-GB"/>
        </w:rPr>
        <w:fldChar w:fldCharType="end"/>
      </w:r>
      <w:r w:rsidRPr="008D3551">
        <w:rPr>
          <w:rFonts w:ascii="Times New Roman" w:eastAsia="Calibri" w:hAnsi="Times New Roman"/>
          <w:sz w:val="20"/>
          <w:szCs w:val="20"/>
          <w:lang w:val="en-GB"/>
        </w:rPr>
        <w:t>. Consequently, most countries have banned and controlled its usage as a food additive. Therefore, monitoring of RhB, particularly in food samples, has become a great concern, and an improved, easy method for detection of RhB in various samples is needed.</w:t>
      </w:r>
    </w:p>
    <w:p w:rsidR="008D3551" w:rsidRPr="008D3551" w:rsidRDefault="008D3551" w:rsidP="008D3551">
      <w:pPr>
        <w:spacing w:after="0" w:line="240" w:lineRule="auto"/>
        <w:jc w:val="both"/>
        <w:rPr>
          <w:rFonts w:ascii="Times New Roman" w:eastAsia="Calibri" w:hAnsi="Times New Roman"/>
          <w:sz w:val="20"/>
          <w:szCs w:val="20"/>
          <w:lang w:val="en-GB"/>
        </w:rPr>
      </w:pPr>
    </w:p>
    <w:p w:rsidR="008D3551" w:rsidRPr="008D3551" w:rsidRDefault="008D3551" w:rsidP="008D3551">
      <w:pPr>
        <w:spacing w:after="0" w:line="240" w:lineRule="auto"/>
        <w:jc w:val="both"/>
        <w:rPr>
          <w:rFonts w:ascii="Times New Roman" w:hAnsi="Times New Roman"/>
          <w:sz w:val="20"/>
          <w:szCs w:val="20"/>
          <w:lang w:val="en-GB"/>
        </w:rPr>
      </w:pPr>
      <w:r w:rsidRPr="008D3551">
        <w:rPr>
          <w:rFonts w:ascii="Times New Roman" w:hAnsi="Times New Roman"/>
          <w:sz w:val="20"/>
          <w:szCs w:val="20"/>
          <w:lang w:val="en-GB"/>
        </w:rPr>
        <w:t xml:space="preserve">Numerous analytical techniques to detect RhB have been developed, including ultraviolet spectrophotometry </w:t>
      </w:r>
      <w:r w:rsidRPr="008D3551">
        <w:rPr>
          <w:rStyle w:val="FootnoteReference"/>
          <w:rFonts w:ascii="Times New Roman" w:hAnsi="Times New Roman"/>
          <w:sz w:val="20"/>
          <w:szCs w:val="20"/>
          <w:lang w:val="en-GB"/>
        </w:rPr>
        <w:fldChar w:fldCharType="begin" w:fldLock="1"/>
      </w:r>
      <w:r w:rsidRPr="008D3551">
        <w:rPr>
          <w:rFonts w:ascii="Times New Roman" w:hAnsi="Times New Roman"/>
          <w:sz w:val="20"/>
          <w:szCs w:val="20"/>
          <w:lang w:val="en-GB"/>
        </w:rPr>
        <w:instrText>ADDIN CSL_CITATION {"citationItems":[{"id":"ITEM-1","itemData":{"DOI":"10.1016/j.molcata.2012.09.010","ISSN":"13811169","abstract":"In this paper, a new organic-inorganic CuPp-ZnO photocatalyst was achieved by copper (II) 5-mono-[4-(2-ethyl-p-hydroxybenzoate)ethoxyl]-10,15,20- triphenylporphyrin (CuPp) impregnated onto the surface of ZnO with an effective mixing method. Then the CuPp-ZnO photocatalyst was characterized by X-ray diffraction (XRD), scanning electron microscopy (SEM), transmission electron microscopy (TEM), X-ray photoelectron spectroscopy (XPS), UV-vis diffuse reflectance spectroscopy (DRS), Fourier transform infrared (FT-IR) spectroscopy and photoluminescence spectra (PL). The results revealed that CuPp successfully impregnated onto the surface of ZnO and there existed an interaction between ZnO and CuPp. The photocatalytic activities of the CuPp-ZnO photocatalyst were evaluated in the photocatalytic degradation of rhodamine B (RhB) both under UV-vis and visible light (λ ≥ 420 nm) irradiation. It was found that the CuPp-ZnO photocatalyst showed much higher photodegradation efficiency than bare ZnO, which improved the separation of photogenerated electrons and holes. The active species during the photocatalytic reaction were detected by using different types of active species scavengers. Finally, the photocatalytic mechanisms both under UV-vis and visible light irradiation were proposed. In addition, the repetition test demonstrated that the CuPp-ZnO still maintained high photocatalytic activity over five recycles. Based on the present study, it could be considered as a promising photocatalyst for future applications. © 2012 Elsevier B.V.","author":[{"dropping-particle":"","family":"Sun","given":"Wan Jun","non-dropping-particle":"","parse-names":false,"suffix":""},{"dropping-particle":"","family":"Li","given":"Jun","non-dropping-particle":"","parse-names":false,"suffix":""},{"dropping-particle":"","family":"Mele","given":"Giuseppe","non-dropping-particle":"","parse-names":false,"suffix":""},{"dropping-particle":"","family":"Zhang","given":"Zeng Qi","non-dropping-particle":"","parse-names":false,"suffix":""},{"dropping-particle":"","family":"Zhang","given":"Feng Xing","non-dropping-particle":"","parse-names":false,"suffix":""}],"container-title":"Journal of Molecular Catalysis A: Chemical","id":"ITEM-1","issued":{"date-parts":[["2013"]]},"page":"84-91","title":"Enhanced photocatalytic degradation of rhodamine B by surface modification of ZnO with copper (II) porphyrin under both UV-vis and visible light irradiation","type":"article-journal","volume":"366"},"uris":["http://www.mendeley.com/documents/?uuid=c1f9961a-b813-4669-8ecc-bc27336904cb"]}],"mendeley":{"formattedCitation":"[6]","plainTextFormattedCitation":"[6]","previouslyFormattedCitation":"[6]"},"properties":{"noteIndex":0},"schema":"https://github.com/citation-style-language/schema/raw/master/csl-citation.json"}</w:instrText>
      </w:r>
      <w:r w:rsidRPr="008D3551">
        <w:rPr>
          <w:rStyle w:val="FootnoteReference"/>
          <w:rFonts w:ascii="Times New Roman" w:hAnsi="Times New Roman"/>
          <w:sz w:val="20"/>
          <w:szCs w:val="20"/>
          <w:lang w:val="en-GB"/>
        </w:rPr>
        <w:fldChar w:fldCharType="separate"/>
      </w:r>
      <w:r w:rsidRPr="008D3551">
        <w:rPr>
          <w:rFonts w:ascii="Times New Roman" w:hAnsi="Times New Roman"/>
          <w:noProof/>
          <w:sz w:val="20"/>
          <w:szCs w:val="20"/>
          <w:lang w:val="en-GB"/>
        </w:rPr>
        <w:t>[6]</w:t>
      </w:r>
      <w:r w:rsidRPr="008D3551">
        <w:rPr>
          <w:rStyle w:val="FootnoteReference"/>
          <w:rFonts w:ascii="Times New Roman" w:hAnsi="Times New Roman"/>
          <w:sz w:val="20"/>
          <w:szCs w:val="20"/>
          <w:lang w:val="en-GB"/>
        </w:rPr>
        <w:fldChar w:fldCharType="end"/>
      </w:r>
      <w:r w:rsidRPr="008D3551">
        <w:rPr>
          <w:rFonts w:ascii="Times New Roman" w:hAnsi="Times New Roman"/>
          <w:sz w:val="20"/>
          <w:szCs w:val="20"/>
          <w:lang w:val="en-GB"/>
        </w:rPr>
        <w:t xml:space="preserve">, fluorescence spectrophotometry </w:t>
      </w:r>
      <w:r w:rsidRPr="008D3551">
        <w:rPr>
          <w:rStyle w:val="FootnoteReference"/>
          <w:rFonts w:ascii="Times New Roman" w:hAnsi="Times New Roman"/>
          <w:sz w:val="20"/>
          <w:szCs w:val="20"/>
          <w:lang w:val="en-GB"/>
        </w:rPr>
        <w:fldChar w:fldCharType="begin" w:fldLock="1"/>
      </w:r>
      <w:r w:rsidRPr="008D3551">
        <w:rPr>
          <w:rFonts w:ascii="Times New Roman" w:hAnsi="Times New Roman"/>
          <w:sz w:val="20"/>
          <w:szCs w:val="20"/>
          <w:lang w:val="en-GB"/>
        </w:rPr>
        <w:instrText>ADDIN CSL_CITATION {"citationItems":[{"id":"ITEM-1","itemData":{"DOI":"10.11648/j.sjc.20170501.11","ISSN":"2330-0981","author":[{"dropping-particle":"","family":"Ahmed Bakheet","given":"Almojtaba AbdAlkhalig","non-dropping-particle":"","parse-names":false,"suffix":""},{"dropping-particle":"","family":"Zhu","given":"Xia Shi","non-dropping-particle":"","parse-names":false,"suffix":""}],"container-title":"Science Journal of Chemistry","id":"ITEM-1","issue":"1","issued":{"date-parts":[["2017"]]},"page":"1-7","title":"Determination of Rhodamine B Pigment in Food Samples by Ionic Liquid Coated Magnetic Core/Shell Fe3O4@SiO2 Nanoparticles Coupled with Fluorescence Spectrophotometry","type":"article-journal","volume":"5"},"uris":["http://www.mendeley.com/documents/?uuid=37fdbecb-52ed-4443-8d52-1fa44487f1f1"]}],"mendeley":{"formattedCitation":"[7]","plainTextFormattedCitation":"[7]","previouslyFormattedCitation":"[7]"},"properties":{"noteIndex":0},"schema":"https://github.com/citation-style-language/schema/raw/master/csl-citation.json"}</w:instrText>
      </w:r>
      <w:r w:rsidRPr="008D3551">
        <w:rPr>
          <w:rStyle w:val="FootnoteReference"/>
          <w:rFonts w:ascii="Times New Roman" w:hAnsi="Times New Roman"/>
          <w:sz w:val="20"/>
          <w:szCs w:val="20"/>
          <w:lang w:val="en-GB"/>
        </w:rPr>
        <w:fldChar w:fldCharType="separate"/>
      </w:r>
      <w:r w:rsidRPr="008D3551">
        <w:rPr>
          <w:rFonts w:ascii="Times New Roman" w:hAnsi="Times New Roman"/>
          <w:noProof/>
          <w:sz w:val="20"/>
          <w:szCs w:val="20"/>
          <w:lang w:val="en-GB"/>
        </w:rPr>
        <w:t>[7]</w:t>
      </w:r>
      <w:r w:rsidRPr="008D3551">
        <w:rPr>
          <w:rStyle w:val="FootnoteReference"/>
          <w:rFonts w:ascii="Times New Roman" w:hAnsi="Times New Roman"/>
          <w:sz w:val="20"/>
          <w:szCs w:val="20"/>
          <w:lang w:val="en-GB"/>
        </w:rPr>
        <w:fldChar w:fldCharType="end"/>
      </w:r>
      <w:r w:rsidRPr="008D3551">
        <w:rPr>
          <w:rFonts w:ascii="Times New Roman" w:hAnsi="Times New Roman"/>
          <w:sz w:val="20"/>
          <w:szCs w:val="20"/>
          <w:lang w:val="en-GB"/>
        </w:rPr>
        <w:t xml:space="preserve">, capillary electrophoresis, and high performance liquid chromatography </w:t>
      </w:r>
      <w:r w:rsidRPr="008D3551">
        <w:rPr>
          <w:rStyle w:val="FootnoteReference"/>
          <w:rFonts w:ascii="Times New Roman" w:hAnsi="Times New Roman"/>
          <w:sz w:val="20"/>
          <w:szCs w:val="20"/>
          <w:lang w:val="en-GB"/>
        </w:rPr>
        <w:fldChar w:fldCharType="begin" w:fldLock="1"/>
      </w:r>
      <w:r w:rsidRPr="008D3551">
        <w:rPr>
          <w:rFonts w:ascii="Times New Roman" w:hAnsi="Times New Roman"/>
          <w:sz w:val="20"/>
          <w:szCs w:val="20"/>
          <w:lang w:val="en-GB"/>
        </w:rPr>
        <w:instrText>ADDIN CSL_CITATION {"citationItems":[{"id":"ITEM-1","itemData":{"DOI":"10.1016/j.chroma.2007.08.043","ISSN":"00219673","abstract":"A simple, selective and sensitive method has been developed for the simultaneous determination of tetracycline, oxytetracycline, chlorotetracycline, demeclocycline, doxycycline and meclocycline based on reversed-phase high-performance liquid chromatography with chemiluminescence detection. The procedure was based on the chemiluminescent enhancement by photoirradiated tetracyclines of the cerium (IV)-rhodamine B system in sulphuric acid medium. The six tetracyclines were separated on an Aquasil-C18 column with a gradient elution using a mixture of acetonitrile and 0.1 mol L-1 phosphate buffer as mobile phase, photoderivatized using a photoreactor consisting of a tube reactor coil of PFA and a 8W Xenon lamp. Under the optimized conditions, the method was validated with respect to linearity, precision, limits of detection and quantification and accuracy. The relative standard deviation (RSD) on intra-day precision was below 10% and detection limits ranged between 0.12 and 0.34 μg L-1. The proposed method has been successfully applied to the determination of tetracyclines in surface water samples. A possible mechanism of the chemiluminescence in the system is discussed. © 2007 Elsevier B.V. All rights reserved.","author":[{"dropping-particle":"","family":"Santiago Valverde","given":"R.","non-dropping-particle":"","parse-names":false,"suffix":""},{"dropping-particle":"","family":"Sánchez Pérez","given":"I.","non-dropping-particle":"","parse-names":false,"suffix":""},{"dropping-particle":"","family":"Franceschelli","given":"F.","non-dropping-particle":"","parse-names":false,"suffix":""},{"dropping-particle":"","family":"Martínez Galera","given":"M.","non-dropping-particle":"","parse-names":false,"suffix":""},{"dropping-particle":"","family":"Gil García","given":"M. D.","non-dropping-particle":"","parse-names":false,"suffix":""}],"container-title":"Journal of Chromatography A","id":"ITEM-1","issued":{"date-parts":[["2007"]]},"page":"85-94","title":"Determination of photoirradiated tetracyclines in water by high-performance liquid chromatography with chemiluminescence detection based reaction of rhodamine B with cerium (IV)","type":"article-journal","volume":"1167"},"uris":["http://www.mendeley.com/documents/?uuid=f9fa9e4d-83fd-4b89-927d-a74a5344183b"]}],"mendeley":{"formattedCitation":"[8]","plainTextFormattedCitation":"[8]","previouslyFormattedCitation":"[8]"},"properties":{"noteIndex":0},"schema":"https://github.com/citation-style-language/schema/raw/master/csl-citation.json"}</w:instrText>
      </w:r>
      <w:r w:rsidRPr="008D3551">
        <w:rPr>
          <w:rStyle w:val="FootnoteReference"/>
          <w:rFonts w:ascii="Times New Roman" w:hAnsi="Times New Roman"/>
          <w:sz w:val="20"/>
          <w:szCs w:val="20"/>
          <w:lang w:val="en-GB"/>
        </w:rPr>
        <w:fldChar w:fldCharType="separate"/>
      </w:r>
      <w:r w:rsidRPr="008D3551">
        <w:rPr>
          <w:rFonts w:ascii="Times New Roman" w:hAnsi="Times New Roman"/>
          <w:noProof/>
          <w:sz w:val="20"/>
          <w:szCs w:val="20"/>
          <w:lang w:val="en-GB"/>
        </w:rPr>
        <w:t>[8]</w:t>
      </w:r>
      <w:r w:rsidRPr="008D3551">
        <w:rPr>
          <w:rStyle w:val="FootnoteReference"/>
          <w:rFonts w:ascii="Times New Roman" w:hAnsi="Times New Roman"/>
          <w:sz w:val="20"/>
          <w:szCs w:val="20"/>
          <w:lang w:val="en-GB"/>
        </w:rPr>
        <w:fldChar w:fldCharType="end"/>
      </w:r>
      <w:r w:rsidRPr="008D3551">
        <w:rPr>
          <w:rFonts w:ascii="Times New Roman" w:hAnsi="Times New Roman"/>
          <w:sz w:val="20"/>
          <w:szCs w:val="20"/>
          <w:lang w:val="en-GB"/>
        </w:rPr>
        <w:t>.</w:t>
      </w:r>
      <w:r w:rsidRPr="008D3551">
        <w:rPr>
          <w:rFonts w:ascii="Times New Roman" w:hAnsi="Times New Roman"/>
          <w:sz w:val="20"/>
          <w:szCs w:val="20"/>
        </w:rPr>
        <w:t xml:space="preserve"> </w:t>
      </w:r>
      <w:r w:rsidRPr="008D3551">
        <w:rPr>
          <w:rFonts w:ascii="Times New Roman" w:hAnsi="Times New Roman"/>
          <w:sz w:val="20"/>
          <w:szCs w:val="20"/>
          <w:lang w:val="en-GB"/>
        </w:rPr>
        <w:t xml:space="preserve">Among these methods, ultraviolet-visible (UV-Vis) spectrophotometry is an attractive method due to its simplicity of operation and low cost. However, this method has two major limitations: (i) co-elution effects from samples influence the signal of analytes and (ii) low concentration of analytes likely leads to unsatisfactory quantitative results </w:t>
      </w:r>
      <w:r w:rsidRPr="008D3551">
        <w:rPr>
          <w:rStyle w:val="FootnoteReference"/>
          <w:rFonts w:ascii="Times New Roman" w:hAnsi="Times New Roman"/>
          <w:sz w:val="20"/>
          <w:szCs w:val="20"/>
          <w:lang w:val="en-GB"/>
        </w:rPr>
        <w:fldChar w:fldCharType="begin" w:fldLock="1"/>
      </w:r>
      <w:r w:rsidRPr="008D3551">
        <w:rPr>
          <w:rFonts w:ascii="Times New Roman" w:hAnsi="Times New Roman"/>
          <w:sz w:val="20"/>
          <w:szCs w:val="20"/>
          <w:lang w:val="en-GB"/>
        </w:rPr>
        <w:instrText>ADDIN CSL_CITATION {"citationItems":[{"id":"ITEM-1","itemData":{"DOI":"10.5012/bkcs.2013.34.11.3381","ISSN":"02532964","abstract":"This paper reports a method using molecularly imprinted polymers that are grafted onto the surface of carboxylmodified multi-walled carbon nanotubes as the solid-phase extraction adsorbents to detect Rhodamine B in chili powder samples. The polymers were characterized by FTIR and TGA. Various parameters which probably influence efficiency of extraction were optimized. The analytical parameters such as precision, accuracy and linear working range were also determined in optimal experimental conditions. And the proposed method was applied to analysis of Rhodamine B in chili powder samples. The limits of detection and quantification were 2.57 and 8.56 g/g, respectively. The recoveries for analytes were higher than 95% and relative standard deviation values were found to be in the range of 0.83-4.15%. This method was successfully applied for the determination of Rhodamine B.","author":[{"dropping-particle":"","family":"Liu","given":"Xiuying","non-dropping-particle":"","parse-names":false,"suffix":""},{"dropping-particle":"","family":"Zhang","given":"Xuan","non-dropping-particle":"","parse-names":false,"suffix":""},{"dropping-particle":"","family":"Zhou","given":"Qian","non-dropping-particle":"","parse-names":false,"suffix":""},{"dropping-particle":"","family":"Bai","given":"Bing","non-dropping-particle":"","parse-names":false,"suffix":""},{"dropping-particle":"","family":"Ji","given":"Shujuan","non-dropping-particle":"","parse-names":false,"suffix":""}],"container-title":"Bulletin of the Korean Chemical Society","id":"ITEM-1","issue":"11","issued":{"date-parts":[["2013"]]},"page":"3381-3386","title":"Spectrometric determination of rhodamine b in chili powder after molecularly imprinted solid phase extraction","type":"article-journal","volume":"34"},"uris":["http://www.mendeley.com/documents/?uuid=9bb0209b-958a-42b2-9068-8c97e4cdfc63"]}],"mendeley":{"formattedCitation":"[9]","plainTextFormattedCitation":"[9]","previouslyFormattedCitation":"[9]"},"properties":{"noteIndex":0},"schema":"https://github.com/citation-style-language/schema/raw/master/csl-citation.json"}</w:instrText>
      </w:r>
      <w:r w:rsidRPr="008D3551">
        <w:rPr>
          <w:rStyle w:val="FootnoteReference"/>
          <w:rFonts w:ascii="Times New Roman" w:hAnsi="Times New Roman"/>
          <w:sz w:val="20"/>
          <w:szCs w:val="20"/>
          <w:lang w:val="en-GB"/>
        </w:rPr>
        <w:fldChar w:fldCharType="separate"/>
      </w:r>
      <w:r w:rsidRPr="008D3551">
        <w:rPr>
          <w:rFonts w:ascii="Times New Roman" w:hAnsi="Times New Roman"/>
          <w:noProof/>
          <w:sz w:val="20"/>
          <w:szCs w:val="20"/>
          <w:lang w:val="en-GB"/>
        </w:rPr>
        <w:t>[9]</w:t>
      </w:r>
      <w:r w:rsidRPr="008D3551">
        <w:rPr>
          <w:rStyle w:val="FootnoteReference"/>
          <w:rFonts w:ascii="Times New Roman" w:hAnsi="Times New Roman"/>
          <w:sz w:val="20"/>
          <w:szCs w:val="20"/>
          <w:lang w:val="en-GB"/>
        </w:rPr>
        <w:fldChar w:fldCharType="end"/>
      </w:r>
      <w:r w:rsidRPr="008D3551">
        <w:rPr>
          <w:rFonts w:ascii="Times New Roman" w:hAnsi="Times New Roman"/>
          <w:sz w:val="20"/>
          <w:szCs w:val="20"/>
          <w:lang w:val="en-GB"/>
        </w:rPr>
        <w:t xml:space="preserve">. </w:t>
      </w:r>
      <w:r w:rsidRPr="008D3551">
        <w:rPr>
          <w:rFonts w:ascii="Times New Roman" w:hAnsi="Times New Roman"/>
          <w:noProof/>
          <w:sz w:val="20"/>
          <w:szCs w:val="20"/>
          <w:lang w:val="en-GB"/>
        </w:rPr>
        <w:t>T</w:t>
      </w:r>
      <w:r w:rsidRPr="008D3551">
        <w:rPr>
          <w:rFonts w:ascii="Times New Roman" w:hAnsi="Times New Roman"/>
          <w:sz w:val="20"/>
          <w:szCs w:val="20"/>
          <w:lang w:val="en-GB"/>
        </w:rPr>
        <w:t xml:space="preserve">o overcome these issues, different sample preparation techniques can be used to isolate, clean-up, and pre-concentrate the target analytes before their measurement to increase the sensitivity and accuracy of the method. </w:t>
      </w:r>
    </w:p>
    <w:p w:rsidR="008D3551" w:rsidRDefault="008D3551" w:rsidP="008D3551">
      <w:pPr>
        <w:spacing w:after="0" w:line="240" w:lineRule="auto"/>
        <w:jc w:val="both"/>
        <w:rPr>
          <w:rFonts w:ascii="Times New Roman" w:hAnsi="Times New Roman"/>
          <w:sz w:val="20"/>
          <w:szCs w:val="20"/>
          <w:lang w:val="en-GB"/>
        </w:rPr>
      </w:pPr>
      <w:r w:rsidRPr="008D3551">
        <w:rPr>
          <w:rFonts w:ascii="Times New Roman" w:hAnsi="Times New Roman"/>
          <w:sz w:val="20"/>
          <w:szCs w:val="20"/>
          <w:lang w:val="en-GB"/>
        </w:rPr>
        <w:t xml:space="preserve">Different sample preparation methods used to preconcentrate different organic pollutants include dispersive liquid–liquid microextraction (DLLME) </w:t>
      </w:r>
      <w:r w:rsidRPr="008D3551">
        <w:rPr>
          <w:rStyle w:val="FootnoteReference"/>
          <w:rFonts w:ascii="Times New Roman" w:hAnsi="Times New Roman"/>
          <w:sz w:val="20"/>
          <w:szCs w:val="20"/>
          <w:lang w:val="en-GB"/>
        </w:rPr>
        <w:fldChar w:fldCharType="begin" w:fldLock="1"/>
      </w:r>
      <w:r w:rsidRPr="008D3551">
        <w:rPr>
          <w:rFonts w:ascii="Times New Roman" w:hAnsi="Times New Roman"/>
          <w:sz w:val="20"/>
          <w:szCs w:val="20"/>
          <w:lang w:val="en-GB"/>
        </w:rPr>
        <w:instrText>ADDIN CSL_CITATION {"citationItems":[{"id":"ITEM-1","itemData":{"DOI":"10.1016/j.microc.2017.06.024","ISSN":"0026265X","abstract":"A new procedure developed based on a preconcentration system using a dispersive liquid-liquid microextraction technique based on solidification of floating organic drop (DLLME-SFO) was combined with the molecular absorption spectrometry to determine uranium using 2-(5-bromo-2-pyridylazo)-5-(diethylamino)-phenol (Br-PADAP) as the complexing reagent. The optimization step was performed using two-level factorial design and the Box-Behnken design. The parameters analyzed were pH, Br-PADAP volume, extractant solvent volume and disperser solvent volume. The method allowed determining uranium with a limit of detection of 0.46 μg L− 1, limit of quantification 1.53 μg L− 1. The enrichment factor was estimated to be 76-fold. The precision expressed as relative standard deviation (RSD) for uranium concentrations of 2 and 10 μg L− 1 was 4.91% and 1.85% (n = 15), respectively. Accuracy was assessed using recovery values ranging from 95.28% to 103.86%, which proves that this method does not suffer from a matrix effect and can be satisfactorily applied. The proposed method was applied to determine uranium in human milk samples. Fifteen samples were analyzed, and the uranium concentration ranged from 45.87 ± 3.62 μg L− 1 to 160.97 ± 7.00 μg L− 1.","author":[{"dropping-particle":"","family":"Souza","given":"Anderson Santos","non-dropping-particle":"","parse-names":false,"suffix":""},{"dropping-particle":"","family":"Siqueira","given":"Rafael Pena","non-dropping-particle":"","parse-names":false,"suffix":""},{"dropping-particle":"","family":"Prates","given":"Romário Farias","non-dropping-particle":"","parse-names":false,"suffix":""},{"dropping-particle":"","family":"Bezerra","given":"Vanessa Moraes","non-dropping-particle":"","parse-names":false,"suffix":""},{"dropping-particle":"","family":"Rocha","given":"Daniela da Silva","non-dropping-particle":"","parse-names":false,"suffix":""},{"dropping-particle":"","family":"Oliveira","given":"Márcio Vasconcelos","non-dropping-particle":"","parse-names":false,"suffix":""},{"dropping-particle":"","family":"Santos","given":"Djanilson Barbosa","non-dropping-particle":"","parse-names":false,"suffix":""}],"container-title":"Microchemical Journal","id":"ITEM-1","issued":{"date-parts":[["2017"]]},"page":"327-332","title":"A dispersive liquid–liquid microextraction based on solidification of floating organic drop and spectrophotometric determination of uranium in breast milk after optimization using Box-Behnken design","type":"article-journal","volume":"134"},"uris":["http://www.mendeley.com/documents/?uuid=d171f239-6eca-470f-9b8e-f065305e5f25"]}],"mendeley":{"formattedCitation":"[10]","plainTextFormattedCitation":"[10]","previouslyFormattedCitation":"[10]"},"properties":{"noteIndex":0},"schema":"https://github.com/citation-style-language/schema/raw/master/csl-citation.json"}</w:instrText>
      </w:r>
      <w:r w:rsidRPr="008D3551">
        <w:rPr>
          <w:rStyle w:val="FootnoteReference"/>
          <w:rFonts w:ascii="Times New Roman" w:hAnsi="Times New Roman"/>
          <w:sz w:val="20"/>
          <w:szCs w:val="20"/>
          <w:lang w:val="en-GB"/>
        </w:rPr>
        <w:fldChar w:fldCharType="separate"/>
      </w:r>
      <w:r w:rsidRPr="008D3551">
        <w:rPr>
          <w:rFonts w:ascii="Times New Roman" w:hAnsi="Times New Roman"/>
          <w:noProof/>
          <w:sz w:val="20"/>
          <w:szCs w:val="20"/>
          <w:lang w:val="en-GB"/>
        </w:rPr>
        <w:t>[10]</w:t>
      </w:r>
      <w:r w:rsidRPr="008D3551">
        <w:rPr>
          <w:rStyle w:val="FootnoteReference"/>
          <w:rFonts w:ascii="Times New Roman" w:hAnsi="Times New Roman"/>
          <w:sz w:val="20"/>
          <w:szCs w:val="20"/>
          <w:lang w:val="en-GB"/>
        </w:rPr>
        <w:fldChar w:fldCharType="end"/>
      </w:r>
      <w:r w:rsidRPr="008D3551">
        <w:rPr>
          <w:rFonts w:ascii="Times New Roman" w:hAnsi="Times New Roman"/>
          <w:sz w:val="20"/>
          <w:szCs w:val="20"/>
          <w:lang w:val="en-GB"/>
        </w:rPr>
        <w:t xml:space="preserve">, solid-phase extraction (SPE) </w:t>
      </w:r>
      <w:r w:rsidRPr="008D3551">
        <w:rPr>
          <w:rStyle w:val="FootnoteReference"/>
          <w:rFonts w:ascii="Times New Roman" w:hAnsi="Times New Roman"/>
          <w:sz w:val="20"/>
          <w:szCs w:val="20"/>
          <w:lang w:val="en-GB"/>
        </w:rPr>
        <w:fldChar w:fldCharType="begin" w:fldLock="1"/>
      </w:r>
      <w:r w:rsidRPr="008D3551">
        <w:rPr>
          <w:rFonts w:ascii="Times New Roman" w:hAnsi="Times New Roman"/>
          <w:sz w:val="20"/>
          <w:szCs w:val="20"/>
          <w:lang w:val="en-GB"/>
        </w:rPr>
        <w:instrText>ADDIN CSL_CITATION {"citationItems":[{"id":"ITEM-1","itemData":{"DOI":"10.1016/S0021-9673(00)00456-8","ISBN":"0021-9673","ISSN":"00219673","PMID":"10941673","abstract":"To overcome the limitations of the detection systems associated with gas or liquid chromatography, a sample pretreatment is required with the objective to provide a sample fraction enriched with all the target analytes and as free as possible from other matrix components. There is now no doubt that solid-phase extraction (SPE) has now become the method of choice for carrying out simultaneously the extraction and concentration of many compounds in aqueous samples. Many recent applications of SPE to multiresidue analysis are reviewed with an emphasis on the importance of the choice of the sorbent and of the sample volume. SPE is particularly well adapted to multiresidue analysis including compounds from a wide range of polarity or characterized by various physico-chemical properties. However, SPE is not completely free from practical problems inherent to the nature of the compounds or to the coupling to the chromatographic systems. Many examples are reported to illustrate these problems which can in most cases be circumvented. New developments in SPE are also reviewed. Copyright (C) 2000 Elsevier Science B.V.","author":[{"dropping-particle":"","family":"Pichon","given":"Valérie","non-dropping-particle":"","parse-names":false,"suffix":""}],"container-title":"Journal of Chromatography A","id":"ITEM-1","issue":"1-2","issued":{"date-parts":[["2000"]]},"page":"195-215","title":"Solid-phase extraction for multiresidue analysis of organic contaminants in water","type":"article-journal","volume":"885"},"uris":["http://www.mendeley.com/documents/?uuid=4bdfd169-9c5a-40f2-86d4-ae843f3f61f1"]}],"mendeley":{"formattedCitation":"[11]","plainTextFormattedCitation":"[11]","previouslyFormattedCitation":"[11]"},"properties":{"noteIndex":0},"schema":"https://github.com/citation-style-language/schema/raw/master/csl-citation.json"}</w:instrText>
      </w:r>
      <w:r w:rsidRPr="008D3551">
        <w:rPr>
          <w:rStyle w:val="FootnoteReference"/>
          <w:rFonts w:ascii="Times New Roman" w:hAnsi="Times New Roman"/>
          <w:sz w:val="20"/>
          <w:szCs w:val="20"/>
          <w:lang w:val="en-GB"/>
        </w:rPr>
        <w:fldChar w:fldCharType="separate"/>
      </w:r>
      <w:r w:rsidRPr="008D3551">
        <w:rPr>
          <w:rFonts w:ascii="Times New Roman" w:hAnsi="Times New Roman"/>
          <w:noProof/>
          <w:sz w:val="20"/>
          <w:szCs w:val="20"/>
          <w:lang w:val="en-GB"/>
        </w:rPr>
        <w:t>[11]</w:t>
      </w:r>
      <w:r w:rsidRPr="008D3551">
        <w:rPr>
          <w:rStyle w:val="FootnoteReference"/>
          <w:rFonts w:ascii="Times New Roman" w:hAnsi="Times New Roman"/>
          <w:sz w:val="20"/>
          <w:szCs w:val="20"/>
          <w:lang w:val="en-GB"/>
        </w:rPr>
        <w:fldChar w:fldCharType="end"/>
      </w:r>
      <w:r w:rsidRPr="008D3551">
        <w:rPr>
          <w:rFonts w:ascii="Times New Roman" w:hAnsi="Times New Roman"/>
          <w:sz w:val="20"/>
          <w:szCs w:val="20"/>
          <w:lang w:val="en-GB"/>
        </w:rPr>
        <w:t xml:space="preserve">, magnetic solid phase extraction </w:t>
      </w:r>
      <w:r w:rsidRPr="008D3551">
        <w:rPr>
          <w:rStyle w:val="FootnoteReference"/>
          <w:rFonts w:ascii="Times New Roman" w:hAnsi="Times New Roman"/>
          <w:sz w:val="20"/>
          <w:szCs w:val="20"/>
          <w:lang w:val="en-GB"/>
        </w:rPr>
        <w:fldChar w:fldCharType="begin" w:fldLock="1"/>
      </w:r>
      <w:r w:rsidRPr="008D3551">
        <w:rPr>
          <w:rFonts w:ascii="Times New Roman" w:hAnsi="Times New Roman"/>
          <w:sz w:val="20"/>
          <w:szCs w:val="20"/>
          <w:lang w:val="en-GB"/>
        </w:rPr>
        <w:instrText>ADDIN CSL_CITATION {"citationItems":[{"id":"ITEM-1","itemData":{"DOI":"10.1016/j.aca.2012.10.040","ISBN":"1873-4324 (Electronic)\\r0003-2670 (Linking)","ISSN":"00032670","PMID":"23176735","abstract":"A novel sorbent for magnetic solid-phase extraction by self-assembling of organosulfur compound, (bis-(2,4,4-trimethylpentyl)-dithiophosphinic acid), onto the silver-coated Fe3O4nanoparticles was introduced. Due to the formation of covalent bond of SAg, the new coating on the silver surface was very stable and showed high thermal stability (up to 320°C). The size, morphology, composition, and properties of the prepared nanoparticles have also been characterized and determined using scanning electron microscopy (SEM), energy-dispersive X-ray analyzer (EDX), dynamic light scattering (DLS), Fourier transform-infrared (FT-IR) spectroscopy, and thermal gravimetric analysis (TGA). Extraction efficiency of the new sorbent was investigated by extraction of five polycyclic aromatic hydrocarbons (PAHs) as model compounds. The optimum extraction conditions for PAHs were obtained as of extraction time, 20min; 50mg sorbent from 100mL of the sample solution, and elution with 100μL of 1-propanol under fierce vortex for 2min. Under the optimal conditions, the calibration curves were obtained in the range of 0.05-100μgL-1(R2&gt;0.9980) and the LODs (S/N=3) were obtained in the range of 0.02-0.10μgL-1. Relative standard deviations (RSDs) for intra- and inter-day precision were 2.6-4.2% and 3.6-8.3%, respectively. In addition, feasibility of the method was demonstrated with extraction and determination of PAHs from some real samples containing tap water, hookah water as well as soil samples with relative recovery of 82.4-109.0% and RSDs of 3.5-11.6%. © 2012 Elsevier B.V..","author":[{"dropping-particle":"","family":"Tahmasebi","given":"Elham","non-dropping-particle":"","parse-names":false,"suffix":""},{"dropping-particle":"","family":"Yamini","given":"Yadollah","non-dropping-particle":"","parse-names":false,"suffix":""}],"container-title":"Analytica Chimica Acta","id":"ITEM-1","issued":{"date-parts":[["2012"]]},"page":"13-22","title":"Facile synthesis of new nano sorbent for magnetic solid-phase extraction by self assembling of bis-(2,4,4-trimethyl pentyl)-dithiophosphinic acid on Fe3O4@Ag core@shell nanoparticles: Characterization and application","type":"article-journal","volume":"756"},"uris":["http://www.mendeley.com/documents/?uuid=6f216bb6-2df8-4a92-b225-b25e852abc62"]},{"id":"ITEM-2","itemData":{"DOI":"10.1016/j.talanta.2015.10.059","ISSN":"0039-9140","author":[{"dropping-particle":"","family":"Zheng","given":"Hao-bo","non-dropping-particle":"","parse-names":false,"suffix":""},{"dropping-particle":"","family":"Ding","given":"Jun","non-dropping-particle":"","parse-names":false,"suffix":""},{"dropping-particle":"","family":"Zheng","given":"Shu-jian","non-dropping-particle":"","parse-names":false,"suffix":""},{"dropping-particle":"","family":"Zhu","given":"Gang-tian","non-dropping-particle":"","parse-names":false,"suffix":""},{"dropping-particle":"","family":"Yuan","given":"Bi-feng","non-dropping-particle":"","parse-names":false,"suffix":""}],"container-title":"Talanta","id":"ITEM-2","issued":{"date-parts":[["2016"]]},"page":"46-53","title":"Facile synthesis of magnetic carbon nitride nanosheets and its application in magnetic solid phase extraction for polycyclic aromatic hydrocarbons in edible oil samples","type":"article-journal","volume":"148"},"uris":["http://www.mendeley.com/documents/?uuid=e5f78ae1-988c-4239-87e9-5c26c6d57818"]}],"mendeley":{"formattedCitation":"[12, 13]","plainTextFormattedCitation":"[12, 13]","previouslyFormattedCitation":"[12, 13]"},"properties":{"noteIndex":0},"schema":"https://github.com/citation-style-language/schema/raw/master/csl-citation.json"}</w:instrText>
      </w:r>
      <w:r w:rsidRPr="008D3551">
        <w:rPr>
          <w:rStyle w:val="FootnoteReference"/>
          <w:rFonts w:ascii="Times New Roman" w:hAnsi="Times New Roman"/>
          <w:sz w:val="20"/>
          <w:szCs w:val="20"/>
          <w:lang w:val="en-GB"/>
        </w:rPr>
        <w:fldChar w:fldCharType="separate"/>
      </w:r>
      <w:r w:rsidRPr="008D3551">
        <w:rPr>
          <w:rFonts w:ascii="Times New Roman" w:hAnsi="Times New Roman"/>
          <w:noProof/>
          <w:sz w:val="20"/>
          <w:szCs w:val="20"/>
          <w:lang w:val="en-GB"/>
        </w:rPr>
        <w:t>[12, 13]</w:t>
      </w:r>
      <w:r w:rsidRPr="008D3551">
        <w:rPr>
          <w:rStyle w:val="FootnoteReference"/>
          <w:rFonts w:ascii="Times New Roman" w:hAnsi="Times New Roman"/>
          <w:sz w:val="20"/>
          <w:szCs w:val="20"/>
          <w:lang w:val="en-GB"/>
        </w:rPr>
        <w:fldChar w:fldCharType="end"/>
      </w:r>
      <w:r w:rsidRPr="008D3551">
        <w:rPr>
          <w:rFonts w:ascii="Times New Roman" w:hAnsi="Times New Roman"/>
          <w:sz w:val="20"/>
          <w:szCs w:val="20"/>
          <w:lang w:val="en-GB"/>
        </w:rPr>
        <w:t xml:space="preserve">, solid-phase microextraction </w:t>
      </w:r>
      <w:r w:rsidRPr="008D3551">
        <w:rPr>
          <w:rStyle w:val="FootnoteReference"/>
          <w:rFonts w:ascii="Times New Roman" w:hAnsi="Times New Roman"/>
          <w:sz w:val="20"/>
          <w:szCs w:val="20"/>
          <w:lang w:val="en-GB"/>
        </w:rPr>
        <w:fldChar w:fldCharType="begin" w:fldLock="1"/>
      </w:r>
      <w:r w:rsidRPr="008D3551">
        <w:rPr>
          <w:rFonts w:ascii="Times New Roman" w:hAnsi="Times New Roman"/>
          <w:sz w:val="20"/>
          <w:szCs w:val="20"/>
          <w:lang w:val="en-GB"/>
        </w:rPr>
        <w:instrText>ADDIN CSL_CITATION {"citationItems":[{"id":"ITEM-1","itemData":{"DOI":"10.1016/j.chemolab.2014.01.013","ISSN":"01697439","abstract":"A new graphene-based tetraethoxysilane-methyltrimethoxysilane sol-gel hybrid magnetic nanocomposite (Fe3O4@G-TEOS-MTMOS) was synthesised, characterized and successfully applied in magnetic solid-phase extraction (MSPE) for simultaneous analysis of polar and non-polar organophosphorus pesticides from several water samples. The Fe3O4@G-TEOS-MTMOS nanocomposite was characterized using Fourier transform-infrared spectroscopy, energy-dispersive X-ray spectroscopy, field emission scanning electron microscopy and X-ray diffraction. Separation, determination and quantification were achieved using gas chromatography coupled with micro electron capture detector. Adsorption capacity of the sorbent was calculated using Langmuir equation. MSPE was linear in the range 100–1000 pg mL−1for phosphamidon and dimethoate, and 10–100 pg mL−1for chlorpyrifos and diazinon, with limit of detection (S/N = 3) of 19.8, 23.7, 1.4 and 2.9 pg mL−1for phosphamidon, dimethoate, diazinon and chlorpyrifos, respectively. The LODs obtained is well below the maximum residual level (100 pg mL−1) as set by European Union for pesticides in drinking water. Acceptable precision (%RSD) was achieved for intra-day (1.3–8.7%, n = 3) and inter-day (7.6–17.8%, n = 15) analyses. Fe3O4@G-TEOS-MTMOS showed high adsorption capacity (54.4–76.3 mg g−1) for the selected OPPs. No pesticide residues were detected in the water samples analysed. Excellent extraction recoveries (83–105%) were obtained for the spiked OPPs from tap, river, lake and sea water samples. The newly synthesised Fe3O4@G-TEOS-MTMOS showed high potential as adsorbent for OPPs analysis.","author":[{"dropping-particle":"","family":"Rubio","given":"L.","non-dropping-particle":"","parse-names":false,"suffix":""},{"dropping-particle":"","family":"Sanllorente","given":"S.","non-dropping-particle":"","parse-names":false,"suffix":""},{"dropping-particle":"","family":"Sarabia","given":"L.A.","non-dropping-particle":"","parse-names":false,"suffix":""},{"dropping-particle":"","family":"Ortiz","given":"M.C.","non-dropping-particle":"","parse-names":false,"suffix":""}],"container-title":"Chemometrics and Intelligent Laboratory Systems","id":"ITEM-1","issued":{"date-parts":[["2014"]]},"page":"121-135","title":"Optimization of a headspace solid-phase microextraction and gas chromatography/mass spectrometry procedure for the determination of aromatic amines in water and in polyamide spoons","type":"article-journal","volume":"133"},"uris":["http://www.mendeley.com/documents/?uuid=da25d287-4a8c-4c19-8544-5d99085eb07b"]},{"id":"ITEM-2","itemData":{"DOI":"10.1016/j.talanta.2013.12.046","ISBN":"0039-9140","ISSN":"00399140","PMID":"24607122","abstract":"The extraction performance of four polymeric ionic liquid (PIL)-based solid-phase microextraction (SPME) coatings has been studied and compared to that of commercial SPME coatings for the extraction of 16 volatile compounds in cheeses. The analytes include 2 free fatty acids, 2 aldehydes, 2 ketones and 10 phenols and were determined by headspace (HS)-SPME coupled to gas chromatography (GC) with flame-ionization detection (FID). The PIL-based coatings produced by UV co-polymerization were more efficient than PIL-based coatings produced by thermal AIBN polymerization. Partition coefficients of analytes between the sample and the coating (Kfs) were estimated for all PIL-based coatings and the commercial SPME fiber showing the best performance among the commercial fibers tested: carboxen-polydimethylsyloxane (CAR-PDMS). For the PIL-based fibers, the highest Kfsvalue (1.96±0.03) was obtained for eugenol. The normalized calibration slope, which takes into account the SPME coating thickness, was also used as a simpler approximate tool to compare the nature of the coating within the determinations, with results entirely comparable to those obtained with estimated Kfsvalues. The PIL-based materials obtained by UV co-polymerization containing the 1-vinyl-3-hexylimidazolium chloride IL monomer and 1,12-di(3-vinylimiazolium) dodecane dibromide IL crosslinker exhibited the best performance in the extraction of the select analytes from cheeses. Despite a coating thickness of only 7 μm, this copolymeric sorbent coating was capable of quantitating analytes in HS-SPME in a 30 to 2000 μg L-1concentration range, with correlation coefficient (R) values higher than 0.9938, inter-day precision values (as relative standard deviation in %) varying from 6.1 to 20%, and detection limits down to 1.6 μg L-1. © 2013 Elsevier B.V.","author":[{"dropping-particle":"","family":"Trujillo-Rodríguez","given":"María J.","non-dropping-particle":"","parse-names":false,"suffix":""},{"dropping-particle":"","family":"Yu","given":"Honglian","non-dropping-particle":"","parse-names":false,"suffix":""},{"dropping-particle":"","family":"Cole","given":"William T.S.","non-dropping-particle":"","parse-names":false,"suffix":""},{"dropping-particle":"","family":"Ho","given":"Tien D.","non-dropping-particle":"","parse-names":false,"suffix":""},{"dropping-particle":"","family":"Pino","given":"Verónica","non-dropping-particle":"","parse-names":false,"suffix":""},{"dropping-particle":"","family":"Anderson","given":"Jared L.","non-dropping-particle":"","parse-names":false,"suffix":""},{"dropping-particle":"","family":"Afonso","given":"Ana M.","non-dropping-particle":"","parse-names":false,"suffix":""}],"container-title":"Talanta","id":"ITEM-2","issued":{"date-parts":[["2014"]]},"page":"153-162","publisher":"Elsevier","title":"Polymeric ionic liquid coatings versus commercial solid-phase microextraction coatings for the determination of volatile compounds in cheeses","type":"article-journal","volume":"121"},"uris":["http://www.mendeley.com/documents/?uuid=d60832a0-b8aa-474f-b094-8905272f898f"]}],"mendeley":{"formattedCitation":"[14, 15]","plainTextFormattedCitation":"[14, 15]","previouslyFormattedCitation":"[14, 15]"},"properties":{"noteIndex":0},"schema":"https://github.com/citation-style-language/schema/raw/master/csl-citation.json"}</w:instrText>
      </w:r>
      <w:r w:rsidRPr="008D3551">
        <w:rPr>
          <w:rStyle w:val="FootnoteReference"/>
          <w:rFonts w:ascii="Times New Roman" w:hAnsi="Times New Roman"/>
          <w:sz w:val="20"/>
          <w:szCs w:val="20"/>
          <w:lang w:val="en-GB"/>
        </w:rPr>
        <w:fldChar w:fldCharType="separate"/>
      </w:r>
      <w:r w:rsidRPr="008D3551">
        <w:rPr>
          <w:rFonts w:ascii="Times New Roman" w:hAnsi="Times New Roman"/>
          <w:noProof/>
          <w:sz w:val="20"/>
          <w:szCs w:val="20"/>
          <w:lang w:val="en-GB"/>
        </w:rPr>
        <w:t>[14, 15]</w:t>
      </w:r>
      <w:r w:rsidRPr="008D3551">
        <w:rPr>
          <w:rStyle w:val="FootnoteReference"/>
          <w:rFonts w:ascii="Times New Roman" w:hAnsi="Times New Roman"/>
          <w:sz w:val="20"/>
          <w:szCs w:val="20"/>
          <w:lang w:val="en-GB"/>
        </w:rPr>
        <w:fldChar w:fldCharType="end"/>
      </w:r>
      <w:r w:rsidRPr="008D3551">
        <w:rPr>
          <w:rFonts w:ascii="Times New Roman" w:hAnsi="Times New Roman"/>
          <w:sz w:val="20"/>
          <w:szCs w:val="20"/>
          <w:lang w:val="en-GB"/>
        </w:rPr>
        <w:t xml:space="preserve">, and supramolecular based dispersive liquid phase microextraction (SM-DLPME) </w:t>
      </w:r>
      <w:r w:rsidRPr="008D3551">
        <w:rPr>
          <w:rStyle w:val="FootnoteReference"/>
          <w:rFonts w:ascii="Times New Roman" w:hAnsi="Times New Roman"/>
          <w:sz w:val="20"/>
          <w:szCs w:val="20"/>
          <w:lang w:val="en-GB"/>
        </w:rPr>
        <w:fldChar w:fldCharType="begin" w:fldLock="1"/>
      </w:r>
      <w:r w:rsidRPr="008D3551">
        <w:rPr>
          <w:rFonts w:ascii="Times New Roman" w:hAnsi="Times New Roman"/>
          <w:sz w:val="20"/>
          <w:szCs w:val="20"/>
          <w:lang w:val="en-GB"/>
        </w:rPr>
        <w:instrText>ADDIN CSL_CITATION {"citationItems":[{"id":"ITEM-1","itemData":{"DOI":"10.1016/j.microc.2017.03.007","ISSN":"0026265X","abstract":"A supramolecular solvent-based microextraction procedure for preconcentration of four most common sugarcane herbicides (diuron, hexazinone, ametryn and tebuthiuron) from groundwater and surface water samples with further determination by High Performance Liquid Chromatography with Photodiode Array detector (HPLC-DAD) is proposed. The proposed method involves the use of a supramolecular solvent in which reverse micelles of 1-decanol are dispersed in tetrahydrofuran/water. The extraction of four herbicides performed at pH 4.0 requires low sample volume (10.0 mL), low extraction time (30 s of extraction and 10 min of centrifugation), low amount of organic solvents (50 μL of 1-decanol and 100 μL of THF) and provides high preconcentration factors (48.5 to diuron, 15.1 to hexazinone, 47.4 to ametryn and 21.0 to tebuthiuron). The limits of detection (LOD), quantification (LOQ), the precision (RSD) and the accuracy (RE) of the developed method ranged between 0.13 and 1.45 μg L− 1, 0.43–4.85 μg L− 1, 2.4–6.8% and 0.6–6.2%, respectively. Recovery values obtained by applying the proposed method in spiked groundwater and surface water samples at μg L− 1 levels varied in the range of 95–111%. The quantification of some analyzed herbicides in natural waters showed clearly the importance of investigates herbicides concentrations in regions of sugarcane cultivation predominance.","author":[{"dropping-particle":"","family":"Scheel","given":"Guilherme Luiz","non-dropping-particle":"","parse-names":false,"suffix":""},{"dropping-particle":"","family":"Tarley","given":"César Ricardo Teixeira","non-dropping-particle":"","parse-names":false,"suffix":""}],"container-title":"Microchemical Journal","id":"ITEM-1","issued":{"date-parts":[["2017"]]},"page":"650-657","title":"Feasibility of supramolecular solvent-based microextraction for simultaneous preconcentration of herbicides from natural waters with posterior determination by HPLC-DAD","type":"article-journal","volume":"133"},"uris":["http://www.mendeley.com/documents/?uuid=d252e198-8451-4a04-809f-3d5bb0710507"]},{"id":"ITEM-2","itemData":{"DOI":"10.1016/j.aca.2010.07.027","ISSN":"00032670","abstract":"The increasing pressure to decrease organic solvent usage in laboratories is fostering the search for alternative solvents. The liquid-liquid phase separation of surfactants, induced by environmental conditions, viz. temperature, electrolytes, pH, etc., has been largely used in analytical extraction and concentration schemes. The surfactant-rich phase is a nano-structured liquid, recently named as supramolecular solvent, generated from the amphiphiles through a sequential self-assembly process occurring on two scales, molecular and nano. This review covers progress on both theoretical and practical aspects related to the use of supramolecular solvents in analytical extractions reported over the last decade. Advances allowing a better understanding of the mechanisms of solvent production and solvent structure are outlined. Emphasis is then placed on solvent composition and its consequences on extraction efficiency, concentration factors and suitability for solubilising analytes over a wide range of polarities. Recent developments in formats and strategies making supramolecular solvents compatible with chromatographic and electrophoretic techniques along with a variety of detection systems are discussed. Applications of supramolecular solvents to the extraction of organic compounds mainly in the biological, environmental and agrifood areas are critically reviewed and main future trends outlined. © 2010 Elsevier B.V.","author":[{"dropping-particle":"","family":"Ballesteros-Gómez","given":"Ana","non-dropping-particle":"","parse-names":false,"suffix":""},{"dropping-particle":"","family":"Sicilia","given":"María Dolores","non-dropping-particle":"","parse-names":false,"suffix":""},{"dropping-particle":"","family":"Rubio","given":"Soledad","non-dropping-particle":"","parse-names":false,"suffix":""}],"container-title":"Analytica Chimica Acta","id":"ITEM-2","issued":{"date-parts":[["2010"]]},"page":"108-130","title":"Supramolecular solvents in the extraction of organic compounds. A review","type":"article-journal","volume":"677"},"uris":["http://www.mendeley.com/documents/?uuid=b6f9c1c4-b44d-4252-b39f-1cfeec0f084b"]},{"id":"ITEM-3","itemData":{"DOI":"10.1016/j.molliq.2017.02.082","ISSN":"01677322","abstract":"In this work, two formats of supramolecular solvent microextraction have been made up of (i) inverted hexagonal aggregates of 1-octanol (rod-like micelle) and (ii) reverse micelles of octanoic acid in tetrahydrofuran (THF):water coupled with graphite-furnace atomic absorption spectroscopy (GF-AAS) were compared. Se(IV) was combined with ammonium pyrrolidine dithiocarbamate (APDC) to obtain hydrophobic complex and extracted to supramolecular solvent phase. The effective parameters on the extraction efficiency were studied and optimized utilizing two different optimization methods: one variable at a time (OVAT) and box-behnken design (BBD). Under the optimum conditions (rod-like micelle; pH = 2; volume of 1-octanol, 125 μL; volume of THF, 1.4 mL; concentration of APDC, 25 ppm), the limit of detection of the method was 0.1 μg L− 1 and the repeatability of the proposed method, expressed as relative deviation, was 4.3%. Linearity was found to be in the range of 0.4–100 μg L− 1 and under the optimum conditions, the enhancement factor was 58. Optimized method was applied to water, urine, cosmetic (including skin cream, sunblock and perfume) and food samples (including garlic, mint and tea) for determination of total selenium.","author":[{"dropping-particle":"","family":"Moradi","given":"Morteza","non-dropping-particle":"","parse-names":false,"suffix":""},{"dropping-particle":"","family":"Kashanaki","given":"Rouhollah","non-dropping-particle":"","parse-names":false,"suffix":""},{"dropping-particle":"","family":"Borhani","given":"Saeed","non-dropping-particle":"","parse-names":false,"suffix":""},{"dropping-particle":"","family":"Bigdeli","given":"Hadise","non-dropping-particle":"","parse-names":false,"suffix":""},{"dropping-particle":"","family":"Abbasi","given":"Niloufar","non-dropping-particle":"","parse-names":false,"suffix":""},{"dropping-particle":"","family":"Kazemzadeh","given":"Asghar","non-dropping-particle":"","parse-names":false,"suffix":""}],"container-title":"Journal of Molecular Liquids","id":"ITEM-3","issued":{"date-parts":[["2017"]]},"page":"243-250","title":"Optimization of supramolecular solvent microextraction prior to graphite furnace atomic absorption spectrometry for total selenium determination in food and environmental samples","type":"article-journal","volume":"232"},"uris":["http://www.mendeley.com/documents/?uuid=7d9e7507-1b66-4606-bf43-d621b567462d"]}],"mendeley":{"formattedCitation":"[16–18]","plainTextFormattedCitation":"[16–18]","previouslyFormattedCitation":"[16–18]"},"properties":{"noteIndex":0},"schema":"https://github.com/citation-style-language/schema/raw/master/csl-citation.json"}</w:instrText>
      </w:r>
      <w:r w:rsidRPr="008D3551">
        <w:rPr>
          <w:rStyle w:val="FootnoteReference"/>
          <w:rFonts w:ascii="Times New Roman" w:hAnsi="Times New Roman"/>
          <w:sz w:val="20"/>
          <w:szCs w:val="20"/>
          <w:lang w:val="en-GB"/>
        </w:rPr>
        <w:fldChar w:fldCharType="separate"/>
      </w:r>
      <w:r w:rsidRPr="008D3551">
        <w:rPr>
          <w:rFonts w:ascii="Times New Roman" w:hAnsi="Times New Roman"/>
          <w:noProof/>
          <w:sz w:val="20"/>
          <w:szCs w:val="20"/>
          <w:lang w:val="en-GB"/>
        </w:rPr>
        <w:t>[16-18]</w:t>
      </w:r>
      <w:r w:rsidRPr="008D3551">
        <w:rPr>
          <w:rStyle w:val="FootnoteReference"/>
          <w:rFonts w:ascii="Times New Roman" w:hAnsi="Times New Roman"/>
          <w:sz w:val="20"/>
          <w:szCs w:val="20"/>
          <w:lang w:val="en-GB"/>
        </w:rPr>
        <w:fldChar w:fldCharType="end"/>
      </w:r>
      <w:r w:rsidRPr="008D3551">
        <w:rPr>
          <w:rFonts w:ascii="Times New Roman" w:hAnsi="Times New Roman"/>
          <w:sz w:val="20"/>
          <w:szCs w:val="20"/>
          <w:lang w:val="en-GB"/>
        </w:rPr>
        <w:t>.</w:t>
      </w:r>
    </w:p>
    <w:p w:rsidR="008D3551" w:rsidRPr="008D3551" w:rsidRDefault="008D3551" w:rsidP="008D3551">
      <w:pPr>
        <w:spacing w:after="0" w:line="240" w:lineRule="auto"/>
        <w:jc w:val="both"/>
        <w:rPr>
          <w:rFonts w:ascii="Times New Roman" w:hAnsi="Times New Roman"/>
          <w:sz w:val="20"/>
          <w:szCs w:val="20"/>
          <w:lang w:val="en-GB"/>
        </w:rPr>
      </w:pPr>
    </w:p>
    <w:p w:rsidR="008D3551" w:rsidRDefault="008D3551" w:rsidP="008D3551">
      <w:pPr>
        <w:spacing w:after="0" w:line="240" w:lineRule="auto"/>
        <w:jc w:val="both"/>
        <w:rPr>
          <w:rFonts w:ascii="Times New Roman" w:hAnsi="Times New Roman"/>
          <w:sz w:val="20"/>
          <w:szCs w:val="20"/>
        </w:rPr>
      </w:pPr>
      <w:r w:rsidRPr="008D3551">
        <w:rPr>
          <w:rFonts w:ascii="Times New Roman" w:hAnsi="Times New Roman"/>
          <w:sz w:val="20"/>
          <w:szCs w:val="20"/>
          <w:lang w:val="en-GB"/>
        </w:rPr>
        <w:t xml:space="preserve">SM-DLPME uses </w:t>
      </w:r>
      <w:r w:rsidRPr="008D3551">
        <w:rPr>
          <w:rFonts w:ascii="Times New Roman" w:hAnsi="Times New Roman"/>
          <w:sz w:val="20"/>
          <w:szCs w:val="20"/>
        </w:rPr>
        <w:t xml:space="preserve">supramolecular solvents (SUPRAS) as an extractant. Their principle is based on partitioning of an analyte between an alkyl-based nano-structured solvent and a bulk aqueous sample. SUPRAS are water-immiscible liquids widely used in extraction and pre-concentration techniques due to their excellent ability to extract various types of compounds, including organic and inorganic species </w:t>
      </w:r>
      <w:r w:rsidRPr="008D3551">
        <w:rPr>
          <w:rStyle w:val="FootnoteReference"/>
          <w:rFonts w:ascii="Times New Roman" w:hAnsi="Times New Roman"/>
          <w:sz w:val="20"/>
          <w:szCs w:val="20"/>
        </w:rPr>
        <w:fldChar w:fldCharType="begin" w:fldLock="1"/>
      </w:r>
      <w:r w:rsidRPr="008D3551">
        <w:rPr>
          <w:rFonts w:ascii="Times New Roman" w:hAnsi="Times New Roman"/>
          <w:sz w:val="20"/>
          <w:szCs w:val="20"/>
        </w:rPr>
        <w:instrText>ADDIN CSL_CITATION {"citationItems":[{"id":"ITEM-1","itemData":{"DOI":"10.1039/c7ra07780g","author":[{"dropping-particle":"","family":"Seebunrueng","given":"Ketsarin","non-dropping-particle":"","parse-names":false,"suffix":""},{"dropping-particle":"","family":"Dejchaiwatana","given":"Chaiyawat","non-dropping-particle":"","parse-names":false,"suffix":""},{"dropping-particle":"","family":"Santaladchaiyakit","given":"Yanawath","non-dropping-particle":"","parse-names":false,"suffix":""},{"dropping-particle":"","family":"Srijaranai","given":"Supalax Srijaranai","non-dropping-particle":"","parse-names":false,"suffix":""}],"container-title":"RSC Advances","id":"ITEM-1","issued":{"date-parts":[["2017"]]},"page":"50143-50149","title":"Development of supramolecular solvent based microextraction prior to high performance liquid chromatography for simultaneous determination of phenols in environmental water","type":"article-journal","volume":"7"},"uris":["http://www.mendeley.com/documents/?uuid=3559fb4e-fd63-431d-9490-efc54fc5e4d7"]}],"mendeley":{"formattedCitation":"[19]","plainTextFormattedCitation":"[19]","previouslyFormattedCitation":"[19]"},"properties":{"noteIndex":0},"schema":"https://github.com/citation-style-language/schema/raw/master/csl-citation.json"}</w:instrText>
      </w:r>
      <w:r w:rsidRPr="008D3551">
        <w:rPr>
          <w:rStyle w:val="FootnoteReference"/>
          <w:rFonts w:ascii="Times New Roman" w:hAnsi="Times New Roman"/>
          <w:sz w:val="20"/>
          <w:szCs w:val="20"/>
        </w:rPr>
        <w:fldChar w:fldCharType="separate"/>
      </w:r>
      <w:r w:rsidRPr="008D3551">
        <w:rPr>
          <w:rFonts w:ascii="Times New Roman" w:hAnsi="Times New Roman"/>
          <w:noProof/>
          <w:sz w:val="20"/>
          <w:szCs w:val="20"/>
        </w:rPr>
        <w:t>[19]</w:t>
      </w:r>
      <w:r w:rsidRPr="008D3551">
        <w:rPr>
          <w:rStyle w:val="FootnoteReference"/>
          <w:rFonts w:ascii="Times New Roman" w:hAnsi="Times New Roman"/>
          <w:sz w:val="20"/>
          <w:szCs w:val="20"/>
        </w:rPr>
        <w:fldChar w:fldCharType="end"/>
      </w:r>
      <w:r w:rsidRPr="008D3551">
        <w:rPr>
          <w:rFonts w:ascii="Times New Roman" w:hAnsi="Times New Roman"/>
          <w:sz w:val="20"/>
          <w:szCs w:val="20"/>
        </w:rPr>
        <w:t xml:space="preserve">. SUPRAS can provide different types of interaction (e.g. hydrophobic, ionic, and hydrogen bonding) with the organic compounds and hydrophobic complexes of metals with ligands </w:t>
      </w:r>
      <w:r w:rsidRPr="008D3551">
        <w:rPr>
          <w:rStyle w:val="FootnoteReference"/>
          <w:rFonts w:ascii="Times New Roman" w:hAnsi="Times New Roman"/>
          <w:sz w:val="20"/>
          <w:szCs w:val="20"/>
        </w:rPr>
        <w:fldChar w:fldCharType="begin" w:fldLock="1"/>
      </w:r>
      <w:r w:rsidRPr="008D3551">
        <w:rPr>
          <w:rFonts w:ascii="Times New Roman" w:hAnsi="Times New Roman"/>
          <w:sz w:val="20"/>
          <w:szCs w:val="20"/>
        </w:rPr>
        <w:instrText>ADDIN CSL_CITATION {"citationItems":[{"id":"ITEM-1","itemData":{"DOI":"10.1016/j.talanta.2014.03.053","ISSN":"0039-9140","author":[{"dropping-particle":"","family":"Yilmaz","given":"Erkan","non-dropping-particle":"","parse-names":false,"suffix":""},{"dropping-particle":"","family":"Soylak","given":"Mustafa","non-dropping-particle":"","parse-names":false,"suffix":""}],"container-title":"Talanta","id":"ITEM-1","issued":{"date-parts":[["2014"]]},"page":"191-195","title":"Development a novel supramolecular solvent microextraction procedure for copper in environmental samples and its determination by microsampling flame atomic absorption spectrometry","type":"article-journal","volume":"126"},"uris":["http://www.mendeley.com/documents/?uuid=ea809596-f7fd-4719-8ef7-5bb915374b93"]}],"mendeley":{"formattedCitation":"[20]","plainTextFormattedCitation":"[20]","previouslyFormattedCitation":"[20]"},"properties":{"noteIndex":0},"schema":"https://github.com/citation-style-language/schema/raw/master/csl-citation.json"}</w:instrText>
      </w:r>
      <w:r w:rsidRPr="008D3551">
        <w:rPr>
          <w:rStyle w:val="FootnoteReference"/>
          <w:rFonts w:ascii="Times New Roman" w:hAnsi="Times New Roman"/>
          <w:sz w:val="20"/>
          <w:szCs w:val="20"/>
        </w:rPr>
        <w:fldChar w:fldCharType="separate"/>
      </w:r>
      <w:r w:rsidRPr="008D3551">
        <w:rPr>
          <w:rFonts w:ascii="Times New Roman" w:hAnsi="Times New Roman"/>
          <w:noProof/>
          <w:sz w:val="20"/>
          <w:szCs w:val="20"/>
        </w:rPr>
        <w:t>[20]</w:t>
      </w:r>
      <w:r w:rsidRPr="008D3551">
        <w:rPr>
          <w:rStyle w:val="FootnoteReference"/>
          <w:rFonts w:ascii="Times New Roman" w:hAnsi="Times New Roman"/>
          <w:sz w:val="20"/>
          <w:szCs w:val="20"/>
        </w:rPr>
        <w:fldChar w:fldCharType="end"/>
      </w:r>
      <w:r w:rsidRPr="008D3551">
        <w:rPr>
          <w:rFonts w:ascii="Times New Roman" w:hAnsi="Times New Roman"/>
          <w:sz w:val="20"/>
          <w:szCs w:val="20"/>
        </w:rPr>
        <w:t xml:space="preserve">. These interactions are important for extracting analytes from the water phase to the supramolecular solvent phase to increase the extraction efficiency </w:t>
      </w:r>
      <w:r w:rsidRPr="008D3551">
        <w:rPr>
          <w:rStyle w:val="FootnoteReference"/>
          <w:rFonts w:ascii="Times New Roman" w:hAnsi="Times New Roman"/>
          <w:sz w:val="20"/>
          <w:szCs w:val="20"/>
        </w:rPr>
        <w:fldChar w:fldCharType="begin" w:fldLock="1"/>
      </w:r>
      <w:r w:rsidRPr="008D3551">
        <w:rPr>
          <w:rFonts w:ascii="Times New Roman" w:hAnsi="Times New Roman"/>
          <w:sz w:val="20"/>
          <w:szCs w:val="20"/>
        </w:rPr>
        <w:instrText>ADDIN CSL_CITATION {"citationItems":[{"id":"ITEM-1","itemData":{"DOI":"10.1039/c5ay02330k","author":[{"dropping-particle":"","family":"Shamsipur","given":"Mojtaba","non-dropping-particle":"","parse-names":false,"suffix":""},{"dropping-particle":"","family":"Zohrabib","given":"Parvin","non-dropping-particle":"","parse-names":false,"suffix":""},{"dropping-particle":"","family":"Hashemi","given":"Mahdi","non-dropping-particle":"","parse-names":false,"suffix":""}],"container-title":"Analytical Methods","id":"ITEM-1","issued":{"date-parts":[["2015"]]},"page":"9609-9614","title":"Application of a supramolecular solvent as the carrier for ferrofluid based liquid-phase microextraction for spectro fluorimetric determination of levofloxacin in biological samples","type":"article-journal","volume":"7"},"uris":["http://www.mendeley.com/documents/?uuid=ae2996de-f0fd-411a-9348-308209ac303b"]},{"id":"ITEM-2","itemData":{"DOI":"10.1016/j.chroma.2008.06.029","author":[{"dropping-particle":"","family":"Ballesteros-Gomez","given":"Ana","non-dropping-particle":"","parse-names":false,"suffix":""},{"dropping-particle":"","family":"Rubio","given":"Soledad","non-dropping-particle":"","parse-names":false,"suffix":""},{"dropping-particle":"","family":"Perez-Bendito","given":"Dolores","non-dropping-particle":"","parse-names":false,"suffix":""}],"container-title":"Journal of Chromatography A","id":"ITEM-2","issued":{"date-parts":[["2009"]]},"page":"530-539","title":"Potential of supramolecular solvents for the extraction of contaminants in liquid foods","type":"article-journal","volume":"1216"},"uris":["http://www.mendeley.com/documents/?uuid=2ba5ffd1-82bc-433e-b0e3-c94fe8a04ff0"]},{"id":"ITEM-3","itemData":{"DOI":"10.1016/j.aca.2013.10.026","ISSN":"0003-2670","author":[{"dropping-particle":"","family":"Rezaei","given":"Fatemeh","non-dropping-particle":"","parse-names":false,"suffix":""},{"dropping-particle":"","family":"Yamini","given":"Yadollah","non-dropping-particle":"","parse-names":false,"suffix":""},{"dropping-particle":"","family":"Moradi","given":"Morteza","non-dropping-particle":"","parse-names":false,"suffix":""},{"dropping-particle":"","family":"Daraei","given":"Bahram","non-dropping-particle":"","parse-names":false,"suffix":""}],"container-title":"Analytica Chimica Acta","id":"ITEM-3","issued":{"date-parts":[["2013"]]},"page":"135-142","title":"Supramolecular solvent-based hollow fiber liquid phase microextraction of benzodiazepines","type":"article-journal","volume":"804"},"uris":["http://www.mendeley.com/documents/?uuid=b040b174-8c48-4333-b292-73ce45457c8c"]}],"mendeley":{"formattedCitation":"[21–23]","plainTextFormattedCitation":"[21–23]","previouslyFormattedCitation":"[21–23]"},"properties":{"noteIndex":0},"schema":"https://github.com/citation-style-language/schema/raw/master/csl-citation.json"}</w:instrText>
      </w:r>
      <w:r w:rsidRPr="008D3551">
        <w:rPr>
          <w:rStyle w:val="FootnoteReference"/>
          <w:rFonts w:ascii="Times New Roman" w:hAnsi="Times New Roman"/>
          <w:sz w:val="20"/>
          <w:szCs w:val="20"/>
        </w:rPr>
        <w:fldChar w:fldCharType="separate"/>
      </w:r>
      <w:r w:rsidRPr="008D3551">
        <w:rPr>
          <w:rFonts w:ascii="Times New Roman" w:hAnsi="Times New Roman"/>
          <w:noProof/>
          <w:sz w:val="20"/>
          <w:szCs w:val="20"/>
        </w:rPr>
        <w:t>[21-23]</w:t>
      </w:r>
      <w:r w:rsidRPr="008D3551">
        <w:rPr>
          <w:rStyle w:val="FootnoteReference"/>
          <w:rFonts w:ascii="Times New Roman" w:hAnsi="Times New Roman"/>
          <w:sz w:val="20"/>
          <w:szCs w:val="20"/>
        </w:rPr>
        <w:fldChar w:fldCharType="end"/>
      </w:r>
      <w:r w:rsidRPr="008D3551">
        <w:rPr>
          <w:rFonts w:ascii="Times New Roman" w:hAnsi="Times New Roman"/>
          <w:sz w:val="20"/>
          <w:szCs w:val="20"/>
        </w:rPr>
        <w:t>.</w:t>
      </w:r>
    </w:p>
    <w:p w:rsidR="008D3551" w:rsidRPr="008D3551" w:rsidRDefault="008D3551" w:rsidP="008D3551">
      <w:pPr>
        <w:spacing w:after="0" w:line="240" w:lineRule="auto"/>
        <w:jc w:val="both"/>
        <w:rPr>
          <w:rFonts w:ascii="Times New Roman" w:hAnsi="Times New Roman"/>
          <w:sz w:val="20"/>
          <w:szCs w:val="20"/>
          <w:lang w:val="en-GB"/>
        </w:rPr>
      </w:pPr>
    </w:p>
    <w:p w:rsidR="008D3551" w:rsidRDefault="008D3551" w:rsidP="008D3551">
      <w:pPr>
        <w:spacing w:after="0" w:line="240" w:lineRule="auto"/>
        <w:jc w:val="both"/>
        <w:rPr>
          <w:rFonts w:ascii="Times New Roman" w:hAnsi="Times New Roman"/>
          <w:sz w:val="20"/>
          <w:szCs w:val="20"/>
        </w:rPr>
      </w:pPr>
      <w:r w:rsidRPr="008D3551">
        <w:rPr>
          <w:rFonts w:ascii="Times New Roman" w:hAnsi="Times New Roman"/>
          <w:sz w:val="20"/>
          <w:szCs w:val="20"/>
        </w:rPr>
        <w:t xml:space="preserve">The aim of this research was to develop a new and fast microextraction method using dispersion of SUPRAS as the extractant phase into the aqueous phase, yielding a mild emulsification procedure, under vortex conditions. The resulting methodology, called vortex-assisted supramolecular-based dispersive liquid-phase microextraction (VASM-DLPME), was used to extract trace amounts of RhB from chili powder samples. The fine droplets formed sped up the adsorption equilibrium process due to the shorter diffusion distance and larger specific surface area of </w:t>
      </w:r>
      <w:r w:rsidRPr="008D3551">
        <w:rPr>
          <w:rFonts w:ascii="Times New Roman" w:hAnsi="Times New Roman"/>
          <w:sz w:val="20"/>
          <w:szCs w:val="20"/>
        </w:rPr>
        <w:lastRenderedPageBreak/>
        <w:t>the SUPRAS. The developed method was successfully applied to assess the content of RhB in a variety of commercial chili powders available in Malaysia.</w:t>
      </w:r>
    </w:p>
    <w:p w:rsidR="008D3551" w:rsidRPr="008D3551" w:rsidRDefault="008D3551" w:rsidP="008D3551">
      <w:pPr>
        <w:spacing w:after="0" w:line="240" w:lineRule="auto"/>
        <w:jc w:val="center"/>
        <w:rPr>
          <w:rFonts w:ascii="Times New Roman" w:hAnsi="Times New Roman"/>
          <w:sz w:val="20"/>
          <w:szCs w:val="20"/>
        </w:rPr>
      </w:pPr>
    </w:p>
    <w:p w:rsidR="008D3551" w:rsidRPr="008D3551" w:rsidRDefault="008D3551" w:rsidP="008D3551">
      <w:pPr>
        <w:spacing w:after="0" w:line="240" w:lineRule="auto"/>
        <w:jc w:val="center"/>
        <w:rPr>
          <w:rFonts w:ascii="Times New Roman" w:hAnsi="Times New Roman"/>
          <w:b/>
          <w:sz w:val="20"/>
          <w:szCs w:val="20"/>
        </w:rPr>
      </w:pPr>
      <w:r w:rsidRPr="008D3551">
        <w:rPr>
          <w:rFonts w:ascii="Times New Roman" w:hAnsi="Times New Roman"/>
          <w:b/>
          <w:sz w:val="20"/>
          <w:szCs w:val="20"/>
        </w:rPr>
        <w:t>Materials and Methods</w:t>
      </w:r>
    </w:p>
    <w:p w:rsidR="008D3551" w:rsidRPr="008D3551" w:rsidRDefault="008D3551" w:rsidP="008D3551">
      <w:pPr>
        <w:spacing w:after="0" w:line="240" w:lineRule="auto"/>
        <w:jc w:val="both"/>
        <w:rPr>
          <w:rFonts w:ascii="Times New Roman" w:hAnsi="Times New Roman"/>
          <w:b/>
          <w:sz w:val="20"/>
          <w:szCs w:val="20"/>
        </w:rPr>
      </w:pPr>
      <w:r w:rsidRPr="008D3551">
        <w:rPr>
          <w:rFonts w:ascii="Times New Roman" w:hAnsi="Times New Roman"/>
          <w:b/>
          <w:sz w:val="20"/>
          <w:szCs w:val="20"/>
        </w:rPr>
        <w:t>Instrumentation</w:t>
      </w:r>
    </w:p>
    <w:p w:rsidR="008D3551" w:rsidRDefault="008D3551" w:rsidP="008D3551">
      <w:pPr>
        <w:spacing w:after="0" w:line="240" w:lineRule="auto"/>
        <w:jc w:val="both"/>
        <w:rPr>
          <w:rFonts w:ascii="Times New Roman" w:hAnsi="Times New Roman"/>
          <w:sz w:val="20"/>
          <w:szCs w:val="20"/>
        </w:rPr>
      </w:pPr>
      <w:r w:rsidRPr="008D3551">
        <w:rPr>
          <w:rFonts w:ascii="Times New Roman" w:hAnsi="Times New Roman"/>
          <w:sz w:val="20"/>
          <w:szCs w:val="20"/>
        </w:rPr>
        <w:t>A Shimadzu UV-1800 spectrophotometer (Torrance, CA, USA) with 3 mL quartz cuvettes and wavelength of 553 nm was used for all sample analyses. pH measurements were performed using a pH meter (Hanna Instruments, Woonsocket, RI, USA). A tabletop centrifuge (Kubota, 4200, Osaka, Japan) (16000 rpm) was applied during the phase separation, and a digital control ultrasonic bath with adjustable temperature (Thermo-10D, Thermoline Scientific, Wetherill Park, Australia) was used for the sample preparation.</w:t>
      </w:r>
    </w:p>
    <w:p w:rsidR="008D3551" w:rsidRPr="008D3551" w:rsidRDefault="008D3551" w:rsidP="008D3551">
      <w:pPr>
        <w:spacing w:after="0" w:line="240" w:lineRule="auto"/>
        <w:jc w:val="both"/>
        <w:rPr>
          <w:rFonts w:ascii="Times New Roman" w:hAnsi="Times New Roman"/>
          <w:sz w:val="20"/>
          <w:szCs w:val="20"/>
        </w:rPr>
      </w:pPr>
    </w:p>
    <w:p w:rsidR="008D3551" w:rsidRPr="008D3551" w:rsidRDefault="008D3551" w:rsidP="008D3551">
      <w:pPr>
        <w:tabs>
          <w:tab w:val="left" w:pos="720"/>
          <w:tab w:val="left" w:pos="1440"/>
          <w:tab w:val="left" w:pos="2160"/>
          <w:tab w:val="left" w:pos="2880"/>
          <w:tab w:val="left" w:pos="5850"/>
        </w:tabs>
        <w:spacing w:after="0" w:line="240" w:lineRule="auto"/>
        <w:jc w:val="both"/>
        <w:rPr>
          <w:rFonts w:ascii="Times New Roman" w:hAnsi="Times New Roman"/>
          <w:b/>
          <w:sz w:val="20"/>
          <w:szCs w:val="20"/>
        </w:rPr>
      </w:pPr>
      <w:r w:rsidRPr="008D3551">
        <w:rPr>
          <w:rFonts w:ascii="Times New Roman" w:hAnsi="Times New Roman"/>
          <w:b/>
          <w:sz w:val="20"/>
          <w:szCs w:val="20"/>
        </w:rPr>
        <w:t>Chemicals and reagents</w:t>
      </w:r>
      <w:r w:rsidRPr="008D3551">
        <w:rPr>
          <w:rFonts w:ascii="Times New Roman" w:hAnsi="Times New Roman"/>
          <w:b/>
          <w:sz w:val="20"/>
          <w:szCs w:val="20"/>
        </w:rPr>
        <w:tab/>
      </w:r>
    </w:p>
    <w:p w:rsidR="008D3551" w:rsidRDefault="008D3551" w:rsidP="008D3551">
      <w:pPr>
        <w:spacing w:after="0" w:line="240" w:lineRule="auto"/>
        <w:jc w:val="both"/>
        <w:rPr>
          <w:rFonts w:ascii="Times New Roman" w:hAnsi="Times New Roman"/>
          <w:sz w:val="20"/>
          <w:szCs w:val="20"/>
        </w:rPr>
      </w:pPr>
      <w:r w:rsidRPr="008D3551">
        <w:rPr>
          <w:rFonts w:ascii="Times New Roman" w:hAnsi="Times New Roman"/>
          <w:sz w:val="20"/>
          <w:szCs w:val="20"/>
        </w:rPr>
        <w:t>RhB standard (molecular weight: 479.02 g mol</w:t>
      </w:r>
      <w:r w:rsidRPr="008D3551">
        <w:rPr>
          <w:rFonts w:ascii="Times New Roman" w:hAnsi="Times New Roman"/>
          <w:sz w:val="20"/>
          <w:szCs w:val="20"/>
          <w:vertAlign w:val="superscript"/>
        </w:rPr>
        <w:t>–1</w:t>
      </w:r>
      <w:r w:rsidRPr="008D3551">
        <w:rPr>
          <w:rFonts w:ascii="Times New Roman" w:hAnsi="Times New Roman"/>
          <w:sz w:val="20"/>
          <w:szCs w:val="20"/>
        </w:rPr>
        <w:t>) with &gt; 95% purity was purchased from Sigma Aldrich (Milwaukee, WI, USA). High performance liquid chromatography (HPLC) grade methanol was supplied by Merck (Darmstadt, Germany). Ultrapure water was produced using the Sartorius Milli-Q system (Aubagne, France). The sample supernatant was filtered through 0.45 μm membrane filters before analysis. A 1 mL syringe needle was used to collect the upper layer of the extractant. SUPRAS (i.e., 1-octanol, 1-undecanol, and 1-dodecanol) were purchased from Merck, and 1-pentanol, 1-hexanol, and 1-heptanol were purchased from Sigma-Aldrich (St. Louis, MO, USA). All other reagents were of analytical grade and used without further purification.</w:t>
      </w:r>
    </w:p>
    <w:p w:rsidR="008D3551" w:rsidRPr="008D3551" w:rsidRDefault="008D3551" w:rsidP="008D3551">
      <w:pPr>
        <w:spacing w:after="0" w:line="240" w:lineRule="auto"/>
        <w:jc w:val="both"/>
        <w:rPr>
          <w:rFonts w:ascii="Times New Roman" w:hAnsi="Times New Roman"/>
          <w:sz w:val="20"/>
          <w:szCs w:val="20"/>
        </w:rPr>
      </w:pPr>
    </w:p>
    <w:p w:rsidR="008D3551" w:rsidRDefault="008D3551" w:rsidP="008D3551">
      <w:pPr>
        <w:spacing w:after="0" w:line="240" w:lineRule="auto"/>
        <w:jc w:val="both"/>
        <w:rPr>
          <w:rFonts w:ascii="Times New Roman" w:hAnsi="Times New Roman"/>
          <w:sz w:val="20"/>
          <w:szCs w:val="20"/>
        </w:rPr>
      </w:pPr>
      <w:r w:rsidRPr="008D3551">
        <w:rPr>
          <w:rFonts w:ascii="Times New Roman" w:hAnsi="Times New Roman"/>
          <w:sz w:val="20"/>
          <w:szCs w:val="20"/>
        </w:rPr>
        <w:t>The stock solutions of 100 mg L</w:t>
      </w:r>
      <w:r w:rsidRPr="008D3551">
        <w:rPr>
          <w:rFonts w:ascii="Times New Roman" w:hAnsi="Times New Roman"/>
          <w:sz w:val="20"/>
          <w:szCs w:val="20"/>
          <w:vertAlign w:val="superscript"/>
        </w:rPr>
        <w:t>–1</w:t>
      </w:r>
      <w:r w:rsidRPr="008D3551">
        <w:rPr>
          <w:rFonts w:ascii="Times New Roman" w:hAnsi="Times New Roman"/>
          <w:sz w:val="20"/>
          <w:szCs w:val="20"/>
        </w:rPr>
        <w:t xml:space="preserve"> for RhB were made using methanol. Ultrapure water was used to prepare the working standard solutions by diluting them to desired concentrations. All standard solutions were stored in the refrigerator (4 °C) to avoid degradation.</w:t>
      </w:r>
    </w:p>
    <w:p w:rsidR="008D3551" w:rsidRPr="008D3551" w:rsidRDefault="008D3551" w:rsidP="008D3551">
      <w:pPr>
        <w:spacing w:after="0" w:line="240" w:lineRule="auto"/>
        <w:jc w:val="both"/>
        <w:rPr>
          <w:rFonts w:ascii="Times New Roman" w:hAnsi="Times New Roman"/>
          <w:sz w:val="20"/>
          <w:szCs w:val="20"/>
        </w:rPr>
      </w:pPr>
    </w:p>
    <w:p w:rsidR="008D3551" w:rsidRPr="008D3551" w:rsidRDefault="008D3551" w:rsidP="008D3551">
      <w:pPr>
        <w:spacing w:after="0" w:line="240" w:lineRule="auto"/>
        <w:jc w:val="both"/>
        <w:rPr>
          <w:rFonts w:ascii="Times New Roman" w:hAnsi="Times New Roman"/>
          <w:b/>
          <w:sz w:val="20"/>
          <w:szCs w:val="20"/>
        </w:rPr>
      </w:pPr>
      <w:r w:rsidRPr="008D3551">
        <w:rPr>
          <w:rFonts w:ascii="Times New Roman" w:hAnsi="Times New Roman"/>
          <w:b/>
          <w:sz w:val="20"/>
          <w:szCs w:val="20"/>
        </w:rPr>
        <w:t>Sample preparation</w:t>
      </w:r>
    </w:p>
    <w:p w:rsidR="008D3551" w:rsidRPr="008D3551" w:rsidRDefault="008D3551" w:rsidP="008D3551">
      <w:pPr>
        <w:spacing w:after="0" w:line="240" w:lineRule="auto"/>
        <w:jc w:val="both"/>
        <w:rPr>
          <w:rFonts w:ascii="Times New Roman" w:hAnsi="Times New Roman"/>
          <w:sz w:val="20"/>
          <w:szCs w:val="20"/>
        </w:rPr>
      </w:pPr>
      <w:r w:rsidRPr="008D3551">
        <w:rPr>
          <w:rFonts w:ascii="Times New Roman" w:hAnsi="Times New Roman"/>
          <w:sz w:val="20"/>
          <w:szCs w:val="20"/>
        </w:rPr>
        <w:t>Chili powders used for this study were purchased from a local market in Kuala Lumpur, Malaysia. Briefly, 0.5 g of chili powder was precisely weighed and quantitatively transferred into a 15 mL centrifuge tube containing 10 mL of methanol. The mixture was sonicated for 30 minutes at room temperature to homogeneously agitate the chili powder. Thereafter, the sample mixture was centrifuged at 4000 rpm for 10 minutes. The supernatant was collected and filtered using a 0.45 µm membrane filter immediately to remove suspended particulate matter.</w:t>
      </w:r>
    </w:p>
    <w:p w:rsidR="008D3551" w:rsidRPr="008D3551" w:rsidRDefault="008D3551" w:rsidP="008D3551">
      <w:pPr>
        <w:spacing w:after="0" w:line="240" w:lineRule="auto"/>
        <w:jc w:val="both"/>
        <w:rPr>
          <w:rFonts w:ascii="Times New Roman" w:hAnsi="Times New Roman"/>
          <w:sz w:val="20"/>
          <w:szCs w:val="20"/>
        </w:rPr>
      </w:pPr>
    </w:p>
    <w:p w:rsidR="008D3551" w:rsidRPr="008D3551" w:rsidRDefault="008D3551" w:rsidP="008D3551">
      <w:pPr>
        <w:spacing w:after="0" w:line="240" w:lineRule="auto"/>
        <w:jc w:val="both"/>
        <w:rPr>
          <w:rFonts w:ascii="Times New Roman" w:hAnsi="Times New Roman"/>
          <w:b/>
          <w:sz w:val="20"/>
          <w:szCs w:val="20"/>
        </w:rPr>
      </w:pPr>
      <w:r w:rsidRPr="008D3551">
        <w:rPr>
          <w:rFonts w:ascii="Times New Roman" w:hAnsi="Times New Roman"/>
          <w:b/>
          <w:sz w:val="20"/>
          <w:szCs w:val="20"/>
        </w:rPr>
        <w:t>VASM-DLPME procedure</w:t>
      </w:r>
    </w:p>
    <w:p w:rsidR="008D3551" w:rsidRPr="008D3551" w:rsidRDefault="008D3551" w:rsidP="008D3551">
      <w:pPr>
        <w:spacing w:after="0" w:line="240" w:lineRule="auto"/>
        <w:jc w:val="both"/>
        <w:rPr>
          <w:rFonts w:ascii="Times New Roman" w:hAnsi="Times New Roman"/>
          <w:sz w:val="20"/>
          <w:szCs w:val="20"/>
        </w:rPr>
      </w:pPr>
      <w:r w:rsidRPr="008D3551">
        <w:rPr>
          <w:rFonts w:ascii="Times New Roman" w:hAnsi="Times New Roman"/>
          <w:sz w:val="20"/>
          <w:szCs w:val="20"/>
        </w:rPr>
        <w:t>A 0.2 mL aliquot of sample solution containing the analyte was transferred into a centrifuge tube. Adjustment of the sample solution to pH 5 was carried out by dropwise addition of 0.1 M of HCl or NaOH solutions before subjecting the sample to the VASM-DLPME procedure. Next, 0.4 mL of SUPRAS as the extractant was injected into the sample solution, followed by addition of deionized water up to 5 mL. This contact with water is a crucial step that allows the formation of amphiphilic structures such as micelles. The solution was then vortexed for 30 s, followed by centrifugation for 5 minutes at 4000 rpm to facilitate phase separation.</w:t>
      </w:r>
    </w:p>
    <w:p w:rsidR="008D3551" w:rsidRPr="008D3551" w:rsidRDefault="008D3551" w:rsidP="008D3551">
      <w:pPr>
        <w:spacing w:after="0" w:line="240" w:lineRule="auto"/>
        <w:jc w:val="both"/>
        <w:rPr>
          <w:rFonts w:ascii="Times New Roman" w:hAnsi="Times New Roman"/>
          <w:sz w:val="20"/>
          <w:szCs w:val="20"/>
        </w:rPr>
      </w:pPr>
    </w:p>
    <w:p w:rsidR="008D3551" w:rsidRPr="008D3551" w:rsidRDefault="008D3551" w:rsidP="008D3551">
      <w:pPr>
        <w:spacing w:after="0" w:line="240" w:lineRule="auto"/>
        <w:jc w:val="both"/>
        <w:rPr>
          <w:rFonts w:ascii="Times New Roman" w:hAnsi="Times New Roman"/>
          <w:sz w:val="20"/>
          <w:szCs w:val="20"/>
        </w:rPr>
      </w:pPr>
      <w:r w:rsidRPr="008D3551">
        <w:rPr>
          <w:rFonts w:ascii="Times New Roman" w:hAnsi="Times New Roman"/>
          <w:sz w:val="20"/>
          <w:szCs w:val="20"/>
        </w:rPr>
        <w:t xml:space="preserve">Next, 0.3 mL of the extractant-rich phase was collected and diluted to 4 mL in methanol. This step was to ensure that the final volume was viable for transfer into the optical cell for UV measurement at the respective absorption wavelength and to reduce the viscosity of the extractant phase. Figure 1 illustrates the absorbance of the diluted extractant-rich phase measured at 553 nm, and Figure 2 shows the proposed VASM-DLPME procedure in schematic form. </w:t>
      </w:r>
    </w:p>
    <w:p w:rsidR="008D3551" w:rsidRPr="008D3551" w:rsidRDefault="008D3551" w:rsidP="008D3551">
      <w:pPr>
        <w:spacing w:after="0" w:line="240" w:lineRule="auto"/>
        <w:jc w:val="both"/>
        <w:rPr>
          <w:rFonts w:ascii="Times New Roman" w:hAnsi="Times New Roman"/>
          <w:sz w:val="20"/>
          <w:szCs w:val="20"/>
        </w:rPr>
      </w:pPr>
    </w:p>
    <w:p w:rsidR="008D3551" w:rsidRPr="008D3551" w:rsidRDefault="008D3551" w:rsidP="008D3551">
      <w:pPr>
        <w:spacing w:after="120" w:line="240" w:lineRule="auto"/>
        <w:jc w:val="center"/>
        <w:rPr>
          <w:rFonts w:ascii="Times New Roman" w:hAnsi="Times New Roman"/>
          <w:sz w:val="20"/>
          <w:szCs w:val="20"/>
        </w:rPr>
      </w:pPr>
      <w:r w:rsidRPr="008D3551">
        <w:rPr>
          <w:rFonts w:ascii="Times New Roman" w:hAnsi="Times New Roman"/>
          <w:noProof/>
          <w:sz w:val="20"/>
          <w:szCs w:val="20"/>
          <w:lang w:eastAsia="en-MY"/>
        </w:rPr>
        <w:lastRenderedPageBreak/>
        <w:drawing>
          <wp:inline distT="0" distB="0" distL="0" distR="0" wp14:anchorId="265113F6" wp14:editId="0F7793D0">
            <wp:extent cx="3782839" cy="2295525"/>
            <wp:effectExtent l="19050" t="19050" r="2730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85009" cy="2296842"/>
                    </a:xfrm>
                    <a:prstGeom prst="rect">
                      <a:avLst/>
                    </a:prstGeom>
                    <a:noFill/>
                    <a:ln w="6350">
                      <a:solidFill>
                        <a:schemeClr val="tx1"/>
                      </a:solidFill>
                    </a:ln>
                  </pic:spPr>
                </pic:pic>
              </a:graphicData>
            </a:graphic>
          </wp:inline>
        </w:drawing>
      </w:r>
    </w:p>
    <w:p w:rsidR="008D3551" w:rsidRDefault="008D3551" w:rsidP="008D3551">
      <w:pPr>
        <w:spacing w:after="0" w:line="240" w:lineRule="auto"/>
        <w:jc w:val="center"/>
        <w:rPr>
          <w:rFonts w:ascii="Times New Roman" w:hAnsi="Times New Roman"/>
          <w:sz w:val="20"/>
          <w:szCs w:val="20"/>
        </w:rPr>
      </w:pPr>
      <w:r w:rsidRPr="008D3551">
        <w:rPr>
          <w:rFonts w:ascii="Times New Roman" w:hAnsi="Times New Roman"/>
          <w:sz w:val="20"/>
          <w:szCs w:val="20"/>
        </w:rPr>
        <w:t>Figure 1.</w:t>
      </w:r>
      <w:r w:rsidRPr="008D3551">
        <w:rPr>
          <w:rFonts w:ascii="Times New Roman" w:hAnsi="Times New Roman"/>
        </w:rPr>
        <w:t xml:space="preserve"> </w:t>
      </w:r>
      <w:r>
        <w:rPr>
          <w:rFonts w:ascii="Times New Roman" w:hAnsi="Times New Roman"/>
        </w:rPr>
        <w:t xml:space="preserve"> </w:t>
      </w:r>
      <w:r w:rsidRPr="008D3551">
        <w:rPr>
          <w:rFonts w:ascii="Times New Roman" w:hAnsi="Times New Roman"/>
          <w:sz w:val="20"/>
          <w:szCs w:val="20"/>
        </w:rPr>
        <w:t>Absorbance of the diluted extractant-rich phase measured at 553 nm</w:t>
      </w:r>
    </w:p>
    <w:p w:rsidR="008D3551" w:rsidRDefault="008D3551" w:rsidP="008D3551">
      <w:pPr>
        <w:spacing w:after="0" w:line="240" w:lineRule="auto"/>
        <w:jc w:val="both"/>
        <w:rPr>
          <w:rFonts w:ascii="Times New Roman" w:hAnsi="Times New Roman"/>
          <w:sz w:val="20"/>
          <w:szCs w:val="20"/>
        </w:rPr>
      </w:pPr>
    </w:p>
    <w:p w:rsidR="008D3551" w:rsidRPr="008D3551" w:rsidRDefault="008D3551" w:rsidP="008D3551">
      <w:pPr>
        <w:spacing w:after="0" w:line="240" w:lineRule="auto"/>
        <w:jc w:val="both"/>
        <w:rPr>
          <w:rFonts w:ascii="Times New Roman" w:hAnsi="Times New Roman"/>
          <w:sz w:val="20"/>
          <w:szCs w:val="20"/>
        </w:rPr>
      </w:pPr>
    </w:p>
    <w:p w:rsidR="008D3551" w:rsidRPr="008D3551" w:rsidRDefault="008D3551" w:rsidP="008D3551">
      <w:pPr>
        <w:spacing w:after="120" w:line="240" w:lineRule="auto"/>
        <w:jc w:val="center"/>
        <w:rPr>
          <w:rFonts w:ascii="Times New Roman" w:hAnsi="Times New Roman"/>
          <w:b/>
          <w:sz w:val="20"/>
          <w:szCs w:val="20"/>
        </w:rPr>
      </w:pPr>
      <w:r w:rsidRPr="008D3551">
        <w:rPr>
          <w:rFonts w:ascii="Times New Roman" w:hAnsi="Times New Roman"/>
          <w:b/>
          <w:noProof/>
          <w:sz w:val="20"/>
          <w:szCs w:val="20"/>
          <w:lang w:eastAsia="en-MY"/>
        </w:rPr>
        <w:drawing>
          <wp:inline distT="0" distB="0" distL="0" distR="0" wp14:anchorId="796E52E3" wp14:editId="186EB921">
            <wp:extent cx="4031104" cy="2105025"/>
            <wp:effectExtent l="19050" t="19050" r="2667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33940" cy="2106506"/>
                    </a:xfrm>
                    <a:prstGeom prst="rect">
                      <a:avLst/>
                    </a:prstGeom>
                    <a:noFill/>
                    <a:ln w="6350">
                      <a:solidFill>
                        <a:schemeClr val="tx1"/>
                      </a:solidFill>
                    </a:ln>
                  </pic:spPr>
                </pic:pic>
              </a:graphicData>
            </a:graphic>
          </wp:inline>
        </w:drawing>
      </w:r>
    </w:p>
    <w:p w:rsidR="008D3551" w:rsidRDefault="008D3551" w:rsidP="008D3551">
      <w:pPr>
        <w:tabs>
          <w:tab w:val="left" w:pos="3315"/>
        </w:tabs>
        <w:spacing w:after="0" w:line="240" w:lineRule="auto"/>
        <w:jc w:val="center"/>
        <w:rPr>
          <w:rFonts w:ascii="Times New Roman" w:hAnsi="Times New Roman"/>
          <w:sz w:val="20"/>
          <w:szCs w:val="20"/>
        </w:rPr>
      </w:pPr>
      <w:r w:rsidRPr="008D3551">
        <w:rPr>
          <w:rFonts w:ascii="Times New Roman" w:hAnsi="Times New Roman"/>
          <w:sz w:val="20"/>
          <w:szCs w:val="20"/>
        </w:rPr>
        <w:t>Figure 2.</w:t>
      </w:r>
      <w:r w:rsidRPr="008D3551">
        <w:rPr>
          <w:rFonts w:ascii="Times New Roman" w:hAnsi="Times New Roman"/>
        </w:rPr>
        <w:t xml:space="preserve"> </w:t>
      </w:r>
      <w:r>
        <w:rPr>
          <w:rFonts w:ascii="Times New Roman" w:hAnsi="Times New Roman"/>
        </w:rPr>
        <w:t xml:space="preserve"> </w:t>
      </w:r>
      <w:r w:rsidRPr="008D3551">
        <w:rPr>
          <w:rFonts w:ascii="Times New Roman" w:hAnsi="Times New Roman"/>
          <w:sz w:val="20"/>
          <w:szCs w:val="20"/>
        </w:rPr>
        <w:t>The proposed VASM-DLPME procedure</w:t>
      </w:r>
    </w:p>
    <w:p w:rsidR="008D3551" w:rsidRPr="008D3551" w:rsidRDefault="008D3551" w:rsidP="008D3551">
      <w:pPr>
        <w:tabs>
          <w:tab w:val="left" w:pos="3315"/>
        </w:tabs>
        <w:spacing w:after="120" w:line="240" w:lineRule="auto"/>
        <w:jc w:val="both"/>
        <w:rPr>
          <w:rFonts w:ascii="Times New Roman" w:hAnsi="Times New Roman"/>
          <w:sz w:val="20"/>
          <w:szCs w:val="20"/>
        </w:rPr>
      </w:pPr>
    </w:p>
    <w:p w:rsidR="008D3551" w:rsidRPr="008D3551" w:rsidRDefault="008D3551" w:rsidP="008D3551">
      <w:pPr>
        <w:spacing w:after="0" w:line="240" w:lineRule="auto"/>
        <w:jc w:val="both"/>
        <w:rPr>
          <w:rFonts w:ascii="Times New Roman" w:hAnsi="Times New Roman"/>
          <w:b/>
          <w:sz w:val="20"/>
          <w:szCs w:val="20"/>
        </w:rPr>
      </w:pPr>
      <w:r w:rsidRPr="008D3551">
        <w:rPr>
          <w:rFonts w:ascii="Times New Roman" w:hAnsi="Times New Roman"/>
          <w:b/>
          <w:sz w:val="20"/>
          <w:szCs w:val="20"/>
        </w:rPr>
        <w:t>Optimization and validation of the VASM-DLPME procedure</w:t>
      </w:r>
    </w:p>
    <w:p w:rsidR="008D3551" w:rsidRPr="008D3551" w:rsidRDefault="008D3551" w:rsidP="008D3551">
      <w:pPr>
        <w:spacing w:after="0" w:line="240" w:lineRule="auto"/>
        <w:jc w:val="both"/>
        <w:rPr>
          <w:rFonts w:ascii="Times New Roman" w:hAnsi="Times New Roman"/>
          <w:sz w:val="20"/>
          <w:szCs w:val="20"/>
        </w:rPr>
      </w:pPr>
      <w:r w:rsidRPr="008D3551">
        <w:rPr>
          <w:rFonts w:ascii="Times New Roman" w:hAnsi="Times New Roman"/>
          <w:sz w:val="20"/>
          <w:szCs w:val="20"/>
        </w:rPr>
        <w:t>One-variable-at-a-time analysis was employed for the optimization procedures (i.e. one variable was manipulated while the other variables were kept constant). For the optimization, 1.0 mg kg</w:t>
      </w:r>
      <w:r w:rsidRPr="008D3551">
        <w:rPr>
          <w:rFonts w:ascii="Times New Roman" w:hAnsi="Times New Roman"/>
          <w:sz w:val="20"/>
          <w:szCs w:val="20"/>
          <w:vertAlign w:val="superscript"/>
        </w:rPr>
        <w:t xml:space="preserve">–1 </w:t>
      </w:r>
      <w:r w:rsidRPr="008D3551">
        <w:rPr>
          <w:rFonts w:ascii="Times New Roman" w:hAnsi="Times New Roman"/>
          <w:sz w:val="20"/>
          <w:szCs w:val="20"/>
        </w:rPr>
        <w:t>of the spiked blank chili powder was used, and all measurements were conducted in triplicate using the UV-Vis spectrophotometer. The extraction efficiency, EE (expressed in %), was calculated using the following equation 1.</w:t>
      </w:r>
    </w:p>
    <w:p w:rsidR="008D3551" w:rsidRPr="008D3551" w:rsidRDefault="008D3551" w:rsidP="008D3551">
      <w:pPr>
        <w:spacing w:after="0" w:line="240" w:lineRule="auto"/>
        <w:jc w:val="both"/>
        <w:rPr>
          <w:rFonts w:ascii="Times New Roman" w:hAnsi="Times New Roman"/>
          <w:sz w:val="20"/>
          <w:szCs w:val="20"/>
        </w:rPr>
      </w:pPr>
    </w:p>
    <w:p w:rsidR="008D3551" w:rsidRDefault="008D3551" w:rsidP="008D3551">
      <w:pPr>
        <w:spacing w:after="0" w:line="240" w:lineRule="auto"/>
        <w:ind w:firstLine="567"/>
        <w:jc w:val="both"/>
        <w:rPr>
          <w:rFonts w:ascii="Times New Roman" w:hAnsi="Times New Roman"/>
          <w:sz w:val="20"/>
          <w:szCs w:val="20"/>
        </w:rPr>
      </w:pPr>
      <w:r w:rsidRPr="008D3551">
        <w:rPr>
          <w:rFonts w:ascii="Times New Roman" w:hAnsi="Times New Roman"/>
          <w:sz w:val="20"/>
          <w:szCs w:val="20"/>
        </w:rPr>
        <w:t xml:space="preserve">EE = </w:t>
      </w:r>
      <m:oMath>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f</m:t>
                </m:r>
              </m:sub>
            </m:sSub>
          </m:num>
          <m:den>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i</m:t>
                </m:r>
              </m:sub>
            </m:sSub>
          </m:den>
        </m:f>
      </m:oMath>
      <w:r w:rsidRPr="008D3551">
        <w:rPr>
          <w:rFonts w:ascii="Times New Roman" w:hAnsi="Times New Roman"/>
          <w:sz w:val="20"/>
          <w:szCs w:val="20"/>
        </w:rPr>
        <w:t xml:space="preserve"> x </w:t>
      </w:r>
      <m:oMath>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 xml:space="preserve">f </m:t>
                </m:r>
              </m:sub>
            </m:sSub>
            <m:r>
              <w:rPr>
                <w:rFonts w:ascii="Cambria Math" w:hAnsi="Cambria Math"/>
                <w:sz w:val="20"/>
                <w:szCs w:val="20"/>
              </w:rPr>
              <m:t xml:space="preserve"> x </m:t>
            </m:r>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f</m:t>
                </m:r>
              </m:sub>
            </m:sSub>
          </m:num>
          <m:den>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i</m:t>
                </m:r>
              </m:sub>
            </m:sSub>
          </m:den>
        </m:f>
      </m:oMath>
      <w:r w:rsidRPr="008D3551">
        <w:rPr>
          <w:rFonts w:ascii="Times New Roman" w:hAnsi="Times New Roman"/>
          <w:sz w:val="20"/>
          <w:szCs w:val="20"/>
        </w:rPr>
        <w:t xml:space="preserve"> x 100 %</w:t>
      </w:r>
      <w:r w:rsidRPr="008D3551">
        <w:rPr>
          <w:rFonts w:ascii="Times New Roman" w:hAnsi="Times New Roman"/>
          <w:sz w:val="20"/>
          <w:szCs w:val="20"/>
        </w:rPr>
        <w:tab/>
      </w:r>
      <w:r w:rsidRPr="008D3551">
        <w:rPr>
          <w:rFonts w:ascii="Times New Roman" w:hAnsi="Times New Roman"/>
          <w:sz w:val="20"/>
          <w:szCs w:val="20"/>
        </w:rPr>
        <w:tab/>
      </w:r>
      <w:r w:rsidRPr="008D3551">
        <w:rPr>
          <w:rFonts w:ascii="Times New Roman" w:hAnsi="Times New Roman"/>
          <w:sz w:val="20"/>
          <w:szCs w:val="20"/>
        </w:rPr>
        <w:tab/>
      </w:r>
      <w:r w:rsidRPr="008D3551">
        <w:rPr>
          <w:rFonts w:ascii="Times New Roman" w:hAnsi="Times New Roman"/>
          <w:sz w:val="20"/>
          <w:szCs w:val="20"/>
        </w:rPr>
        <w:tab/>
      </w:r>
      <w:r w:rsidRPr="008D3551">
        <w:rPr>
          <w:rFonts w:ascii="Times New Roman" w:hAnsi="Times New Roman"/>
          <w:sz w:val="20"/>
          <w:szCs w:val="20"/>
        </w:rPr>
        <w:tab/>
      </w:r>
      <w:r w:rsidRPr="008D3551">
        <w:rPr>
          <w:rFonts w:ascii="Times New Roman" w:hAnsi="Times New Roman"/>
          <w:sz w:val="20"/>
          <w:szCs w:val="20"/>
        </w:rPr>
        <w:tab/>
      </w:r>
      <w:r w:rsidRPr="008D3551">
        <w:rPr>
          <w:rFonts w:ascii="Times New Roman" w:hAnsi="Times New Roman"/>
          <w:sz w:val="20"/>
          <w:szCs w:val="20"/>
        </w:rPr>
        <w:tab/>
      </w:r>
      <w:r w:rsidRPr="008D3551">
        <w:rPr>
          <w:rFonts w:ascii="Times New Roman" w:hAnsi="Times New Roman"/>
          <w:sz w:val="20"/>
          <w:szCs w:val="20"/>
        </w:rPr>
        <w:tab/>
      </w:r>
      <w:r w:rsidRPr="008D3551">
        <w:rPr>
          <w:rFonts w:ascii="Times New Roman" w:hAnsi="Times New Roman"/>
          <w:sz w:val="20"/>
          <w:szCs w:val="20"/>
        </w:rPr>
        <w:tab/>
        <w:t xml:space="preserve">    </w:t>
      </w:r>
      <w:r>
        <w:rPr>
          <w:rFonts w:ascii="Times New Roman" w:hAnsi="Times New Roman"/>
          <w:sz w:val="20"/>
          <w:szCs w:val="20"/>
        </w:rPr>
        <w:t xml:space="preserve">     </w:t>
      </w:r>
      <w:r w:rsidRPr="008D3551">
        <w:rPr>
          <w:rFonts w:ascii="Times New Roman" w:hAnsi="Times New Roman"/>
          <w:sz w:val="20"/>
          <w:szCs w:val="20"/>
        </w:rPr>
        <w:t>(1)</w:t>
      </w:r>
    </w:p>
    <w:p w:rsidR="008D3551" w:rsidRPr="008D3551" w:rsidRDefault="008D3551" w:rsidP="008D3551">
      <w:pPr>
        <w:spacing w:after="0" w:line="240" w:lineRule="auto"/>
        <w:ind w:firstLine="567"/>
        <w:jc w:val="both"/>
        <w:rPr>
          <w:rFonts w:ascii="Times New Roman" w:hAnsi="Times New Roman"/>
          <w:sz w:val="20"/>
          <w:szCs w:val="20"/>
        </w:rPr>
      </w:pPr>
    </w:p>
    <w:p w:rsidR="008D3551" w:rsidRDefault="008D3551" w:rsidP="008D3551">
      <w:pPr>
        <w:spacing w:after="0" w:line="240" w:lineRule="auto"/>
        <w:jc w:val="both"/>
        <w:rPr>
          <w:rFonts w:ascii="Times New Roman" w:eastAsiaTheme="minorHAnsi" w:hAnsi="Times New Roman"/>
          <w:sz w:val="20"/>
          <w:szCs w:val="20"/>
          <w:lang w:val="en-GB"/>
        </w:rPr>
      </w:pPr>
      <w:r w:rsidRPr="008D3551">
        <w:rPr>
          <w:rFonts w:ascii="Times New Roman" w:eastAsiaTheme="minorHAnsi" w:hAnsi="Times New Roman"/>
          <w:sz w:val="20"/>
          <w:szCs w:val="20"/>
          <w:lang w:val="en-GB"/>
        </w:rPr>
        <w:t xml:space="preserve">where </w:t>
      </w:r>
      <w:r w:rsidRPr="008D3551">
        <w:rPr>
          <w:rFonts w:ascii="Times New Roman" w:eastAsiaTheme="minorHAnsi" w:hAnsi="Times New Roman"/>
          <w:i/>
          <w:sz w:val="20"/>
          <w:szCs w:val="20"/>
          <w:lang w:val="en-GB"/>
        </w:rPr>
        <w:t>V</w:t>
      </w:r>
      <w:r w:rsidRPr="008D3551">
        <w:rPr>
          <w:rFonts w:ascii="Times New Roman" w:eastAsiaTheme="minorHAnsi" w:hAnsi="Times New Roman"/>
          <w:i/>
          <w:sz w:val="20"/>
          <w:szCs w:val="20"/>
          <w:vertAlign w:val="subscript"/>
          <w:lang w:val="en-GB"/>
        </w:rPr>
        <w:t>f</w:t>
      </w:r>
      <w:r w:rsidRPr="008D3551">
        <w:rPr>
          <w:rFonts w:ascii="Times New Roman" w:eastAsiaTheme="minorHAnsi" w:hAnsi="Times New Roman"/>
          <w:sz w:val="20"/>
          <w:szCs w:val="20"/>
          <w:lang w:val="en-GB"/>
        </w:rPr>
        <w:t xml:space="preserve"> is the final volume of the sample, </w:t>
      </w:r>
      <w:r w:rsidRPr="008D3551">
        <w:rPr>
          <w:rFonts w:ascii="Times New Roman" w:eastAsiaTheme="minorHAnsi" w:hAnsi="Times New Roman"/>
          <w:i/>
          <w:sz w:val="20"/>
          <w:szCs w:val="20"/>
          <w:lang w:val="en-GB"/>
        </w:rPr>
        <w:t>V</w:t>
      </w:r>
      <w:r w:rsidRPr="008D3551">
        <w:rPr>
          <w:rFonts w:ascii="Times New Roman" w:eastAsiaTheme="minorHAnsi" w:hAnsi="Times New Roman"/>
          <w:i/>
          <w:sz w:val="20"/>
          <w:szCs w:val="20"/>
          <w:vertAlign w:val="subscript"/>
          <w:lang w:val="en-GB"/>
        </w:rPr>
        <w:t>i</w:t>
      </w:r>
      <w:r w:rsidRPr="008D3551">
        <w:rPr>
          <w:rFonts w:ascii="Times New Roman" w:eastAsiaTheme="minorHAnsi" w:hAnsi="Times New Roman"/>
          <w:sz w:val="20"/>
          <w:szCs w:val="20"/>
          <w:vertAlign w:val="subscript"/>
          <w:lang w:val="en-GB"/>
        </w:rPr>
        <w:t xml:space="preserve">   </w:t>
      </w:r>
      <w:r w:rsidRPr="008D3551">
        <w:rPr>
          <w:rFonts w:ascii="Times New Roman" w:eastAsiaTheme="minorHAnsi" w:hAnsi="Times New Roman"/>
          <w:sz w:val="20"/>
          <w:szCs w:val="20"/>
          <w:lang w:val="en-GB"/>
        </w:rPr>
        <w:t xml:space="preserve">is the initial volume of the sample, </w:t>
      </w:r>
      <w:r w:rsidRPr="008D3551">
        <w:rPr>
          <w:rFonts w:ascii="Times New Roman" w:eastAsiaTheme="minorHAnsi" w:hAnsi="Times New Roman"/>
          <w:i/>
          <w:sz w:val="20"/>
          <w:szCs w:val="20"/>
          <w:lang w:val="en-GB"/>
        </w:rPr>
        <w:t>C</w:t>
      </w:r>
      <w:r w:rsidRPr="008D3551">
        <w:rPr>
          <w:rFonts w:ascii="Times New Roman" w:eastAsiaTheme="minorHAnsi" w:hAnsi="Times New Roman"/>
          <w:i/>
          <w:sz w:val="20"/>
          <w:szCs w:val="20"/>
          <w:vertAlign w:val="subscript"/>
          <w:lang w:val="en-GB"/>
        </w:rPr>
        <w:t>f</w:t>
      </w:r>
      <w:r w:rsidRPr="008D3551">
        <w:rPr>
          <w:rFonts w:ascii="Times New Roman" w:eastAsiaTheme="minorHAnsi" w:hAnsi="Times New Roman"/>
          <w:sz w:val="20"/>
          <w:szCs w:val="20"/>
          <w:vertAlign w:val="subscript"/>
          <w:lang w:val="en-GB"/>
        </w:rPr>
        <w:t xml:space="preserve"> </w:t>
      </w:r>
      <w:r w:rsidRPr="008D3551">
        <w:rPr>
          <w:rFonts w:ascii="Times New Roman" w:eastAsiaTheme="minorHAnsi" w:hAnsi="Times New Roman"/>
          <w:sz w:val="20"/>
          <w:szCs w:val="20"/>
          <w:lang w:val="en-GB"/>
        </w:rPr>
        <w:t xml:space="preserve">is the concentration in the spiked sample, </w:t>
      </w:r>
      <w:r w:rsidRPr="008D3551">
        <w:rPr>
          <w:rFonts w:ascii="Times New Roman" w:eastAsiaTheme="minorHAnsi" w:hAnsi="Times New Roman"/>
          <w:i/>
          <w:sz w:val="20"/>
          <w:szCs w:val="20"/>
          <w:lang w:val="en-GB"/>
        </w:rPr>
        <w:t>C</w:t>
      </w:r>
      <w:r w:rsidRPr="008D3551">
        <w:rPr>
          <w:rFonts w:ascii="Times New Roman" w:eastAsiaTheme="minorHAnsi" w:hAnsi="Times New Roman"/>
          <w:i/>
          <w:sz w:val="20"/>
          <w:szCs w:val="20"/>
          <w:vertAlign w:val="subscript"/>
          <w:lang w:val="en-GB"/>
        </w:rPr>
        <w:t>i</w:t>
      </w:r>
      <w:r w:rsidRPr="008D3551">
        <w:rPr>
          <w:rFonts w:ascii="Times New Roman" w:eastAsiaTheme="minorHAnsi" w:hAnsi="Times New Roman"/>
          <w:i/>
          <w:sz w:val="20"/>
          <w:szCs w:val="20"/>
          <w:lang w:val="en-GB"/>
        </w:rPr>
        <w:t xml:space="preserve"> </w:t>
      </w:r>
      <w:r w:rsidRPr="008D3551">
        <w:rPr>
          <w:rFonts w:ascii="Times New Roman" w:eastAsiaTheme="minorHAnsi" w:hAnsi="Times New Roman"/>
          <w:sz w:val="20"/>
          <w:szCs w:val="20"/>
          <w:lang w:val="en-GB"/>
        </w:rPr>
        <w:t xml:space="preserve">is the spiking concentration of RhB, and </w:t>
      </w:r>
      <w:r w:rsidRPr="008D3551">
        <w:rPr>
          <w:rFonts w:ascii="Times New Roman" w:eastAsiaTheme="minorHAnsi" w:hAnsi="Times New Roman"/>
          <w:i/>
          <w:sz w:val="20"/>
          <w:szCs w:val="20"/>
          <w:lang w:val="en-GB"/>
        </w:rPr>
        <w:t>D</w:t>
      </w:r>
      <w:r w:rsidRPr="008D3551">
        <w:rPr>
          <w:rFonts w:ascii="Times New Roman" w:eastAsiaTheme="minorHAnsi" w:hAnsi="Times New Roman"/>
          <w:i/>
          <w:sz w:val="20"/>
          <w:szCs w:val="20"/>
          <w:vertAlign w:val="subscript"/>
          <w:lang w:val="en-GB"/>
        </w:rPr>
        <w:t xml:space="preserve">f </w:t>
      </w:r>
      <w:r w:rsidRPr="008D3551">
        <w:rPr>
          <w:rFonts w:ascii="Times New Roman" w:eastAsiaTheme="minorHAnsi" w:hAnsi="Times New Roman"/>
          <w:sz w:val="20"/>
          <w:szCs w:val="20"/>
          <w:vertAlign w:val="subscript"/>
          <w:lang w:val="en-GB"/>
        </w:rPr>
        <w:t xml:space="preserve"> </w:t>
      </w:r>
      <w:r w:rsidRPr="008D3551">
        <w:rPr>
          <w:rFonts w:ascii="Times New Roman" w:eastAsiaTheme="minorHAnsi" w:hAnsi="Times New Roman"/>
          <w:sz w:val="20"/>
          <w:szCs w:val="20"/>
          <w:lang w:val="en-GB"/>
        </w:rPr>
        <w:t>is the dilution factor.</w:t>
      </w:r>
    </w:p>
    <w:p w:rsidR="00294081" w:rsidRPr="008D3551" w:rsidRDefault="00294081" w:rsidP="008D3551">
      <w:pPr>
        <w:spacing w:after="0" w:line="240" w:lineRule="auto"/>
        <w:jc w:val="both"/>
        <w:rPr>
          <w:rFonts w:ascii="Times New Roman" w:eastAsiaTheme="minorHAnsi" w:hAnsi="Times New Roman"/>
          <w:sz w:val="20"/>
          <w:szCs w:val="20"/>
          <w:lang w:val="en-GB"/>
        </w:rPr>
      </w:pPr>
    </w:p>
    <w:p w:rsidR="008D3551" w:rsidRDefault="008D3551" w:rsidP="008D3551">
      <w:pPr>
        <w:spacing w:after="0" w:line="240" w:lineRule="auto"/>
        <w:jc w:val="both"/>
        <w:rPr>
          <w:rFonts w:ascii="Times New Roman" w:eastAsiaTheme="minorHAnsi" w:hAnsi="Times New Roman"/>
          <w:sz w:val="20"/>
          <w:szCs w:val="20"/>
          <w:lang w:val="en-GB"/>
        </w:rPr>
      </w:pPr>
      <w:r w:rsidRPr="008D3551">
        <w:rPr>
          <w:rFonts w:ascii="Times New Roman" w:eastAsiaTheme="minorHAnsi" w:hAnsi="Times New Roman"/>
          <w:sz w:val="20"/>
          <w:szCs w:val="20"/>
          <w:lang w:val="en-GB"/>
        </w:rPr>
        <w:t>Validation to assess the viability of the method included measurement of linearity, repeatability, relative recovery, limit of detection (LOD), and limit of quantification (LOQ). The latter were calculated using the following formulas:</w:t>
      </w:r>
    </w:p>
    <w:p w:rsidR="00294081" w:rsidRPr="008D3551" w:rsidRDefault="00294081" w:rsidP="008D3551">
      <w:pPr>
        <w:spacing w:after="0" w:line="240" w:lineRule="auto"/>
        <w:jc w:val="both"/>
        <w:rPr>
          <w:rFonts w:ascii="Times New Roman" w:eastAsiaTheme="minorHAnsi" w:hAnsi="Times New Roman"/>
          <w:sz w:val="20"/>
          <w:szCs w:val="20"/>
          <w:lang w:val="en-GB"/>
        </w:rPr>
      </w:pPr>
    </w:p>
    <w:p w:rsidR="008D3551" w:rsidRDefault="008D3551" w:rsidP="008D3551">
      <w:pPr>
        <w:spacing w:after="0" w:line="240" w:lineRule="auto"/>
        <w:ind w:firstLine="720"/>
        <w:jc w:val="both"/>
        <w:rPr>
          <w:rFonts w:ascii="Times New Roman" w:hAnsi="Times New Roman"/>
          <w:sz w:val="20"/>
          <w:szCs w:val="20"/>
          <w:lang w:val="en-GB"/>
        </w:rPr>
      </w:pPr>
      <w:r w:rsidRPr="008D3551">
        <w:rPr>
          <w:rFonts w:ascii="Times New Roman" w:eastAsiaTheme="minorHAnsi" w:hAnsi="Times New Roman"/>
          <w:sz w:val="20"/>
          <w:szCs w:val="20"/>
          <w:lang w:val="en-GB"/>
        </w:rPr>
        <w:lastRenderedPageBreak/>
        <w:t xml:space="preserve">LOD = </w:t>
      </w:r>
      <m:oMath>
        <m:f>
          <m:fPr>
            <m:ctrlPr>
              <w:rPr>
                <w:rFonts w:ascii="Cambria Math" w:eastAsiaTheme="minorHAnsi" w:hAnsi="Cambria Math"/>
                <w:i/>
                <w:sz w:val="20"/>
                <w:szCs w:val="20"/>
                <w:lang w:val="en-GB"/>
              </w:rPr>
            </m:ctrlPr>
          </m:fPr>
          <m:num>
            <m:r>
              <w:rPr>
                <w:rFonts w:ascii="Cambria Math" w:eastAsiaTheme="minorHAnsi" w:hAnsi="Cambria Math"/>
                <w:sz w:val="20"/>
                <w:szCs w:val="20"/>
                <w:lang w:val="en-GB"/>
              </w:rPr>
              <m:t>3 x Sd</m:t>
            </m:r>
          </m:num>
          <m:den>
            <m:r>
              <w:rPr>
                <w:rFonts w:ascii="Cambria Math" w:eastAsiaTheme="minorHAnsi" w:hAnsi="Cambria Math"/>
                <w:sz w:val="20"/>
                <w:szCs w:val="20"/>
                <w:lang w:val="en-GB"/>
              </w:rPr>
              <m:t>b</m:t>
            </m:r>
          </m:den>
        </m:f>
      </m:oMath>
      <w:r w:rsidRPr="008D3551">
        <w:rPr>
          <w:rFonts w:ascii="Times New Roman" w:hAnsi="Times New Roman"/>
          <w:sz w:val="20"/>
          <w:szCs w:val="20"/>
          <w:lang w:val="en-GB"/>
        </w:rPr>
        <w:tab/>
      </w:r>
      <w:r w:rsidRPr="008D3551">
        <w:rPr>
          <w:rFonts w:ascii="Times New Roman" w:hAnsi="Times New Roman"/>
          <w:sz w:val="20"/>
          <w:szCs w:val="20"/>
          <w:lang w:val="en-GB"/>
        </w:rPr>
        <w:tab/>
      </w:r>
      <w:r w:rsidRPr="008D3551">
        <w:rPr>
          <w:rFonts w:ascii="Times New Roman" w:hAnsi="Times New Roman"/>
          <w:sz w:val="20"/>
          <w:szCs w:val="20"/>
          <w:lang w:val="en-GB"/>
        </w:rPr>
        <w:tab/>
      </w:r>
      <w:r w:rsidRPr="008D3551">
        <w:rPr>
          <w:rFonts w:ascii="Times New Roman" w:hAnsi="Times New Roman"/>
          <w:sz w:val="20"/>
          <w:szCs w:val="20"/>
          <w:lang w:val="en-GB"/>
        </w:rPr>
        <w:tab/>
      </w:r>
      <w:r w:rsidRPr="008D3551">
        <w:rPr>
          <w:rFonts w:ascii="Times New Roman" w:hAnsi="Times New Roman"/>
          <w:sz w:val="20"/>
          <w:szCs w:val="20"/>
          <w:lang w:val="en-GB"/>
        </w:rPr>
        <w:tab/>
      </w:r>
      <w:r w:rsidRPr="008D3551">
        <w:rPr>
          <w:rFonts w:ascii="Times New Roman" w:hAnsi="Times New Roman"/>
          <w:sz w:val="20"/>
          <w:szCs w:val="20"/>
          <w:lang w:val="en-GB"/>
        </w:rPr>
        <w:tab/>
      </w:r>
      <w:r w:rsidRPr="008D3551">
        <w:rPr>
          <w:rFonts w:ascii="Times New Roman" w:hAnsi="Times New Roman"/>
          <w:sz w:val="20"/>
          <w:szCs w:val="20"/>
          <w:lang w:val="en-GB"/>
        </w:rPr>
        <w:tab/>
      </w:r>
      <w:r w:rsidRPr="008D3551">
        <w:rPr>
          <w:rFonts w:ascii="Times New Roman" w:hAnsi="Times New Roman"/>
          <w:sz w:val="20"/>
          <w:szCs w:val="20"/>
          <w:lang w:val="en-GB"/>
        </w:rPr>
        <w:tab/>
      </w:r>
      <w:r w:rsidRPr="008D3551">
        <w:rPr>
          <w:rFonts w:ascii="Times New Roman" w:hAnsi="Times New Roman"/>
          <w:sz w:val="20"/>
          <w:szCs w:val="20"/>
          <w:lang w:val="en-GB"/>
        </w:rPr>
        <w:tab/>
      </w:r>
      <w:r w:rsidRPr="008D3551">
        <w:rPr>
          <w:rFonts w:ascii="Times New Roman" w:hAnsi="Times New Roman"/>
          <w:sz w:val="20"/>
          <w:szCs w:val="20"/>
          <w:lang w:val="en-GB"/>
        </w:rPr>
        <w:tab/>
        <w:t xml:space="preserve">   </w:t>
      </w:r>
      <w:r>
        <w:rPr>
          <w:rFonts w:ascii="Times New Roman" w:hAnsi="Times New Roman"/>
          <w:sz w:val="20"/>
          <w:szCs w:val="20"/>
          <w:lang w:val="en-GB"/>
        </w:rPr>
        <w:t xml:space="preserve">   </w:t>
      </w:r>
      <w:r w:rsidR="00294081">
        <w:rPr>
          <w:rFonts w:ascii="Times New Roman" w:hAnsi="Times New Roman"/>
          <w:sz w:val="20"/>
          <w:szCs w:val="20"/>
          <w:lang w:val="en-GB"/>
        </w:rPr>
        <w:t xml:space="preserve">   </w:t>
      </w:r>
      <w:r w:rsidRPr="008D3551">
        <w:rPr>
          <w:rFonts w:ascii="Times New Roman" w:hAnsi="Times New Roman"/>
          <w:sz w:val="20"/>
          <w:szCs w:val="20"/>
          <w:lang w:val="en-GB"/>
        </w:rPr>
        <w:t>(2)</w:t>
      </w:r>
    </w:p>
    <w:p w:rsidR="00294081" w:rsidRPr="008D3551" w:rsidRDefault="00294081" w:rsidP="008D3551">
      <w:pPr>
        <w:spacing w:after="0" w:line="240" w:lineRule="auto"/>
        <w:ind w:firstLine="720"/>
        <w:jc w:val="both"/>
        <w:rPr>
          <w:rFonts w:ascii="Times New Roman" w:hAnsi="Times New Roman"/>
          <w:sz w:val="20"/>
          <w:szCs w:val="20"/>
          <w:lang w:val="en-GB"/>
        </w:rPr>
      </w:pPr>
    </w:p>
    <w:p w:rsidR="008D3551" w:rsidRDefault="008D3551" w:rsidP="008D3551">
      <w:pPr>
        <w:spacing w:after="0" w:line="240" w:lineRule="auto"/>
        <w:ind w:firstLine="720"/>
        <w:jc w:val="both"/>
        <w:rPr>
          <w:rFonts w:ascii="Times New Roman" w:hAnsi="Times New Roman"/>
          <w:sz w:val="20"/>
          <w:szCs w:val="20"/>
          <w:lang w:val="en-GB"/>
        </w:rPr>
      </w:pPr>
      <w:r w:rsidRPr="008D3551">
        <w:rPr>
          <w:rFonts w:ascii="Times New Roman" w:hAnsi="Times New Roman"/>
          <w:sz w:val="20"/>
          <w:szCs w:val="20"/>
          <w:lang w:val="en-GB"/>
        </w:rPr>
        <w:t xml:space="preserve">LOQ = </w:t>
      </w:r>
      <m:oMath>
        <m:f>
          <m:fPr>
            <m:ctrlPr>
              <w:rPr>
                <w:rFonts w:ascii="Cambria Math" w:hAnsi="Cambria Math"/>
                <w:i/>
                <w:sz w:val="20"/>
                <w:szCs w:val="20"/>
                <w:lang w:val="en-GB"/>
              </w:rPr>
            </m:ctrlPr>
          </m:fPr>
          <m:num>
            <m:r>
              <w:rPr>
                <w:rFonts w:ascii="Cambria Math" w:hAnsi="Cambria Math"/>
                <w:sz w:val="20"/>
                <w:szCs w:val="20"/>
                <w:lang w:val="en-GB"/>
              </w:rPr>
              <m:t>10 x Sd</m:t>
            </m:r>
          </m:num>
          <m:den>
            <m:r>
              <w:rPr>
                <w:rFonts w:ascii="Cambria Math" w:hAnsi="Cambria Math"/>
                <w:sz w:val="20"/>
                <w:szCs w:val="20"/>
                <w:lang w:val="en-GB"/>
              </w:rPr>
              <m:t>b</m:t>
            </m:r>
          </m:den>
        </m:f>
      </m:oMath>
      <w:r w:rsidRPr="008D3551">
        <w:rPr>
          <w:rFonts w:ascii="Times New Roman" w:hAnsi="Times New Roman"/>
          <w:sz w:val="20"/>
          <w:szCs w:val="20"/>
          <w:lang w:val="en-GB"/>
        </w:rPr>
        <w:tab/>
      </w:r>
      <w:r w:rsidRPr="008D3551">
        <w:rPr>
          <w:rFonts w:ascii="Times New Roman" w:hAnsi="Times New Roman"/>
          <w:sz w:val="20"/>
          <w:szCs w:val="20"/>
          <w:lang w:val="en-GB"/>
        </w:rPr>
        <w:tab/>
      </w:r>
      <w:r w:rsidRPr="008D3551">
        <w:rPr>
          <w:rFonts w:ascii="Times New Roman" w:hAnsi="Times New Roman"/>
          <w:sz w:val="20"/>
          <w:szCs w:val="20"/>
          <w:lang w:val="en-GB"/>
        </w:rPr>
        <w:tab/>
      </w:r>
      <w:r w:rsidRPr="008D3551">
        <w:rPr>
          <w:rFonts w:ascii="Times New Roman" w:hAnsi="Times New Roman"/>
          <w:sz w:val="20"/>
          <w:szCs w:val="20"/>
          <w:lang w:val="en-GB"/>
        </w:rPr>
        <w:tab/>
      </w:r>
      <w:r w:rsidRPr="008D3551">
        <w:rPr>
          <w:rFonts w:ascii="Times New Roman" w:hAnsi="Times New Roman"/>
          <w:sz w:val="20"/>
          <w:szCs w:val="20"/>
          <w:lang w:val="en-GB"/>
        </w:rPr>
        <w:tab/>
      </w:r>
      <w:r w:rsidRPr="008D3551">
        <w:rPr>
          <w:rFonts w:ascii="Times New Roman" w:hAnsi="Times New Roman"/>
          <w:sz w:val="20"/>
          <w:szCs w:val="20"/>
          <w:lang w:val="en-GB"/>
        </w:rPr>
        <w:tab/>
      </w:r>
      <w:r w:rsidRPr="008D3551">
        <w:rPr>
          <w:rFonts w:ascii="Times New Roman" w:hAnsi="Times New Roman"/>
          <w:sz w:val="20"/>
          <w:szCs w:val="20"/>
          <w:lang w:val="en-GB"/>
        </w:rPr>
        <w:tab/>
      </w:r>
      <w:r w:rsidRPr="008D3551">
        <w:rPr>
          <w:rFonts w:ascii="Times New Roman" w:hAnsi="Times New Roman"/>
          <w:sz w:val="20"/>
          <w:szCs w:val="20"/>
          <w:lang w:val="en-GB"/>
        </w:rPr>
        <w:tab/>
      </w:r>
      <w:r w:rsidRPr="008D3551">
        <w:rPr>
          <w:rFonts w:ascii="Times New Roman" w:hAnsi="Times New Roman"/>
          <w:sz w:val="20"/>
          <w:szCs w:val="20"/>
          <w:lang w:val="en-GB"/>
        </w:rPr>
        <w:tab/>
      </w:r>
      <w:r w:rsidRPr="008D3551">
        <w:rPr>
          <w:rFonts w:ascii="Times New Roman" w:hAnsi="Times New Roman"/>
          <w:sz w:val="20"/>
          <w:szCs w:val="20"/>
          <w:lang w:val="en-GB"/>
        </w:rPr>
        <w:tab/>
        <w:t xml:space="preserve">  </w:t>
      </w:r>
      <w:r w:rsidR="00294081">
        <w:rPr>
          <w:rFonts w:ascii="Times New Roman" w:hAnsi="Times New Roman"/>
          <w:sz w:val="20"/>
          <w:szCs w:val="20"/>
          <w:lang w:val="en-GB"/>
        </w:rPr>
        <w:t xml:space="preserve">      </w:t>
      </w:r>
      <w:r w:rsidRPr="008D3551">
        <w:rPr>
          <w:rFonts w:ascii="Times New Roman" w:hAnsi="Times New Roman"/>
          <w:sz w:val="20"/>
          <w:szCs w:val="20"/>
          <w:lang w:val="en-GB"/>
        </w:rPr>
        <w:t xml:space="preserve"> (3)</w:t>
      </w:r>
    </w:p>
    <w:p w:rsidR="00294081" w:rsidRPr="008D3551" w:rsidRDefault="00294081" w:rsidP="008D3551">
      <w:pPr>
        <w:spacing w:after="0" w:line="240" w:lineRule="auto"/>
        <w:ind w:firstLine="720"/>
        <w:jc w:val="both"/>
        <w:rPr>
          <w:rFonts w:ascii="Times New Roman" w:eastAsiaTheme="minorHAnsi" w:hAnsi="Times New Roman"/>
          <w:sz w:val="20"/>
          <w:szCs w:val="20"/>
          <w:lang w:val="en-GB"/>
        </w:rPr>
      </w:pPr>
    </w:p>
    <w:p w:rsidR="008D3551" w:rsidRDefault="008D3551" w:rsidP="008D3551">
      <w:pPr>
        <w:spacing w:after="0" w:line="240" w:lineRule="auto"/>
        <w:jc w:val="both"/>
        <w:rPr>
          <w:rFonts w:ascii="Times New Roman" w:eastAsiaTheme="minorHAnsi" w:hAnsi="Times New Roman"/>
          <w:sz w:val="20"/>
          <w:szCs w:val="20"/>
          <w:lang w:val="en-GB"/>
        </w:rPr>
      </w:pPr>
      <w:r w:rsidRPr="008D3551">
        <w:rPr>
          <w:rFonts w:ascii="Times New Roman" w:eastAsiaTheme="minorHAnsi" w:hAnsi="Times New Roman"/>
          <w:sz w:val="20"/>
          <w:szCs w:val="20"/>
          <w:lang w:val="en-GB"/>
        </w:rPr>
        <w:t xml:space="preserve">where </w:t>
      </w:r>
      <w:r w:rsidRPr="008D3551">
        <w:rPr>
          <w:rFonts w:ascii="Times New Roman" w:eastAsiaTheme="minorHAnsi" w:hAnsi="Times New Roman"/>
          <w:i/>
          <w:sz w:val="20"/>
          <w:szCs w:val="20"/>
          <w:lang w:val="en-GB"/>
        </w:rPr>
        <w:t>Sd</w:t>
      </w:r>
      <w:r w:rsidRPr="008D3551">
        <w:rPr>
          <w:rFonts w:ascii="Times New Roman" w:eastAsiaTheme="minorHAnsi" w:hAnsi="Times New Roman"/>
          <w:sz w:val="20"/>
          <w:szCs w:val="20"/>
          <w:lang w:val="en-GB"/>
        </w:rPr>
        <w:t xml:space="preserve"> is the standard deviation of 10 replicate measurements of blank samples and </w:t>
      </w:r>
      <w:r w:rsidRPr="008D3551">
        <w:rPr>
          <w:rFonts w:ascii="Times New Roman" w:eastAsiaTheme="minorHAnsi" w:hAnsi="Times New Roman"/>
          <w:i/>
          <w:sz w:val="20"/>
          <w:szCs w:val="20"/>
          <w:lang w:val="en-GB"/>
        </w:rPr>
        <w:t>b</w:t>
      </w:r>
      <w:r w:rsidRPr="008D3551">
        <w:rPr>
          <w:rFonts w:ascii="Times New Roman" w:eastAsiaTheme="minorHAnsi" w:hAnsi="Times New Roman"/>
          <w:sz w:val="20"/>
          <w:szCs w:val="20"/>
          <w:lang w:val="en-GB"/>
        </w:rPr>
        <w:t xml:space="preserve"> is the slope of each calibration curve.</w:t>
      </w:r>
    </w:p>
    <w:p w:rsidR="00294081" w:rsidRPr="008D3551" w:rsidRDefault="00294081" w:rsidP="008D3551">
      <w:pPr>
        <w:spacing w:after="0" w:line="240" w:lineRule="auto"/>
        <w:jc w:val="both"/>
        <w:rPr>
          <w:rFonts w:ascii="Times New Roman" w:eastAsiaTheme="minorHAnsi" w:hAnsi="Times New Roman"/>
          <w:sz w:val="20"/>
          <w:szCs w:val="20"/>
          <w:lang w:val="en-GB"/>
        </w:rPr>
      </w:pPr>
    </w:p>
    <w:p w:rsidR="008D3551" w:rsidRPr="008D3551" w:rsidRDefault="008D3551" w:rsidP="008D3551">
      <w:pPr>
        <w:spacing w:after="0" w:line="240" w:lineRule="auto"/>
        <w:jc w:val="both"/>
        <w:rPr>
          <w:rFonts w:ascii="Times New Roman" w:eastAsiaTheme="minorHAnsi" w:hAnsi="Times New Roman"/>
          <w:sz w:val="20"/>
          <w:szCs w:val="20"/>
          <w:lang w:val="en-GB"/>
        </w:rPr>
      </w:pPr>
      <w:r w:rsidRPr="008D3551">
        <w:rPr>
          <w:rFonts w:ascii="Times New Roman" w:eastAsiaTheme="minorHAnsi" w:hAnsi="Times New Roman"/>
          <w:sz w:val="20"/>
          <w:szCs w:val="20"/>
          <w:lang w:val="en-GB"/>
        </w:rPr>
        <w:t>The enrichment factor (EF) was calculated as the ratio of the slope of the calibration curve of the RhB after pre-concentration to that prior to pre-concentration. The precision of the developed procedure was evaluated as intra-(repeatability) and inter- (reproducibility) day precision, which were analysed using five replicates (n =5) each.</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294081" w:rsidRPr="00294081" w:rsidRDefault="00294081" w:rsidP="00294081">
      <w:pPr>
        <w:spacing w:after="0" w:line="240" w:lineRule="auto"/>
        <w:jc w:val="both"/>
        <w:rPr>
          <w:rFonts w:ascii="Times New Roman" w:hAnsi="Times New Roman"/>
          <w:b/>
          <w:sz w:val="20"/>
          <w:szCs w:val="20"/>
        </w:rPr>
      </w:pPr>
      <w:r w:rsidRPr="00294081">
        <w:rPr>
          <w:rFonts w:ascii="Times New Roman" w:hAnsi="Times New Roman"/>
          <w:b/>
          <w:sz w:val="20"/>
          <w:szCs w:val="20"/>
        </w:rPr>
        <w:t>Effect of type of SUPRAS</w:t>
      </w:r>
    </w:p>
    <w:p w:rsidR="00294081" w:rsidRPr="00294081" w:rsidRDefault="00294081" w:rsidP="00294081">
      <w:pPr>
        <w:spacing w:after="0" w:line="240" w:lineRule="auto"/>
        <w:jc w:val="both"/>
        <w:rPr>
          <w:rFonts w:ascii="Times New Roman" w:hAnsi="Times New Roman"/>
          <w:sz w:val="20"/>
          <w:szCs w:val="20"/>
        </w:rPr>
      </w:pPr>
      <w:r w:rsidRPr="00294081">
        <w:rPr>
          <w:rFonts w:ascii="Times New Roman" w:hAnsi="Times New Roman"/>
          <w:sz w:val="20"/>
          <w:szCs w:val="20"/>
        </w:rPr>
        <w:t xml:space="preserve">The extraction solvent should have several characteristics, such as low volatility, low toxicity, low solubility in water, and low amounts of interfering agent present in the sample matrix </w:t>
      </w:r>
      <w:r w:rsidRPr="00294081">
        <w:rPr>
          <w:rStyle w:val="FootnoteReference"/>
          <w:rFonts w:ascii="Times New Roman" w:hAnsi="Times New Roman"/>
          <w:sz w:val="20"/>
          <w:szCs w:val="20"/>
        </w:rPr>
        <w:fldChar w:fldCharType="begin" w:fldLock="1"/>
      </w:r>
      <w:r w:rsidRPr="00294081">
        <w:rPr>
          <w:rFonts w:ascii="Times New Roman" w:hAnsi="Times New Roman"/>
          <w:sz w:val="20"/>
          <w:szCs w:val="20"/>
        </w:rPr>
        <w:instrText>ADDIN CSL_CITATION {"citationItems":[{"id":"ITEM-1","itemData":{"DOI":"10.1016/j.molliq.2015.06.031","ISSN":"0167-7322","author":[{"dropping-particle":"","family":"Ezoddin","given":"Maryam","non-dropping-particle":"","parse-names":false,"suffix":""},{"dropping-particle":"","family":"Majidi","given":"Behrooz","non-dropping-particle":"","parse-names":false,"suffix":""},{"dropping-particle":"","family":"Abdi","given":"K","non-dropping-particle":"","parse-names":false,"suffix":""}],"container-title":"Journal of Molecular Liquids","id":"ITEM-1","issued":{"date-parts":[["2015"]]},"page":"515-519","title":"Ultrasound-assisted supramolecular dispersive liquid–liquid microextraction based on solidification of floating organic drops for preconcentration of palladium in water and road dust samples","type":"article-journal","volume":"209"},"uris":["http://www.mendeley.com/documents/?uuid=26ff0a7b-0709-4729-8fed-09b15c91fedd"]}],"mendeley":{"formattedCitation":"[24]","plainTextFormattedCitation":"[24]","previouslyFormattedCitation":"[24]"},"properties":{"noteIndex":0},"schema":"https://github.com/citation-style-language/schema/raw/master/csl-citation.json"}</w:instrText>
      </w:r>
      <w:r w:rsidRPr="00294081">
        <w:rPr>
          <w:rStyle w:val="FootnoteReference"/>
          <w:rFonts w:ascii="Times New Roman" w:hAnsi="Times New Roman"/>
          <w:sz w:val="20"/>
          <w:szCs w:val="20"/>
        </w:rPr>
        <w:fldChar w:fldCharType="separate"/>
      </w:r>
      <w:r w:rsidRPr="00294081">
        <w:rPr>
          <w:rFonts w:ascii="Times New Roman" w:hAnsi="Times New Roman"/>
          <w:noProof/>
          <w:sz w:val="20"/>
          <w:szCs w:val="20"/>
        </w:rPr>
        <w:t>[24]</w:t>
      </w:r>
      <w:r w:rsidRPr="00294081">
        <w:rPr>
          <w:rStyle w:val="FootnoteReference"/>
          <w:rFonts w:ascii="Times New Roman" w:hAnsi="Times New Roman"/>
          <w:sz w:val="20"/>
          <w:szCs w:val="20"/>
        </w:rPr>
        <w:fldChar w:fldCharType="end"/>
      </w:r>
      <w:r w:rsidRPr="00294081">
        <w:rPr>
          <w:rFonts w:ascii="Times New Roman" w:hAnsi="Times New Roman"/>
          <w:sz w:val="20"/>
          <w:szCs w:val="20"/>
        </w:rPr>
        <w:t xml:space="preserve">. Furthermore, the desired analytes should have high solubility in the selected solvent for better extraction performance. Short-chain alkanols are better proton donors than longer ones, hence they are more capable of forming hydrogen bonding, whereas hydrophobic interactions dominate in the case of long-chain alkanols </w:t>
      </w:r>
      <w:r w:rsidRPr="00294081">
        <w:rPr>
          <w:rStyle w:val="FootnoteReference"/>
          <w:rFonts w:ascii="Times New Roman" w:hAnsi="Times New Roman"/>
          <w:sz w:val="20"/>
          <w:szCs w:val="20"/>
        </w:rPr>
        <w:fldChar w:fldCharType="begin" w:fldLock="1"/>
      </w:r>
      <w:r w:rsidRPr="00294081">
        <w:rPr>
          <w:rFonts w:ascii="Times New Roman" w:hAnsi="Times New Roman"/>
          <w:sz w:val="20"/>
          <w:szCs w:val="20"/>
        </w:rPr>
        <w:instrText>ADDIN CSL_CITATION {"citationItems":[{"id":"ITEM-1","itemData":{"DOI":"10.1016/j.chroma.2013.06.043","ISSN":"0021-9673","author":[{"dropping-particle":"","family":"López-Jiménez","given":"Francisco José","non-dropping-particle":"","parse-names":false,"suffix":""},{"dropping-particle":"","family":"Rosales-Marcano","given":"M","non-dropping-particle":"","parse-names":false,"suffix":""},{"dropping-particle":"","family":"Rubio","given":"Soledad","non-dropping-particle":"","parse-names":false,"suffix":""}],"container-title":"Journal of Chromatography A","id":"ITEM-1","issued":{"date-parts":[["2013"]]},"page":"1-8","title":"Restricted access property supramolecular solvents for combined microextraction of endocrine disruptors in sediment and sample cleanup prior to their quantification by liquid chromatography – tandem mass spectrometry","type":"article-journal","volume":"1303"},"uris":["http://www.mendeley.com/documents/?uuid=22dfe202-f4ea-41da-9656-c3197b21c020"]}],"mendeley":{"formattedCitation":"[25]","plainTextFormattedCitation":"[25]","previouslyFormattedCitation":"[25]"},"properties":{"noteIndex":0},"schema":"https://github.com/citation-style-language/schema/raw/master/csl-citation.json"}</w:instrText>
      </w:r>
      <w:r w:rsidRPr="00294081">
        <w:rPr>
          <w:rStyle w:val="FootnoteReference"/>
          <w:rFonts w:ascii="Times New Roman" w:hAnsi="Times New Roman"/>
          <w:sz w:val="20"/>
          <w:szCs w:val="20"/>
        </w:rPr>
        <w:fldChar w:fldCharType="separate"/>
      </w:r>
      <w:r w:rsidRPr="00294081">
        <w:rPr>
          <w:rFonts w:ascii="Times New Roman" w:hAnsi="Times New Roman"/>
          <w:noProof/>
          <w:sz w:val="20"/>
          <w:szCs w:val="20"/>
        </w:rPr>
        <w:t>[25]</w:t>
      </w:r>
      <w:r w:rsidRPr="00294081">
        <w:rPr>
          <w:rStyle w:val="FootnoteReference"/>
          <w:rFonts w:ascii="Times New Roman" w:hAnsi="Times New Roman"/>
          <w:sz w:val="20"/>
          <w:szCs w:val="20"/>
        </w:rPr>
        <w:fldChar w:fldCharType="end"/>
      </w:r>
      <w:r w:rsidRPr="00294081">
        <w:rPr>
          <w:rFonts w:ascii="Times New Roman" w:hAnsi="Times New Roman"/>
          <w:sz w:val="20"/>
          <w:szCs w:val="20"/>
        </w:rPr>
        <w:t>. For this reason, six different types of alkanol-based SUPRAs (C5–C11) were studied. Figure 3 shows that extraction efficiency decreased with the increasing chain length of alkanols. This revealed that hydrogen bonding between the RhB and SUPRASs was the dominant interaction during the extraction. Subsequently, 1-pentanol with medium alkyl chain length was selected as the suitable SUPRAS for the developed technique, as it provided a compromise between the stability and polarity of RhB and the extractant.</w:t>
      </w:r>
    </w:p>
    <w:p w:rsidR="00294081" w:rsidRPr="00294081" w:rsidRDefault="00294081" w:rsidP="00B62957">
      <w:pPr>
        <w:spacing w:after="120" w:line="240" w:lineRule="auto"/>
        <w:jc w:val="both"/>
        <w:rPr>
          <w:rFonts w:ascii="Times New Roman" w:hAnsi="Times New Roman"/>
          <w:sz w:val="20"/>
          <w:szCs w:val="20"/>
        </w:rPr>
      </w:pPr>
    </w:p>
    <w:p w:rsidR="00294081" w:rsidRPr="00294081" w:rsidRDefault="00294081" w:rsidP="00B62957">
      <w:pPr>
        <w:spacing w:after="120" w:line="240" w:lineRule="auto"/>
        <w:jc w:val="center"/>
        <w:rPr>
          <w:rFonts w:ascii="Times New Roman" w:hAnsi="Times New Roman"/>
          <w:sz w:val="20"/>
          <w:szCs w:val="20"/>
        </w:rPr>
      </w:pPr>
      <w:r w:rsidRPr="00294081">
        <w:rPr>
          <w:rFonts w:ascii="Times New Roman" w:hAnsi="Times New Roman"/>
          <w:noProof/>
          <w:sz w:val="20"/>
          <w:szCs w:val="20"/>
          <w:lang w:eastAsia="en-MY"/>
        </w:rPr>
        <w:drawing>
          <wp:inline distT="0" distB="0" distL="0" distR="0" wp14:anchorId="566DBEC7" wp14:editId="4B3CAEC3">
            <wp:extent cx="3435538" cy="2428875"/>
            <wp:effectExtent l="19050" t="19050" r="1270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44318" cy="2435083"/>
                    </a:xfrm>
                    <a:prstGeom prst="rect">
                      <a:avLst/>
                    </a:prstGeom>
                    <a:noFill/>
                    <a:ln w="6350">
                      <a:solidFill>
                        <a:schemeClr val="tx1"/>
                      </a:solidFill>
                    </a:ln>
                  </pic:spPr>
                </pic:pic>
              </a:graphicData>
            </a:graphic>
          </wp:inline>
        </w:drawing>
      </w:r>
    </w:p>
    <w:p w:rsidR="00294081" w:rsidRDefault="00294081" w:rsidP="00B62957">
      <w:pPr>
        <w:spacing w:after="0" w:line="240" w:lineRule="auto"/>
        <w:ind w:left="810" w:hanging="810"/>
        <w:jc w:val="both"/>
        <w:rPr>
          <w:rFonts w:ascii="Times New Roman" w:hAnsi="Times New Roman"/>
          <w:sz w:val="20"/>
          <w:szCs w:val="20"/>
        </w:rPr>
      </w:pPr>
      <w:r w:rsidRPr="00294081">
        <w:rPr>
          <w:rFonts w:ascii="Times New Roman" w:hAnsi="Times New Roman"/>
          <w:sz w:val="20"/>
          <w:szCs w:val="20"/>
        </w:rPr>
        <w:t xml:space="preserve">Figure 3. </w:t>
      </w:r>
      <w:r w:rsidR="00B62957">
        <w:rPr>
          <w:rFonts w:ascii="Times New Roman" w:hAnsi="Times New Roman"/>
          <w:sz w:val="20"/>
          <w:szCs w:val="20"/>
        </w:rPr>
        <w:tab/>
      </w:r>
      <w:r w:rsidRPr="00294081">
        <w:rPr>
          <w:rFonts w:ascii="Times New Roman" w:hAnsi="Times New Roman"/>
          <w:sz w:val="20"/>
          <w:szCs w:val="20"/>
        </w:rPr>
        <w:t>Effect of the type of SUPRAS on the extraction efficiency of RhB. Conditions: 5.0 mL of sample volume spiked with 1.0 mg kg</w:t>
      </w:r>
      <w:r w:rsidRPr="00294081">
        <w:rPr>
          <w:rFonts w:ascii="Times New Roman" w:hAnsi="Times New Roman"/>
          <w:sz w:val="20"/>
          <w:szCs w:val="20"/>
          <w:vertAlign w:val="superscript"/>
        </w:rPr>
        <w:t>–1</w:t>
      </w:r>
      <w:r w:rsidRPr="00294081">
        <w:rPr>
          <w:rFonts w:ascii="Times New Roman" w:hAnsi="Times New Roman"/>
          <w:sz w:val="20"/>
          <w:szCs w:val="20"/>
        </w:rPr>
        <w:t xml:space="preserve"> of RhB and 0.5 mL of SUPRAS</w:t>
      </w:r>
    </w:p>
    <w:p w:rsidR="00B62957" w:rsidRPr="00294081" w:rsidRDefault="00B62957" w:rsidP="00B62957">
      <w:pPr>
        <w:spacing w:after="120" w:line="240" w:lineRule="auto"/>
        <w:ind w:left="806" w:hanging="806"/>
        <w:jc w:val="both"/>
        <w:rPr>
          <w:rFonts w:ascii="Times New Roman" w:hAnsi="Times New Roman"/>
          <w:sz w:val="20"/>
          <w:szCs w:val="20"/>
        </w:rPr>
      </w:pPr>
    </w:p>
    <w:p w:rsidR="00294081" w:rsidRPr="00294081" w:rsidRDefault="00294081" w:rsidP="00294081">
      <w:pPr>
        <w:spacing w:after="0" w:line="240" w:lineRule="auto"/>
        <w:jc w:val="both"/>
        <w:rPr>
          <w:rFonts w:ascii="Times New Roman" w:hAnsi="Times New Roman"/>
          <w:b/>
          <w:sz w:val="20"/>
          <w:szCs w:val="20"/>
        </w:rPr>
      </w:pPr>
      <w:r w:rsidRPr="00294081">
        <w:rPr>
          <w:rFonts w:ascii="Times New Roman" w:hAnsi="Times New Roman"/>
          <w:b/>
          <w:sz w:val="20"/>
          <w:szCs w:val="20"/>
        </w:rPr>
        <w:t>Effect of the volume of the SUPRAS</w:t>
      </w:r>
    </w:p>
    <w:p w:rsidR="00294081" w:rsidRPr="00294081" w:rsidRDefault="00294081" w:rsidP="00294081">
      <w:pPr>
        <w:spacing w:after="0" w:line="240" w:lineRule="auto"/>
        <w:jc w:val="both"/>
        <w:rPr>
          <w:rFonts w:ascii="Times New Roman" w:hAnsi="Times New Roman"/>
          <w:sz w:val="20"/>
          <w:szCs w:val="20"/>
        </w:rPr>
      </w:pPr>
      <w:r w:rsidRPr="00294081">
        <w:rPr>
          <w:rFonts w:ascii="Times New Roman" w:hAnsi="Times New Roman"/>
          <w:sz w:val="20"/>
          <w:szCs w:val="20"/>
        </w:rPr>
        <w:t xml:space="preserve">Selection of the optimum volume for the extraction solvent is another important factor in microextraction because it influences the extraction recovery </w:t>
      </w:r>
      <w:r w:rsidRPr="00294081">
        <w:rPr>
          <w:rStyle w:val="FootnoteReference"/>
          <w:rFonts w:ascii="Times New Roman" w:hAnsi="Times New Roman"/>
          <w:sz w:val="20"/>
          <w:szCs w:val="20"/>
        </w:rPr>
        <w:fldChar w:fldCharType="begin" w:fldLock="1"/>
      </w:r>
      <w:r w:rsidRPr="00294081">
        <w:rPr>
          <w:rFonts w:ascii="Times New Roman" w:hAnsi="Times New Roman"/>
          <w:sz w:val="20"/>
          <w:szCs w:val="20"/>
        </w:rPr>
        <w:instrText>ADDIN CSL_CITATION {"citationItems":[{"id":"ITEM-1","itemData":{"DOI":"10.1016/j.foodchem.2017.06.063","ISSN":"0308-8146","author":[{"dropping-particle":"","family":"Yang","given":"Dezhi","non-dropping-particle":"","parse-names":false,"suffix":""},{"dropping-particle":"","family":"Li","given":"Xiaolan","non-dropping-particle":"","parse-names":false,"suffix":""},{"dropping-particle":"","family":"Meng","given":"Dongling","non-dropping-particle":"","parse-names":false,"suffix":""},{"dropping-particle":"","family":"Wang","given":"Meng","non-dropping-particle":"","parse-names":false,"suffix":""},{"dropping-particle":"","family":"Yang","given":"Yaling","non-dropping-particle":"","parse-names":false,"suffix":""}],"container-title":"Food Chemistry","id":"ITEM-1","issued":{"date-parts":[["2017"]]},"page":"870-876","title":"Supramolecular solvents combined with layered double hydroxide- coated magnetic nanoparticles for extraction of bisphenols and 4-tert- octylphenol from fruit juices","type":"article-journal","volume":"237"},"uris":["http://www.mendeley.com/documents/?uuid=d78b9c96-5e54-4799-b14a-42f871167f8a"]}],"mendeley":{"formattedCitation":"[26]","plainTextFormattedCitation":"[26]","previouslyFormattedCitation":"[26]"},"properties":{"noteIndex":0},"schema":"https://github.com/citation-style-language/schema/raw/master/csl-citation.json"}</w:instrText>
      </w:r>
      <w:r w:rsidRPr="00294081">
        <w:rPr>
          <w:rStyle w:val="FootnoteReference"/>
          <w:rFonts w:ascii="Times New Roman" w:hAnsi="Times New Roman"/>
          <w:sz w:val="20"/>
          <w:szCs w:val="20"/>
        </w:rPr>
        <w:fldChar w:fldCharType="separate"/>
      </w:r>
      <w:r w:rsidRPr="00294081">
        <w:rPr>
          <w:rFonts w:ascii="Times New Roman" w:hAnsi="Times New Roman"/>
          <w:noProof/>
          <w:sz w:val="20"/>
          <w:szCs w:val="20"/>
        </w:rPr>
        <w:t>[26]</w:t>
      </w:r>
      <w:r w:rsidRPr="00294081">
        <w:rPr>
          <w:rStyle w:val="FootnoteReference"/>
          <w:rFonts w:ascii="Times New Roman" w:hAnsi="Times New Roman"/>
          <w:sz w:val="20"/>
          <w:szCs w:val="20"/>
        </w:rPr>
        <w:fldChar w:fldCharType="end"/>
      </w:r>
      <w:r w:rsidRPr="00294081">
        <w:rPr>
          <w:rFonts w:ascii="Times New Roman" w:hAnsi="Times New Roman"/>
          <w:sz w:val="20"/>
          <w:szCs w:val="20"/>
        </w:rPr>
        <w:t xml:space="preserve">. To examine this effect, different volumes of SUPRAS from 200 to 750 µL at 50 μL intervals were investigated. As the extraction solvent volume increased, the final solvent volume collected after centrifugation also increased; however, this also led to reduction of the analyte signals. This result shows that it is essential to keep the volume of extraction solvent as low as possible to achieve maximum signals </w:t>
      </w:r>
      <w:r w:rsidRPr="00294081">
        <w:rPr>
          <w:rStyle w:val="FootnoteReference"/>
          <w:rFonts w:ascii="Times New Roman" w:hAnsi="Times New Roman"/>
          <w:sz w:val="20"/>
          <w:szCs w:val="20"/>
        </w:rPr>
        <w:fldChar w:fldCharType="begin" w:fldLock="1"/>
      </w:r>
      <w:r w:rsidRPr="00294081">
        <w:rPr>
          <w:rFonts w:ascii="Times New Roman" w:hAnsi="Times New Roman"/>
          <w:sz w:val="20"/>
          <w:szCs w:val="20"/>
        </w:rPr>
        <w:instrText>ADDIN CSL_CITATION {"citationItems":[{"id":"ITEM-1","itemData":{"author":[{"dropping-particle":"","family":"Dursun","given":"Gozde","non-dropping-particle":"","parse-names":false,"suffix":""},{"dropping-particle":"","family":"Yildiz","given":"Elif","non-dropping-particle":"","parse-names":false,"suffix":""},{"dropping-particle":"","family":"Cabuk","given":"Hasan","non-dropping-particle":"","parse-names":false,"suffix":""}],"container-title":"Cumhuriyet Science Journal","id":"ITEM-1","issue":"4","issued":{"date-parts":[["2018"]]},"page":"833-841","title":"Supramolecular Solvent-Based Microextraction of Propachlor and Prometryn Herbicides in Soil Samples Prior to Liquid Chromatographic Analysis","type":"article-journal","volume":"39"},"uris":["http://www.mendeley.com/documents/?uuid=26bcbb6c-6db7-4d06-ad58-d18441b15850"]}],"mendeley":{"formattedCitation":"[27]","plainTextFormattedCitation":"[27]","previouslyFormattedCitation":"[27]"},"properties":{"noteIndex":0},"schema":"https://github.com/citation-style-language/schema/raw/master/csl-citation.json"}</w:instrText>
      </w:r>
      <w:r w:rsidRPr="00294081">
        <w:rPr>
          <w:rStyle w:val="FootnoteReference"/>
          <w:rFonts w:ascii="Times New Roman" w:hAnsi="Times New Roman"/>
          <w:sz w:val="20"/>
          <w:szCs w:val="20"/>
        </w:rPr>
        <w:fldChar w:fldCharType="separate"/>
      </w:r>
      <w:r w:rsidRPr="00294081">
        <w:rPr>
          <w:rFonts w:ascii="Times New Roman" w:hAnsi="Times New Roman"/>
          <w:noProof/>
          <w:sz w:val="20"/>
          <w:szCs w:val="20"/>
        </w:rPr>
        <w:t>[27]</w:t>
      </w:r>
      <w:r w:rsidRPr="00294081">
        <w:rPr>
          <w:rStyle w:val="FootnoteReference"/>
          <w:rFonts w:ascii="Times New Roman" w:hAnsi="Times New Roman"/>
          <w:sz w:val="20"/>
          <w:szCs w:val="20"/>
        </w:rPr>
        <w:fldChar w:fldCharType="end"/>
      </w:r>
      <w:r w:rsidRPr="00294081">
        <w:rPr>
          <w:rFonts w:ascii="Times New Roman" w:hAnsi="Times New Roman"/>
          <w:sz w:val="20"/>
          <w:szCs w:val="20"/>
        </w:rPr>
        <w:t xml:space="preserve">. A larger volume of SUPRAS makes the collected final rich phase more dilute, and consequently decreases the extraction </w:t>
      </w:r>
      <w:r w:rsidRPr="00294081">
        <w:rPr>
          <w:rFonts w:ascii="Times New Roman" w:hAnsi="Times New Roman"/>
          <w:sz w:val="20"/>
          <w:szCs w:val="20"/>
        </w:rPr>
        <w:lastRenderedPageBreak/>
        <w:t xml:space="preserve">efficiency </w:t>
      </w:r>
      <w:r w:rsidRPr="00294081">
        <w:rPr>
          <w:rFonts w:ascii="Times New Roman" w:hAnsi="Times New Roman"/>
          <w:sz w:val="20"/>
          <w:szCs w:val="20"/>
        </w:rPr>
        <w:fldChar w:fldCharType="begin" w:fldLock="1"/>
      </w:r>
      <w:r w:rsidRPr="00294081">
        <w:rPr>
          <w:rFonts w:ascii="Times New Roman" w:hAnsi="Times New Roman"/>
          <w:sz w:val="20"/>
          <w:szCs w:val="20"/>
        </w:rPr>
        <w:instrText>ADDIN CSL_CITATION {"citationItems":[{"id":"ITEM-1","itemData":{"DOI":"10.1016/j.microc.2017.03.007","ISSN":"0026265X","abstract":"A supramolecular solvent-based microextraction procedure for preconcentration of four most common sugarcane herbicides (diuron, hexazinone, ametryn and tebuthiuron) from groundwater and surface water samples with further determination by High Performance Liquid Chromatography with Photodiode Array detector (HPLC-DAD) is proposed. The proposed method involves the use of a supramolecular solvent in which reverse micelles of 1-decanol are dispersed in tetrahydrofuran/water. The extraction of four herbicides performed at pH 4.0 requires low sample volume (10.0 mL), low extraction time (30 s of extraction and 10 min of centrifugation), low amount of organic solvents (50 μL of 1-decanol and 100 μL of THF) and provides high preconcentration factors (48.5 to diuron, 15.1 to hexazinone, 47.4 to ametryn and 21.0 to tebuthiuron). The limits of detection (LOD), quantification (LOQ), the precision (RSD) and the accuracy (RE) of the developed method ranged between 0.13 and 1.45 μg L− 1, 0.43–4.85 μg L− 1, 2.4–6.8% and 0.6–6.2%, respectively. Recovery values obtained by applying the proposed method in spiked groundwater and surface water samples at μg L− 1 levels varied in the range of 95–111%. The quantification of some analyzed herbicides in natural waters showed clearly the importance of investigates herbicides concentrations in regions of sugarcane cultivation predominance.","author":[{"dropping-particle":"","family":"Scheel","given":"Guilherme Luiz","non-dropping-particle":"","parse-names":false,"suffix":""},{"dropping-particle":"","family":"Tarley","given":"César Ricardo Teixeira","non-dropping-particle":"","parse-names":false,"suffix":""}],"container-title":"Microchemical Journal","id":"ITEM-1","issued":{"date-parts":[["2017"]]},"page":"650-657","title":"Feasibility of supramolecular solvent-based microextraction for simultaneous preconcentration of herbicides from natural waters with posterior determination by HPLC-DAD","type":"article-journal","volume":"133"},"uris":["http://www.mendeley.com/documents/?uuid=d252e198-8451-4a04-809f-3d5bb0710507"]}],"mendeley":{"formattedCitation":"[16]","plainTextFormattedCitation":"[16]"},"properties":{"noteIndex":0},"schema":"https://github.com/citation-style-language/schema/raw/master/csl-citation.json"}</w:instrText>
      </w:r>
      <w:r w:rsidRPr="00294081">
        <w:rPr>
          <w:rFonts w:ascii="Times New Roman" w:hAnsi="Times New Roman"/>
          <w:sz w:val="20"/>
          <w:szCs w:val="20"/>
        </w:rPr>
        <w:fldChar w:fldCharType="separate"/>
      </w:r>
      <w:r w:rsidRPr="00294081">
        <w:rPr>
          <w:rFonts w:ascii="Times New Roman" w:hAnsi="Times New Roman"/>
          <w:noProof/>
          <w:sz w:val="20"/>
          <w:szCs w:val="20"/>
        </w:rPr>
        <w:t>[16]</w:t>
      </w:r>
      <w:r w:rsidRPr="00294081">
        <w:rPr>
          <w:rFonts w:ascii="Times New Roman" w:hAnsi="Times New Roman"/>
          <w:sz w:val="20"/>
          <w:szCs w:val="20"/>
        </w:rPr>
        <w:fldChar w:fldCharType="end"/>
      </w:r>
      <w:r w:rsidRPr="00294081">
        <w:rPr>
          <w:rFonts w:ascii="Times New Roman" w:hAnsi="Times New Roman"/>
          <w:sz w:val="20"/>
          <w:szCs w:val="20"/>
        </w:rPr>
        <w:t>. Unfortunately, it is not always possible to reduce the solvent volume as desired because a sufficient volume of solvent is needed for the analysis. The obtained results (Figure 4) demonstrated that the extraction efficiency was high in the SUPRAS volume of 400 µL and decreased thereafter. Therefore, considering the high repeatability, 400 µL was selected as the optimum SUPRAS volume.</w:t>
      </w:r>
    </w:p>
    <w:p w:rsidR="00294081" w:rsidRPr="00294081" w:rsidRDefault="00294081" w:rsidP="00C20570">
      <w:pPr>
        <w:spacing w:after="120" w:line="240" w:lineRule="auto"/>
        <w:jc w:val="both"/>
        <w:rPr>
          <w:rFonts w:ascii="Times New Roman" w:hAnsi="Times New Roman"/>
          <w:sz w:val="20"/>
          <w:szCs w:val="20"/>
        </w:rPr>
      </w:pPr>
    </w:p>
    <w:p w:rsidR="00294081" w:rsidRPr="00294081" w:rsidRDefault="00294081" w:rsidP="00C20570">
      <w:pPr>
        <w:spacing w:after="120" w:line="240" w:lineRule="auto"/>
        <w:jc w:val="center"/>
        <w:rPr>
          <w:rFonts w:ascii="Times New Roman" w:hAnsi="Times New Roman"/>
          <w:sz w:val="20"/>
          <w:szCs w:val="20"/>
        </w:rPr>
      </w:pPr>
      <w:r w:rsidRPr="00294081">
        <w:rPr>
          <w:rFonts w:ascii="Times New Roman" w:hAnsi="Times New Roman"/>
          <w:noProof/>
          <w:sz w:val="20"/>
          <w:szCs w:val="20"/>
          <w:lang w:eastAsia="en-MY"/>
        </w:rPr>
        <w:drawing>
          <wp:inline distT="0" distB="0" distL="0" distR="0" wp14:anchorId="720939D7" wp14:editId="66FCE67D">
            <wp:extent cx="3495169" cy="2468880"/>
            <wp:effectExtent l="19050" t="19050" r="10160" b="266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95169" cy="2468880"/>
                    </a:xfrm>
                    <a:prstGeom prst="rect">
                      <a:avLst/>
                    </a:prstGeom>
                    <a:noFill/>
                    <a:ln w="6350">
                      <a:solidFill>
                        <a:schemeClr val="tx1"/>
                      </a:solidFill>
                    </a:ln>
                  </pic:spPr>
                </pic:pic>
              </a:graphicData>
            </a:graphic>
          </wp:inline>
        </w:drawing>
      </w:r>
    </w:p>
    <w:p w:rsidR="00294081" w:rsidRDefault="00294081" w:rsidP="00294081">
      <w:pPr>
        <w:spacing w:after="0" w:line="240" w:lineRule="auto"/>
        <w:ind w:left="851" w:hanging="851"/>
        <w:jc w:val="both"/>
        <w:rPr>
          <w:rFonts w:ascii="Times New Roman" w:hAnsi="Times New Roman"/>
          <w:sz w:val="20"/>
          <w:szCs w:val="20"/>
        </w:rPr>
      </w:pPr>
      <w:r w:rsidRPr="00294081">
        <w:rPr>
          <w:rFonts w:ascii="Times New Roman" w:hAnsi="Times New Roman"/>
          <w:sz w:val="20"/>
          <w:szCs w:val="20"/>
        </w:rPr>
        <w:t xml:space="preserve">Figure 4. </w:t>
      </w:r>
      <w:r w:rsidR="00C20570">
        <w:rPr>
          <w:rFonts w:ascii="Times New Roman" w:hAnsi="Times New Roman"/>
          <w:sz w:val="20"/>
          <w:szCs w:val="20"/>
        </w:rPr>
        <w:tab/>
      </w:r>
      <w:r w:rsidRPr="00294081">
        <w:rPr>
          <w:rFonts w:ascii="Times New Roman" w:hAnsi="Times New Roman"/>
          <w:sz w:val="20"/>
          <w:szCs w:val="20"/>
        </w:rPr>
        <w:t>Effect of the volume of SUPRAS on the extraction efficiency of RhB. Conditions: 5.0 mL of sample volume spiked with 1.0 mg kg</w:t>
      </w:r>
      <w:r w:rsidRPr="00294081">
        <w:rPr>
          <w:rFonts w:ascii="Times New Roman" w:hAnsi="Times New Roman"/>
          <w:sz w:val="20"/>
          <w:szCs w:val="20"/>
          <w:vertAlign w:val="superscript"/>
        </w:rPr>
        <w:t>–1</w:t>
      </w:r>
      <w:r w:rsidRPr="00294081">
        <w:rPr>
          <w:rFonts w:ascii="Times New Roman" w:hAnsi="Times New Roman"/>
          <w:sz w:val="20"/>
          <w:szCs w:val="20"/>
        </w:rPr>
        <w:t xml:space="preserve"> of RhB and the SUPRAS 1-pentanol</w:t>
      </w:r>
    </w:p>
    <w:p w:rsidR="00C20570" w:rsidRPr="00294081" w:rsidRDefault="00C20570" w:rsidP="00C20570">
      <w:pPr>
        <w:spacing w:after="120" w:line="240" w:lineRule="auto"/>
        <w:ind w:left="850" w:hanging="850"/>
        <w:jc w:val="both"/>
        <w:rPr>
          <w:rFonts w:ascii="Times New Roman" w:hAnsi="Times New Roman"/>
          <w:sz w:val="20"/>
          <w:szCs w:val="20"/>
        </w:rPr>
      </w:pPr>
    </w:p>
    <w:p w:rsidR="00294081" w:rsidRPr="00294081" w:rsidRDefault="00294081" w:rsidP="00294081">
      <w:pPr>
        <w:spacing w:after="0" w:line="240" w:lineRule="auto"/>
        <w:jc w:val="both"/>
        <w:rPr>
          <w:rFonts w:ascii="Times New Roman" w:hAnsi="Times New Roman"/>
          <w:b/>
          <w:sz w:val="20"/>
          <w:szCs w:val="20"/>
        </w:rPr>
      </w:pPr>
      <w:r w:rsidRPr="00294081">
        <w:rPr>
          <w:rFonts w:ascii="Times New Roman" w:hAnsi="Times New Roman"/>
          <w:b/>
          <w:sz w:val="20"/>
          <w:szCs w:val="20"/>
        </w:rPr>
        <w:t>Effect of extraction time</w:t>
      </w:r>
    </w:p>
    <w:p w:rsidR="00294081" w:rsidRPr="00294081" w:rsidRDefault="00294081" w:rsidP="00294081">
      <w:pPr>
        <w:spacing w:after="0" w:line="240" w:lineRule="auto"/>
        <w:jc w:val="both"/>
        <w:rPr>
          <w:rFonts w:ascii="Times New Roman" w:hAnsi="Times New Roman"/>
          <w:sz w:val="20"/>
          <w:szCs w:val="20"/>
        </w:rPr>
      </w:pPr>
      <w:r w:rsidRPr="00294081">
        <w:rPr>
          <w:rFonts w:ascii="Times New Roman" w:hAnsi="Times New Roman"/>
          <w:sz w:val="20"/>
          <w:szCs w:val="20"/>
        </w:rPr>
        <w:t xml:space="preserve">Sufficient extraction time is essential to ensure the formation of a homogeneous cloudy solution, which influences the complete transfer of analytes from the sample solution to the extractant phase </w:t>
      </w:r>
      <w:r w:rsidRPr="00294081">
        <w:rPr>
          <w:rStyle w:val="FootnoteReference"/>
          <w:rFonts w:ascii="Times New Roman" w:hAnsi="Times New Roman"/>
          <w:sz w:val="20"/>
          <w:szCs w:val="20"/>
        </w:rPr>
        <w:fldChar w:fldCharType="begin" w:fldLock="1"/>
      </w:r>
      <w:r w:rsidRPr="00294081">
        <w:rPr>
          <w:rFonts w:ascii="Times New Roman" w:hAnsi="Times New Roman"/>
          <w:sz w:val="20"/>
          <w:szCs w:val="20"/>
        </w:rPr>
        <w:instrText>ADDIN CSL_CITATION {"citationItems":[{"id":"ITEM-1","itemData":{"DOI":"10.1016/j.molliq.2015.06.031","ISSN":"0167-7322","author":[{"dropping-particle":"","family":"Ezoddin","given":"Maryam","non-dropping-particle":"","parse-names":false,"suffix":""},{"dropping-particle":"","family":"Majidi","given":"Behrooz","non-dropping-particle":"","parse-names":false,"suffix":""},{"dropping-particle":"","family":"Abdi","given":"K","non-dropping-particle":"","parse-names":false,"suffix":""}],"container-title":"Journal of Molecular Liquids","id":"ITEM-1","issued":{"date-parts":[["2015"]]},"page":"515-519","title":"Ultrasound-assisted supramolecular dispersive liquid–liquid microextraction based on solidification of floating organic drops for preconcentration of palladium in water and road dust samples","type":"article-journal","volume":"209"},"uris":["http://www.mendeley.com/documents/?uuid=26ff0a7b-0709-4729-8fed-09b15c91fedd"]}],"mendeley":{"formattedCitation":"[24]","plainTextFormattedCitation":"[24]","previouslyFormattedCitation":"[24]"},"properties":{"noteIndex":0},"schema":"https://github.com/citation-style-language/schema/raw/master/csl-citation.json"}</w:instrText>
      </w:r>
      <w:r w:rsidRPr="00294081">
        <w:rPr>
          <w:rStyle w:val="FootnoteReference"/>
          <w:rFonts w:ascii="Times New Roman" w:hAnsi="Times New Roman"/>
          <w:sz w:val="20"/>
          <w:szCs w:val="20"/>
        </w:rPr>
        <w:fldChar w:fldCharType="separate"/>
      </w:r>
      <w:r w:rsidRPr="00294081">
        <w:rPr>
          <w:rFonts w:ascii="Times New Roman" w:hAnsi="Times New Roman"/>
          <w:noProof/>
          <w:sz w:val="20"/>
          <w:szCs w:val="20"/>
        </w:rPr>
        <w:t>[24]</w:t>
      </w:r>
      <w:r w:rsidRPr="00294081">
        <w:rPr>
          <w:rStyle w:val="FootnoteReference"/>
          <w:rFonts w:ascii="Times New Roman" w:hAnsi="Times New Roman"/>
          <w:sz w:val="20"/>
          <w:szCs w:val="20"/>
        </w:rPr>
        <w:fldChar w:fldCharType="end"/>
      </w:r>
      <w:r w:rsidRPr="00294081">
        <w:rPr>
          <w:rFonts w:ascii="Times New Roman" w:hAnsi="Times New Roman"/>
          <w:sz w:val="20"/>
          <w:szCs w:val="20"/>
        </w:rPr>
        <w:t>. The effect of extraction time on the extraction efficiency of RhB was evaluated from 10 to 30 minutes, and the results demonstrated that 30 minutes was adequate to reach the equilibrium between both phases (Figure 5). Hence, 30 minutes of extraction time was selected for subsequent analysis.</w:t>
      </w:r>
    </w:p>
    <w:p w:rsidR="00294081" w:rsidRPr="00294081" w:rsidRDefault="00294081" w:rsidP="00294081">
      <w:pPr>
        <w:spacing w:after="0" w:line="240" w:lineRule="auto"/>
        <w:jc w:val="both"/>
        <w:rPr>
          <w:rFonts w:ascii="Times New Roman" w:hAnsi="Times New Roman"/>
          <w:sz w:val="20"/>
          <w:szCs w:val="20"/>
        </w:rPr>
      </w:pPr>
    </w:p>
    <w:p w:rsidR="00294081" w:rsidRPr="00294081" w:rsidRDefault="00294081" w:rsidP="00C20570">
      <w:pPr>
        <w:spacing w:after="120" w:line="240" w:lineRule="auto"/>
        <w:jc w:val="center"/>
        <w:rPr>
          <w:rFonts w:ascii="Times New Roman" w:hAnsi="Times New Roman"/>
          <w:sz w:val="20"/>
          <w:szCs w:val="20"/>
        </w:rPr>
      </w:pPr>
      <w:r w:rsidRPr="00294081">
        <w:rPr>
          <w:rFonts w:ascii="Times New Roman" w:hAnsi="Times New Roman"/>
          <w:noProof/>
          <w:sz w:val="20"/>
          <w:szCs w:val="20"/>
          <w:lang w:eastAsia="en-MY"/>
        </w:rPr>
        <w:drawing>
          <wp:inline distT="0" distB="0" distL="0" distR="0" wp14:anchorId="0F232D25" wp14:editId="53878EDA">
            <wp:extent cx="3490909" cy="2468880"/>
            <wp:effectExtent l="19050" t="19050" r="14605" b="266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90909" cy="2468880"/>
                    </a:xfrm>
                    <a:prstGeom prst="rect">
                      <a:avLst/>
                    </a:prstGeom>
                    <a:noFill/>
                    <a:ln w="6350">
                      <a:solidFill>
                        <a:schemeClr val="tx1"/>
                      </a:solidFill>
                    </a:ln>
                  </pic:spPr>
                </pic:pic>
              </a:graphicData>
            </a:graphic>
          </wp:inline>
        </w:drawing>
      </w:r>
    </w:p>
    <w:p w:rsidR="00294081" w:rsidRPr="00294081" w:rsidRDefault="00294081" w:rsidP="00294081">
      <w:pPr>
        <w:spacing w:after="0" w:line="240" w:lineRule="auto"/>
        <w:ind w:left="851" w:hanging="851"/>
        <w:jc w:val="both"/>
        <w:rPr>
          <w:rFonts w:ascii="Times New Roman" w:hAnsi="Times New Roman"/>
          <w:sz w:val="20"/>
          <w:szCs w:val="20"/>
        </w:rPr>
      </w:pPr>
      <w:r w:rsidRPr="00294081">
        <w:rPr>
          <w:rFonts w:ascii="Times New Roman" w:hAnsi="Times New Roman"/>
          <w:sz w:val="20"/>
          <w:szCs w:val="20"/>
        </w:rPr>
        <w:t xml:space="preserve">Figure 5. </w:t>
      </w:r>
      <w:r w:rsidR="00C20570">
        <w:rPr>
          <w:rFonts w:ascii="Times New Roman" w:hAnsi="Times New Roman"/>
          <w:sz w:val="20"/>
          <w:szCs w:val="20"/>
        </w:rPr>
        <w:tab/>
      </w:r>
      <w:r w:rsidRPr="00294081">
        <w:rPr>
          <w:rFonts w:ascii="Times New Roman" w:hAnsi="Times New Roman"/>
          <w:sz w:val="20"/>
          <w:szCs w:val="20"/>
        </w:rPr>
        <w:t>Effect of extraction time on the extraction efficiency of RhB. Conditions: 5.0 mL of sample volume spiked with 1.0 mg kg</w:t>
      </w:r>
      <w:r w:rsidRPr="00294081">
        <w:rPr>
          <w:rFonts w:ascii="Times New Roman" w:hAnsi="Times New Roman"/>
          <w:sz w:val="20"/>
          <w:szCs w:val="20"/>
          <w:vertAlign w:val="superscript"/>
        </w:rPr>
        <w:t xml:space="preserve">–1 </w:t>
      </w:r>
      <w:r w:rsidRPr="00294081">
        <w:rPr>
          <w:rFonts w:ascii="Times New Roman" w:hAnsi="Times New Roman"/>
          <w:sz w:val="20"/>
          <w:szCs w:val="20"/>
        </w:rPr>
        <w:t>of RhB and 0.4 mL of the SUPRAS 1-pentanol</w:t>
      </w:r>
    </w:p>
    <w:p w:rsidR="00294081" w:rsidRPr="00294081" w:rsidRDefault="00294081" w:rsidP="00294081">
      <w:pPr>
        <w:spacing w:after="0" w:line="240" w:lineRule="auto"/>
        <w:jc w:val="both"/>
        <w:rPr>
          <w:rFonts w:ascii="Times New Roman" w:hAnsi="Times New Roman"/>
          <w:b/>
          <w:sz w:val="20"/>
          <w:szCs w:val="20"/>
        </w:rPr>
      </w:pPr>
      <w:r w:rsidRPr="00294081">
        <w:rPr>
          <w:rFonts w:ascii="Times New Roman" w:hAnsi="Times New Roman"/>
          <w:b/>
          <w:sz w:val="20"/>
          <w:szCs w:val="20"/>
        </w:rPr>
        <w:lastRenderedPageBreak/>
        <w:t>Effect of pH</w:t>
      </w:r>
    </w:p>
    <w:p w:rsidR="00294081" w:rsidRPr="00294081" w:rsidRDefault="00294081" w:rsidP="00294081">
      <w:pPr>
        <w:spacing w:after="0" w:line="240" w:lineRule="auto"/>
        <w:jc w:val="both"/>
        <w:rPr>
          <w:rFonts w:ascii="Times New Roman" w:hAnsi="Times New Roman"/>
          <w:sz w:val="20"/>
          <w:szCs w:val="20"/>
        </w:rPr>
      </w:pPr>
      <w:r w:rsidRPr="00294081">
        <w:rPr>
          <w:rFonts w:ascii="Times New Roman" w:hAnsi="Times New Roman"/>
          <w:sz w:val="20"/>
          <w:szCs w:val="20"/>
        </w:rPr>
        <w:t xml:space="preserve">The sample pH can control the dissociation of target analytes with acid-base characteristics, thus it is another important factor that needs to be considered </w:t>
      </w:r>
      <w:r w:rsidRPr="00294081">
        <w:rPr>
          <w:rStyle w:val="FootnoteReference"/>
          <w:rFonts w:ascii="Times New Roman" w:hAnsi="Times New Roman"/>
          <w:sz w:val="20"/>
          <w:szCs w:val="20"/>
        </w:rPr>
        <w:fldChar w:fldCharType="begin" w:fldLock="1"/>
      </w:r>
      <w:r w:rsidRPr="00294081">
        <w:rPr>
          <w:rFonts w:ascii="Times New Roman" w:hAnsi="Times New Roman"/>
          <w:sz w:val="20"/>
          <w:szCs w:val="20"/>
        </w:rPr>
        <w:instrText>ADDIN CSL_CITATION {"citationItems":[{"id":"ITEM-1","itemData":{"DOI":"10.1016/j.microc.2017.03.007","ISSN":"0026265X","abstract":"A supramolecular solvent-based microextraction procedure for preconcentration of four most common sugarcane herbicides (diuron, hexazinone, ametryn and tebuthiuron) from groundwater and surface water samples with further determination by High Performance Liquid Chromatography with Photodiode Array detector (HPLC-DAD) is proposed. The proposed method involves the use of a supramolecular solvent in which reverse micelles of 1-decanol are dispersed in tetrahydrofuran/water. The extraction of four herbicides performed at pH 4.0 requires low sample volume (10.0 mL), low extraction time (30 s of extraction and 10 min of centrifugation), low amount of organic solvents (50 μL of 1-decanol and 100 μL of THF) and provides high preconcentration factors (48.5 to diuron, 15.1 to hexazinone, 47.4 to ametryn and 21.0 to tebuthiuron). The limits of detection (LOD), quantification (LOQ), the precision (RSD) and the accuracy (RE) of the developed method ranged between 0.13 and 1.45 μg L− 1, 0.43–4.85 μg L− 1, 2.4–6.8% and 0.6–6.2%, respectively. Recovery values obtained by applying the proposed method in spiked groundwater and surface water samples at μg L− 1 levels varied in the range of 95–111%. The quantification of some analyzed herbicides in natural waters showed clearly the importance of investigates herbicides concentrations in regions of sugarcane cultivation predominance.","author":[{"dropping-particle":"","family":"Scheel","given":"Guilherme Luiz","non-dropping-particle":"","parse-names":false,"suffix":""},{"dropping-particle":"","family":"Tarley","given":"César Ricardo Teixeira","non-dropping-particle":"","parse-names":false,"suffix":""}],"container-title":"Microchemical Journal","id":"ITEM-1","issued":{"date-parts":[["2017"]]},"page":"650-657","title":"Feasibility of supramolecular solvent-based microextraction for simultaneous preconcentration of herbicides from natural waters with posterior determination by HPLC-DAD","type":"article-journal","volume":"133"},"uris":["http://www.mendeley.com/documents/?uuid=d252e198-8451-4a04-809f-3d5bb0710507"]}],"mendeley":{"formattedCitation":"[16]","plainTextFormattedCitation":"[16]","previouslyFormattedCitation":"[16]"},"properties":{"noteIndex":0},"schema":"https://github.com/citation-style-language/schema/raw/master/csl-citation.json"}</w:instrText>
      </w:r>
      <w:r w:rsidRPr="00294081">
        <w:rPr>
          <w:rStyle w:val="FootnoteReference"/>
          <w:rFonts w:ascii="Times New Roman" w:hAnsi="Times New Roman"/>
          <w:sz w:val="20"/>
          <w:szCs w:val="20"/>
        </w:rPr>
        <w:fldChar w:fldCharType="separate"/>
      </w:r>
      <w:r w:rsidRPr="00294081">
        <w:rPr>
          <w:rFonts w:ascii="Times New Roman" w:hAnsi="Times New Roman"/>
          <w:noProof/>
          <w:sz w:val="20"/>
          <w:szCs w:val="20"/>
        </w:rPr>
        <w:t>[16]</w:t>
      </w:r>
      <w:r w:rsidRPr="00294081">
        <w:rPr>
          <w:rStyle w:val="FootnoteReference"/>
          <w:rFonts w:ascii="Times New Roman" w:hAnsi="Times New Roman"/>
          <w:sz w:val="20"/>
          <w:szCs w:val="20"/>
        </w:rPr>
        <w:fldChar w:fldCharType="end"/>
      </w:r>
      <w:r w:rsidRPr="00294081">
        <w:rPr>
          <w:rFonts w:ascii="Times New Roman" w:hAnsi="Times New Roman"/>
          <w:sz w:val="20"/>
          <w:szCs w:val="20"/>
        </w:rPr>
        <w:t>. pH values ranging from 3 to 9 were evaluated, and the optimum analytical signal for RhB extraction was achieved at pH 5.0 (Figure 6). This can be explained by the molecular or ionic forms of RhB that were created during weak base protonation (or weak acid deprotonation), which usually interacted weakly with the SUPRAS micellar aggregate compared to the neutral form, thereby resulting in a lower extraction efficiency (Table 1). Therefore, pH 5.0 was selected as the optimum pH for the extraction of RhB in this study.</w:t>
      </w:r>
    </w:p>
    <w:p w:rsidR="00294081" w:rsidRPr="00294081" w:rsidRDefault="00294081" w:rsidP="00C20570">
      <w:pPr>
        <w:spacing w:after="120" w:line="240" w:lineRule="auto"/>
        <w:jc w:val="both"/>
        <w:rPr>
          <w:rFonts w:ascii="Times New Roman" w:hAnsi="Times New Roman"/>
          <w:sz w:val="20"/>
          <w:szCs w:val="20"/>
        </w:rPr>
      </w:pPr>
    </w:p>
    <w:p w:rsidR="00294081" w:rsidRPr="00294081" w:rsidRDefault="00294081" w:rsidP="00C20570">
      <w:pPr>
        <w:spacing w:after="120" w:line="240" w:lineRule="auto"/>
        <w:jc w:val="center"/>
        <w:rPr>
          <w:rFonts w:ascii="Times New Roman" w:hAnsi="Times New Roman"/>
          <w:sz w:val="20"/>
          <w:szCs w:val="20"/>
        </w:rPr>
      </w:pPr>
      <w:r w:rsidRPr="00294081">
        <w:rPr>
          <w:rFonts w:ascii="Times New Roman" w:hAnsi="Times New Roman"/>
          <w:noProof/>
          <w:sz w:val="20"/>
          <w:szCs w:val="20"/>
          <w:lang w:eastAsia="en-MY"/>
        </w:rPr>
        <w:drawing>
          <wp:inline distT="0" distB="0" distL="0" distR="0" wp14:anchorId="128013B2" wp14:editId="5680469D">
            <wp:extent cx="3334981" cy="2362200"/>
            <wp:effectExtent l="19050" t="19050" r="18415" b="190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45791" cy="2369857"/>
                    </a:xfrm>
                    <a:prstGeom prst="rect">
                      <a:avLst/>
                    </a:prstGeom>
                    <a:noFill/>
                    <a:ln w="6350">
                      <a:solidFill>
                        <a:schemeClr val="tx1"/>
                      </a:solidFill>
                    </a:ln>
                  </pic:spPr>
                </pic:pic>
              </a:graphicData>
            </a:graphic>
          </wp:inline>
        </w:drawing>
      </w:r>
    </w:p>
    <w:p w:rsidR="00294081" w:rsidRPr="00294081" w:rsidRDefault="00294081" w:rsidP="00294081">
      <w:pPr>
        <w:spacing w:after="0" w:line="240" w:lineRule="auto"/>
        <w:ind w:left="851" w:hanging="851"/>
        <w:jc w:val="both"/>
        <w:rPr>
          <w:rFonts w:ascii="Times New Roman" w:hAnsi="Times New Roman"/>
          <w:sz w:val="20"/>
          <w:szCs w:val="20"/>
        </w:rPr>
      </w:pPr>
      <w:r w:rsidRPr="00294081">
        <w:rPr>
          <w:rFonts w:ascii="Times New Roman" w:hAnsi="Times New Roman"/>
          <w:sz w:val="20"/>
          <w:szCs w:val="20"/>
        </w:rPr>
        <w:t xml:space="preserve">Figure 6. </w:t>
      </w:r>
      <w:r w:rsidR="00C20570">
        <w:rPr>
          <w:rFonts w:ascii="Times New Roman" w:hAnsi="Times New Roman"/>
          <w:sz w:val="20"/>
          <w:szCs w:val="20"/>
        </w:rPr>
        <w:tab/>
      </w:r>
      <w:r w:rsidRPr="00294081">
        <w:rPr>
          <w:rFonts w:ascii="Times New Roman" w:hAnsi="Times New Roman"/>
          <w:sz w:val="20"/>
          <w:szCs w:val="20"/>
        </w:rPr>
        <w:t>Effect of pH on the extraction efficiency of RhB. Conditions: 5.0 mL of sample volume spiked with 1.0 mg kg</w:t>
      </w:r>
      <w:r w:rsidRPr="00294081">
        <w:rPr>
          <w:rFonts w:ascii="Times New Roman" w:hAnsi="Times New Roman"/>
          <w:sz w:val="20"/>
          <w:szCs w:val="20"/>
          <w:vertAlign w:val="superscript"/>
        </w:rPr>
        <w:t xml:space="preserve">–1 </w:t>
      </w:r>
      <w:r w:rsidRPr="00294081">
        <w:rPr>
          <w:rFonts w:ascii="Times New Roman" w:hAnsi="Times New Roman"/>
          <w:sz w:val="20"/>
          <w:szCs w:val="20"/>
        </w:rPr>
        <w:t>of RhB and 0.4 mL of the SUPRAS 1-pentanol as SUPRAS and extraction time of 30 minutes</w:t>
      </w:r>
    </w:p>
    <w:p w:rsidR="00C20570" w:rsidRDefault="00C20570" w:rsidP="00294081">
      <w:pPr>
        <w:spacing w:after="0" w:line="240" w:lineRule="auto"/>
        <w:jc w:val="both"/>
        <w:rPr>
          <w:rFonts w:ascii="Times New Roman" w:hAnsi="Times New Roman"/>
          <w:sz w:val="20"/>
          <w:szCs w:val="20"/>
        </w:rPr>
      </w:pPr>
    </w:p>
    <w:p w:rsidR="00C20570" w:rsidRDefault="00C20570" w:rsidP="00294081">
      <w:pPr>
        <w:spacing w:after="0" w:line="240" w:lineRule="auto"/>
        <w:jc w:val="both"/>
        <w:rPr>
          <w:rFonts w:ascii="Times New Roman" w:hAnsi="Times New Roman"/>
          <w:sz w:val="20"/>
          <w:szCs w:val="20"/>
        </w:rPr>
      </w:pPr>
    </w:p>
    <w:p w:rsidR="00294081" w:rsidRPr="00294081" w:rsidRDefault="00294081" w:rsidP="00C20570">
      <w:pPr>
        <w:spacing w:after="0" w:line="240" w:lineRule="auto"/>
        <w:jc w:val="center"/>
        <w:rPr>
          <w:rFonts w:ascii="Times New Roman" w:hAnsi="Times New Roman"/>
          <w:sz w:val="20"/>
          <w:szCs w:val="20"/>
        </w:rPr>
      </w:pPr>
      <w:r w:rsidRPr="00294081">
        <w:rPr>
          <w:rFonts w:ascii="Times New Roman" w:hAnsi="Times New Roman"/>
          <w:sz w:val="20"/>
          <w:szCs w:val="20"/>
        </w:rPr>
        <w:t xml:space="preserve">Table 1. </w:t>
      </w:r>
      <w:r w:rsidR="00C20570">
        <w:rPr>
          <w:rFonts w:ascii="Times New Roman" w:hAnsi="Times New Roman"/>
          <w:sz w:val="20"/>
          <w:szCs w:val="20"/>
        </w:rPr>
        <w:t xml:space="preserve"> </w:t>
      </w:r>
      <w:r w:rsidRPr="00294081">
        <w:rPr>
          <w:rFonts w:ascii="Times New Roman" w:hAnsi="Times New Roman"/>
          <w:sz w:val="20"/>
          <w:szCs w:val="20"/>
        </w:rPr>
        <w:t>Molecular structure of RhB under different pH conditions</w:t>
      </w:r>
    </w:p>
    <w:tbl>
      <w:tblPr>
        <w:tblStyle w:val="CommentText"/>
        <w:tblpPr w:leftFromText="180" w:rightFromText="180" w:vertAnchor="text" w:horzAnchor="margin" w:tblpXSpec="right" w:tblpY="107"/>
        <w:tblW w:w="8837" w:type="dxa"/>
        <w:tblLook w:val="04A0" w:firstRow="1" w:lastRow="0" w:firstColumn="1" w:lastColumn="0" w:noHBand="0" w:noVBand="1"/>
      </w:tblPr>
      <w:tblGrid>
        <w:gridCol w:w="2916"/>
        <w:gridCol w:w="3008"/>
        <w:gridCol w:w="2913"/>
      </w:tblGrid>
      <w:tr w:rsidR="00294081" w:rsidRPr="00294081" w:rsidTr="00C20570">
        <w:trPr>
          <w:trHeight w:val="441"/>
        </w:trPr>
        <w:tc>
          <w:tcPr>
            <w:tcW w:w="2916" w:type="dxa"/>
            <w:tcBorders>
              <w:top w:val="single" w:sz="4" w:space="0" w:color="auto"/>
            </w:tcBorders>
          </w:tcPr>
          <w:p w:rsidR="00294081" w:rsidRPr="00294081" w:rsidRDefault="00294081" w:rsidP="00C20570">
            <w:pPr>
              <w:spacing w:before="60" w:after="0" w:line="240" w:lineRule="auto"/>
              <w:jc w:val="center"/>
              <w:rPr>
                <w:rFonts w:ascii="Times New Roman" w:hAnsi="Times New Roman" w:cs="Times New Roman"/>
                <w:b/>
                <w:sz w:val="20"/>
                <w:szCs w:val="20"/>
              </w:rPr>
            </w:pPr>
            <w:r w:rsidRPr="00294081">
              <w:rPr>
                <w:rFonts w:ascii="Times New Roman" w:hAnsi="Times New Roman" w:cs="Times New Roman"/>
                <w:b/>
                <w:sz w:val="20"/>
                <w:szCs w:val="20"/>
              </w:rPr>
              <w:t>pH &lt; 5</w:t>
            </w:r>
          </w:p>
          <w:p w:rsidR="00294081" w:rsidRPr="00294081" w:rsidRDefault="00294081" w:rsidP="00C20570">
            <w:pPr>
              <w:spacing w:after="0" w:line="240" w:lineRule="auto"/>
              <w:jc w:val="center"/>
              <w:rPr>
                <w:rFonts w:ascii="Times New Roman" w:hAnsi="Times New Roman" w:cs="Times New Roman"/>
                <w:b/>
                <w:sz w:val="20"/>
                <w:szCs w:val="20"/>
              </w:rPr>
            </w:pPr>
            <w:r w:rsidRPr="00294081">
              <w:rPr>
                <w:rFonts w:ascii="Times New Roman" w:hAnsi="Times New Roman" w:cs="Times New Roman"/>
                <w:b/>
                <w:sz w:val="20"/>
                <w:szCs w:val="20"/>
              </w:rPr>
              <w:t>Protonated</w:t>
            </w:r>
          </w:p>
        </w:tc>
        <w:tc>
          <w:tcPr>
            <w:tcW w:w="3008" w:type="dxa"/>
            <w:tcBorders>
              <w:top w:val="single" w:sz="4" w:space="0" w:color="auto"/>
            </w:tcBorders>
          </w:tcPr>
          <w:p w:rsidR="00294081" w:rsidRPr="00294081" w:rsidRDefault="00294081" w:rsidP="00C20570">
            <w:pPr>
              <w:spacing w:before="60" w:after="0" w:line="240" w:lineRule="auto"/>
              <w:jc w:val="center"/>
              <w:rPr>
                <w:rFonts w:ascii="Times New Roman" w:hAnsi="Times New Roman" w:cs="Times New Roman"/>
                <w:b/>
                <w:sz w:val="20"/>
                <w:szCs w:val="20"/>
              </w:rPr>
            </w:pPr>
            <w:r w:rsidRPr="00294081">
              <w:rPr>
                <w:rFonts w:ascii="Times New Roman" w:hAnsi="Times New Roman" w:cs="Times New Roman"/>
                <w:b/>
                <w:sz w:val="20"/>
                <w:szCs w:val="20"/>
              </w:rPr>
              <w:t>pH 5</w:t>
            </w:r>
          </w:p>
          <w:p w:rsidR="00294081" w:rsidRPr="00294081" w:rsidRDefault="00294081" w:rsidP="00C20570">
            <w:pPr>
              <w:spacing w:after="0" w:line="240" w:lineRule="auto"/>
              <w:jc w:val="center"/>
              <w:rPr>
                <w:rFonts w:ascii="Times New Roman" w:hAnsi="Times New Roman" w:cs="Times New Roman"/>
                <w:b/>
                <w:sz w:val="20"/>
                <w:szCs w:val="20"/>
              </w:rPr>
            </w:pPr>
            <w:r w:rsidRPr="00294081">
              <w:rPr>
                <w:rFonts w:ascii="Times New Roman" w:hAnsi="Times New Roman" w:cs="Times New Roman"/>
                <w:b/>
                <w:sz w:val="20"/>
                <w:szCs w:val="20"/>
              </w:rPr>
              <w:t>Neutral</w:t>
            </w:r>
          </w:p>
        </w:tc>
        <w:tc>
          <w:tcPr>
            <w:tcW w:w="2913" w:type="dxa"/>
            <w:tcBorders>
              <w:top w:val="single" w:sz="4" w:space="0" w:color="auto"/>
            </w:tcBorders>
          </w:tcPr>
          <w:p w:rsidR="00294081" w:rsidRPr="00294081" w:rsidRDefault="00294081" w:rsidP="00C20570">
            <w:pPr>
              <w:spacing w:before="60" w:after="0" w:line="240" w:lineRule="auto"/>
              <w:jc w:val="center"/>
              <w:rPr>
                <w:rFonts w:ascii="Times New Roman" w:hAnsi="Times New Roman" w:cs="Times New Roman"/>
                <w:b/>
                <w:sz w:val="20"/>
                <w:szCs w:val="20"/>
              </w:rPr>
            </w:pPr>
            <w:r w:rsidRPr="00294081">
              <w:rPr>
                <w:rFonts w:ascii="Times New Roman" w:hAnsi="Times New Roman" w:cs="Times New Roman"/>
                <w:b/>
                <w:sz w:val="20"/>
                <w:szCs w:val="20"/>
              </w:rPr>
              <w:t>pH ˃ 5</w:t>
            </w:r>
          </w:p>
          <w:p w:rsidR="00294081" w:rsidRPr="00294081" w:rsidRDefault="00294081" w:rsidP="00C20570">
            <w:pPr>
              <w:spacing w:after="60" w:line="240" w:lineRule="auto"/>
              <w:jc w:val="center"/>
              <w:rPr>
                <w:rFonts w:ascii="Times New Roman" w:hAnsi="Times New Roman" w:cs="Times New Roman"/>
                <w:b/>
                <w:sz w:val="20"/>
                <w:szCs w:val="20"/>
              </w:rPr>
            </w:pPr>
            <w:r w:rsidRPr="00294081">
              <w:rPr>
                <w:rFonts w:ascii="Times New Roman" w:hAnsi="Times New Roman" w:cs="Times New Roman"/>
                <w:b/>
                <w:sz w:val="20"/>
                <w:szCs w:val="20"/>
              </w:rPr>
              <w:t>Deprotonated</w:t>
            </w:r>
          </w:p>
        </w:tc>
      </w:tr>
      <w:tr w:rsidR="00294081" w:rsidRPr="00294081" w:rsidTr="00C20570">
        <w:trPr>
          <w:trHeight w:val="2267"/>
        </w:trPr>
        <w:tc>
          <w:tcPr>
            <w:tcW w:w="2916" w:type="dxa"/>
            <w:tcBorders>
              <w:bottom w:val="single" w:sz="4" w:space="0" w:color="auto"/>
            </w:tcBorders>
          </w:tcPr>
          <w:p w:rsidR="00294081" w:rsidRPr="00294081" w:rsidRDefault="00294081" w:rsidP="00C20570">
            <w:pPr>
              <w:spacing w:before="120" w:after="0" w:line="240" w:lineRule="auto"/>
              <w:jc w:val="center"/>
              <w:rPr>
                <w:rFonts w:ascii="Times New Roman" w:hAnsi="Times New Roman" w:cs="Times New Roman"/>
                <w:sz w:val="20"/>
                <w:szCs w:val="20"/>
              </w:rPr>
            </w:pPr>
            <w:r w:rsidRPr="00294081">
              <w:rPr>
                <w:rFonts w:ascii="Times New Roman" w:eastAsiaTheme="minorEastAsia" w:hAnsi="Times New Roman" w:cs="Times New Roman"/>
                <w:sz w:val="20"/>
                <w:szCs w:val="20"/>
                <w:lang w:val="en-MY" w:eastAsia="zh-CN"/>
              </w:rPr>
              <w:object w:dxaOrig="5525" w:dyaOrig="36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29.75pt;height:87pt" o:ole="">
                  <v:imagedata r:id="rId16" o:title=""/>
                </v:shape>
                <o:OLEObject Type="Embed" ProgID="ChemDraw.Document.6.0" ShapeID="_x0000_i1046" DrawAspect="Content" ObjectID="_1646571407" r:id="rId17"/>
              </w:object>
            </w:r>
          </w:p>
          <w:p w:rsidR="00294081" w:rsidRPr="00294081" w:rsidRDefault="00294081" w:rsidP="00C20570">
            <w:pPr>
              <w:spacing w:after="0" w:line="240" w:lineRule="auto"/>
              <w:jc w:val="center"/>
              <w:rPr>
                <w:rFonts w:ascii="Times New Roman" w:hAnsi="Times New Roman" w:cs="Times New Roman"/>
                <w:sz w:val="20"/>
                <w:szCs w:val="20"/>
              </w:rPr>
            </w:pPr>
          </w:p>
        </w:tc>
        <w:tc>
          <w:tcPr>
            <w:tcW w:w="3008" w:type="dxa"/>
            <w:tcBorders>
              <w:bottom w:val="single" w:sz="4" w:space="0" w:color="auto"/>
            </w:tcBorders>
          </w:tcPr>
          <w:p w:rsidR="00294081" w:rsidRPr="00294081" w:rsidRDefault="00294081" w:rsidP="00C20570">
            <w:pPr>
              <w:spacing w:before="120" w:after="0" w:line="240" w:lineRule="auto"/>
              <w:jc w:val="center"/>
              <w:rPr>
                <w:rFonts w:ascii="Times New Roman" w:hAnsi="Times New Roman" w:cs="Times New Roman"/>
                <w:sz w:val="20"/>
                <w:szCs w:val="20"/>
              </w:rPr>
            </w:pPr>
            <w:r w:rsidRPr="00294081">
              <w:rPr>
                <w:rFonts w:ascii="Times New Roman" w:eastAsiaTheme="minorEastAsia" w:hAnsi="Times New Roman" w:cs="Times New Roman"/>
                <w:sz w:val="20"/>
                <w:szCs w:val="20"/>
                <w:lang w:val="en-MY" w:eastAsia="zh-CN"/>
              </w:rPr>
              <w:object w:dxaOrig="5527" w:dyaOrig="3670">
                <v:shape id="_x0000_i1047" type="#_x0000_t75" style="width:135pt;height:90.75pt" o:ole="">
                  <v:imagedata r:id="rId18" o:title=""/>
                </v:shape>
                <o:OLEObject Type="Embed" ProgID="ChemDraw.Document.6.0" ShapeID="_x0000_i1047" DrawAspect="Content" ObjectID="_1646571408" r:id="rId19"/>
              </w:object>
            </w:r>
          </w:p>
        </w:tc>
        <w:tc>
          <w:tcPr>
            <w:tcW w:w="2913" w:type="dxa"/>
            <w:tcBorders>
              <w:bottom w:val="single" w:sz="4" w:space="0" w:color="auto"/>
            </w:tcBorders>
          </w:tcPr>
          <w:p w:rsidR="00294081" w:rsidRPr="00294081" w:rsidRDefault="00294081" w:rsidP="00C20570">
            <w:pPr>
              <w:spacing w:before="120" w:after="0" w:line="240" w:lineRule="auto"/>
              <w:jc w:val="center"/>
              <w:rPr>
                <w:rFonts w:ascii="Times New Roman" w:hAnsi="Times New Roman" w:cs="Times New Roman"/>
                <w:sz w:val="20"/>
                <w:szCs w:val="20"/>
              </w:rPr>
            </w:pPr>
            <w:r w:rsidRPr="00294081">
              <w:rPr>
                <w:rFonts w:ascii="Times New Roman" w:eastAsiaTheme="minorEastAsia" w:hAnsi="Times New Roman" w:cs="Times New Roman"/>
                <w:sz w:val="20"/>
                <w:szCs w:val="20"/>
                <w:lang w:val="en-MY" w:eastAsia="zh-CN"/>
              </w:rPr>
              <w:object w:dxaOrig="5527" w:dyaOrig="3281">
                <v:shape id="_x0000_i1048" type="#_x0000_t75" style="width:129.75pt;height:77.25pt" o:ole="">
                  <v:imagedata r:id="rId20" o:title=""/>
                </v:shape>
                <o:OLEObject Type="Embed" ProgID="ChemDraw.Document.6.0" ShapeID="_x0000_i1048" DrawAspect="Content" ObjectID="_1646571409" r:id="rId21"/>
              </w:object>
            </w:r>
          </w:p>
        </w:tc>
      </w:tr>
    </w:tbl>
    <w:p w:rsidR="00294081" w:rsidRPr="00294081" w:rsidRDefault="00294081" w:rsidP="00294081">
      <w:pPr>
        <w:tabs>
          <w:tab w:val="center" w:pos="4153"/>
        </w:tabs>
        <w:spacing w:after="0" w:line="240" w:lineRule="auto"/>
        <w:jc w:val="both"/>
        <w:rPr>
          <w:rFonts w:ascii="Times New Roman" w:hAnsi="Times New Roman"/>
          <w:b/>
          <w:sz w:val="20"/>
          <w:szCs w:val="20"/>
        </w:rPr>
      </w:pPr>
    </w:p>
    <w:p w:rsidR="00C20570" w:rsidRDefault="00C20570" w:rsidP="00294081">
      <w:pPr>
        <w:pStyle w:val="NoSpacing"/>
        <w:jc w:val="both"/>
        <w:rPr>
          <w:rFonts w:ascii="Times New Roman" w:hAnsi="Times New Roman"/>
          <w:b/>
          <w:sz w:val="20"/>
          <w:szCs w:val="20"/>
        </w:rPr>
      </w:pPr>
    </w:p>
    <w:p w:rsidR="00C20570" w:rsidRDefault="00C20570" w:rsidP="00294081">
      <w:pPr>
        <w:pStyle w:val="NoSpacing"/>
        <w:jc w:val="both"/>
        <w:rPr>
          <w:rFonts w:ascii="Times New Roman" w:hAnsi="Times New Roman"/>
          <w:b/>
          <w:sz w:val="20"/>
          <w:szCs w:val="20"/>
        </w:rPr>
      </w:pPr>
    </w:p>
    <w:p w:rsidR="00C20570" w:rsidRDefault="00C20570" w:rsidP="00294081">
      <w:pPr>
        <w:pStyle w:val="NoSpacing"/>
        <w:jc w:val="both"/>
        <w:rPr>
          <w:rFonts w:ascii="Times New Roman" w:hAnsi="Times New Roman"/>
          <w:b/>
          <w:sz w:val="20"/>
          <w:szCs w:val="20"/>
        </w:rPr>
      </w:pPr>
    </w:p>
    <w:p w:rsidR="00C20570" w:rsidRDefault="00C20570" w:rsidP="00294081">
      <w:pPr>
        <w:pStyle w:val="NoSpacing"/>
        <w:jc w:val="both"/>
        <w:rPr>
          <w:rFonts w:ascii="Times New Roman" w:hAnsi="Times New Roman"/>
          <w:b/>
          <w:sz w:val="20"/>
          <w:szCs w:val="20"/>
        </w:rPr>
      </w:pPr>
    </w:p>
    <w:p w:rsidR="00C20570" w:rsidRDefault="00C20570" w:rsidP="00294081">
      <w:pPr>
        <w:pStyle w:val="NoSpacing"/>
        <w:jc w:val="both"/>
        <w:rPr>
          <w:rFonts w:ascii="Times New Roman" w:hAnsi="Times New Roman"/>
          <w:b/>
          <w:sz w:val="20"/>
          <w:szCs w:val="20"/>
        </w:rPr>
      </w:pPr>
    </w:p>
    <w:p w:rsidR="00C20570" w:rsidRDefault="00C20570" w:rsidP="00294081">
      <w:pPr>
        <w:pStyle w:val="NoSpacing"/>
        <w:jc w:val="both"/>
        <w:rPr>
          <w:rFonts w:ascii="Times New Roman" w:hAnsi="Times New Roman"/>
          <w:b/>
          <w:sz w:val="20"/>
          <w:szCs w:val="20"/>
        </w:rPr>
      </w:pPr>
    </w:p>
    <w:p w:rsidR="00C20570" w:rsidRDefault="00C20570" w:rsidP="00294081">
      <w:pPr>
        <w:pStyle w:val="NoSpacing"/>
        <w:jc w:val="both"/>
        <w:rPr>
          <w:rFonts w:ascii="Times New Roman" w:hAnsi="Times New Roman"/>
          <w:b/>
          <w:sz w:val="20"/>
          <w:szCs w:val="20"/>
        </w:rPr>
      </w:pPr>
    </w:p>
    <w:p w:rsidR="00C20570" w:rsidRDefault="00C20570" w:rsidP="00294081">
      <w:pPr>
        <w:pStyle w:val="NoSpacing"/>
        <w:jc w:val="both"/>
        <w:rPr>
          <w:rFonts w:ascii="Times New Roman" w:hAnsi="Times New Roman"/>
          <w:b/>
          <w:sz w:val="20"/>
          <w:szCs w:val="20"/>
        </w:rPr>
      </w:pPr>
    </w:p>
    <w:p w:rsidR="00C20570" w:rsidRDefault="00C20570" w:rsidP="00294081">
      <w:pPr>
        <w:pStyle w:val="NoSpacing"/>
        <w:jc w:val="both"/>
        <w:rPr>
          <w:rFonts w:ascii="Times New Roman" w:hAnsi="Times New Roman"/>
          <w:b/>
          <w:sz w:val="20"/>
          <w:szCs w:val="20"/>
        </w:rPr>
      </w:pPr>
    </w:p>
    <w:p w:rsidR="00C20570" w:rsidRDefault="00C20570" w:rsidP="00294081">
      <w:pPr>
        <w:pStyle w:val="NoSpacing"/>
        <w:jc w:val="both"/>
        <w:rPr>
          <w:rFonts w:ascii="Times New Roman" w:hAnsi="Times New Roman"/>
          <w:b/>
          <w:sz w:val="20"/>
          <w:szCs w:val="20"/>
        </w:rPr>
      </w:pPr>
    </w:p>
    <w:p w:rsidR="00C20570" w:rsidRDefault="00C20570" w:rsidP="00294081">
      <w:pPr>
        <w:pStyle w:val="NoSpacing"/>
        <w:jc w:val="both"/>
        <w:rPr>
          <w:rFonts w:ascii="Times New Roman" w:hAnsi="Times New Roman"/>
          <w:b/>
          <w:sz w:val="20"/>
          <w:szCs w:val="20"/>
        </w:rPr>
      </w:pPr>
    </w:p>
    <w:p w:rsidR="00C20570" w:rsidRDefault="00C20570" w:rsidP="00294081">
      <w:pPr>
        <w:pStyle w:val="NoSpacing"/>
        <w:jc w:val="both"/>
        <w:rPr>
          <w:rFonts w:ascii="Times New Roman" w:hAnsi="Times New Roman"/>
          <w:b/>
          <w:sz w:val="20"/>
          <w:szCs w:val="20"/>
        </w:rPr>
      </w:pPr>
    </w:p>
    <w:p w:rsidR="00C20570" w:rsidRDefault="00C20570" w:rsidP="00C20570">
      <w:pPr>
        <w:pStyle w:val="NoSpacing"/>
        <w:spacing w:after="120"/>
        <w:jc w:val="both"/>
        <w:rPr>
          <w:rFonts w:ascii="Times New Roman" w:hAnsi="Times New Roman"/>
          <w:b/>
          <w:sz w:val="20"/>
          <w:szCs w:val="20"/>
        </w:rPr>
      </w:pPr>
    </w:p>
    <w:p w:rsidR="00294081" w:rsidRPr="00294081" w:rsidRDefault="00294081" w:rsidP="00294081">
      <w:pPr>
        <w:pStyle w:val="NoSpacing"/>
        <w:jc w:val="both"/>
        <w:rPr>
          <w:rFonts w:ascii="Times New Roman" w:hAnsi="Times New Roman"/>
          <w:b/>
          <w:sz w:val="20"/>
          <w:szCs w:val="20"/>
        </w:rPr>
      </w:pPr>
      <w:r w:rsidRPr="00294081">
        <w:rPr>
          <w:rFonts w:ascii="Times New Roman" w:hAnsi="Times New Roman"/>
          <w:b/>
          <w:sz w:val="20"/>
          <w:szCs w:val="20"/>
        </w:rPr>
        <w:t xml:space="preserve">Effect of ionic strength </w:t>
      </w:r>
    </w:p>
    <w:p w:rsidR="00294081" w:rsidRDefault="00294081" w:rsidP="00294081">
      <w:pPr>
        <w:pStyle w:val="NoSpacing"/>
        <w:jc w:val="both"/>
        <w:rPr>
          <w:rFonts w:ascii="Times New Roman" w:hAnsi="Times New Roman"/>
          <w:sz w:val="20"/>
          <w:szCs w:val="20"/>
        </w:rPr>
      </w:pPr>
      <w:r w:rsidRPr="00294081">
        <w:rPr>
          <w:rFonts w:ascii="Times New Roman" w:hAnsi="Times New Roman"/>
          <w:sz w:val="20"/>
          <w:szCs w:val="20"/>
        </w:rPr>
        <w:t xml:space="preserve">Salt addition reduces the solubility of analytes in a sample solution, which can improve the extraction efficiency </w:t>
      </w:r>
      <w:r w:rsidRPr="00294081">
        <w:rPr>
          <w:rStyle w:val="FootnoteReference"/>
          <w:rFonts w:ascii="Times New Roman" w:hAnsi="Times New Roman"/>
          <w:sz w:val="20"/>
          <w:szCs w:val="20"/>
        </w:rPr>
        <w:fldChar w:fldCharType="begin" w:fldLock="1"/>
      </w:r>
      <w:r w:rsidRPr="00294081">
        <w:rPr>
          <w:rFonts w:ascii="Times New Roman" w:hAnsi="Times New Roman"/>
          <w:sz w:val="20"/>
          <w:szCs w:val="20"/>
        </w:rPr>
        <w:instrText>ADDIN CSL_CITATION {"citationItems":[{"id":"ITEM-1","itemData":{"DOI":"10.1016/j.molliq.2015.06.031","ISSN":"0167-7322","author":[{"dropping-particle":"","family":"Ezoddin","given":"Maryam","non-dropping-particle":"","parse-names":false,"suffix":""},{"dropping-particle":"","family":"Majidi","given":"Behrooz","non-dropping-particle":"","parse-names":false,"suffix":""},{"dropping-particle":"","family":"Abdi","given":"K","non-dropping-particle":"","parse-names":false,"suffix":""}],"container-title":"Journal of Molecular Liquids","id":"ITEM-1","issued":{"date-parts":[["2015"]]},"page":"515-519","title":"Ultrasound-assisted supramolecular dispersive liquid–liquid microextraction based on solidification of floating organic drops for preconcentration of palladium in water and road dust samples","type":"article-journal","volume":"209"},"uris":["http://www.mendeley.com/documents/?uuid=26ff0a7b-0709-4729-8fed-09b15c91fedd"]}],"mendeley":{"formattedCitation":"[24]","plainTextFormattedCitation":"[24]","previouslyFormattedCitation":"[24]"},"properties":{"noteIndex":0},"schema":"https://github.com/citation-style-language/schema/raw/master/csl-citation.json"}</w:instrText>
      </w:r>
      <w:r w:rsidRPr="00294081">
        <w:rPr>
          <w:rStyle w:val="FootnoteReference"/>
          <w:rFonts w:ascii="Times New Roman" w:hAnsi="Times New Roman"/>
          <w:sz w:val="20"/>
          <w:szCs w:val="20"/>
        </w:rPr>
        <w:fldChar w:fldCharType="separate"/>
      </w:r>
      <w:r w:rsidRPr="00294081">
        <w:rPr>
          <w:rFonts w:ascii="Times New Roman" w:hAnsi="Times New Roman"/>
          <w:noProof/>
          <w:sz w:val="20"/>
          <w:szCs w:val="20"/>
        </w:rPr>
        <w:t>[24]</w:t>
      </w:r>
      <w:r w:rsidRPr="00294081">
        <w:rPr>
          <w:rStyle w:val="FootnoteReference"/>
          <w:rFonts w:ascii="Times New Roman" w:hAnsi="Times New Roman"/>
          <w:sz w:val="20"/>
          <w:szCs w:val="20"/>
        </w:rPr>
        <w:fldChar w:fldCharType="end"/>
      </w:r>
      <w:r w:rsidRPr="00294081">
        <w:rPr>
          <w:rFonts w:ascii="Times New Roman" w:hAnsi="Times New Roman"/>
          <w:sz w:val="20"/>
          <w:szCs w:val="20"/>
        </w:rPr>
        <w:t xml:space="preserve">. It also can increase the viscosity of the sample solution at higher concentrations, thereby affecting the physical properties of the extraction film and reducing the transfer of analytes towards the extractant phase </w:t>
      </w:r>
      <w:r w:rsidRPr="00294081">
        <w:rPr>
          <w:rStyle w:val="FootnoteReference"/>
          <w:rFonts w:ascii="Times New Roman" w:hAnsi="Times New Roman"/>
          <w:sz w:val="20"/>
          <w:szCs w:val="20"/>
        </w:rPr>
        <w:fldChar w:fldCharType="begin" w:fldLock="1"/>
      </w:r>
      <w:r w:rsidRPr="00294081">
        <w:rPr>
          <w:rFonts w:ascii="Times New Roman" w:hAnsi="Times New Roman"/>
          <w:sz w:val="20"/>
          <w:szCs w:val="20"/>
        </w:rPr>
        <w:instrText>ADDIN CSL_CITATION {"citationItems":[{"id":"ITEM-1","itemData":{"DOI":"10.1016/j.supflu.2015.02.021","ISSN":"0896-8446","author":[{"dropping-particle":"","family":"Rezaei","given":"Fatemeh","non-dropping-particle":"","parse-names":false,"suffix":""},{"dropping-particle":"","family":"Yamini","given":"Yadollah","non-dropping-particle":"","parse-names":false,"suffix":""},{"dropping-particle":"","family":"Asiabi","given":"Hamid","non-dropping-particle":"","parse-names":false,"suffix":""},{"dropping-particle":"","family":"Moradi","given":"Morteza","non-dropping-particle":"","parse-names":false,"suffix":""}],"container-title":"The Journal of Supercritical Fluids","id":"ITEM-1","issued":{"date-parts":[["2015"]]},"page":"79-85","title":"Determination of diphenylamine residue in fruit samples by supercritical fluid extraction followed by vesicular based-supramolecular solvent microextraction","type":"article-journal","volume":"100"},"uris":["http://www.mendeley.com/documents/?uuid=6661d83b-5463-4bcc-af21-f8f8fd9c9e41"]}],"mendeley":{"formattedCitation":"[28]","plainTextFormattedCitation":"[28]","previouslyFormattedCitation":"[28]"},"properties":{"noteIndex":0},"schema":"https://github.com/citation-style-language/schema/raw/master/csl-citation.json"}</w:instrText>
      </w:r>
      <w:r w:rsidRPr="00294081">
        <w:rPr>
          <w:rStyle w:val="FootnoteReference"/>
          <w:rFonts w:ascii="Times New Roman" w:hAnsi="Times New Roman"/>
          <w:sz w:val="20"/>
          <w:szCs w:val="20"/>
        </w:rPr>
        <w:fldChar w:fldCharType="separate"/>
      </w:r>
      <w:r w:rsidRPr="00294081">
        <w:rPr>
          <w:rFonts w:ascii="Times New Roman" w:hAnsi="Times New Roman"/>
          <w:noProof/>
          <w:sz w:val="20"/>
          <w:szCs w:val="20"/>
        </w:rPr>
        <w:t>[28]</w:t>
      </w:r>
      <w:r w:rsidRPr="00294081">
        <w:rPr>
          <w:rStyle w:val="FootnoteReference"/>
          <w:rFonts w:ascii="Times New Roman" w:hAnsi="Times New Roman"/>
          <w:sz w:val="20"/>
          <w:szCs w:val="20"/>
        </w:rPr>
        <w:fldChar w:fldCharType="end"/>
      </w:r>
      <w:r w:rsidRPr="00294081">
        <w:rPr>
          <w:rFonts w:ascii="Times New Roman" w:hAnsi="Times New Roman"/>
          <w:sz w:val="20"/>
          <w:szCs w:val="20"/>
        </w:rPr>
        <w:t xml:space="preserve">. To test the effect of ionic strength, 0–25% of NaCl was added to the sample solution. Extraction efficiency increased as salt concentration increased to 15% (w/v), but it decreased thereafter (Figure 7). This result can be explained by the fact </w:t>
      </w:r>
      <w:r w:rsidRPr="00294081">
        <w:rPr>
          <w:rFonts w:ascii="Times New Roman" w:hAnsi="Times New Roman"/>
          <w:sz w:val="20"/>
          <w:szCs w:val="20"/>
        </w:rPr>
        <w:lastRenderedPageBreak/>
        <w:t>that higher ionic strength caused the sample solution to become more viscous, which likely restrained the transport of the analytes to the extractant phase, leading to lower extraction performance.</w:t>
      </w:r>
    </w:p>
    <w:p w:rsidR="00574E6D" w:rsidRPr="00294081" w:rsidRDefault="00574E6D" w:rsidP="00574E6D">
      <w:pPr>
        <w:pStyle w:val="NoSpacing"/>
        <w:spacing w:after="120"/>
        <w:jc w:val="both"/>
        <w:rPr>
          <w:rFonts w:ascii="Times New Roman" w:hAnsi="Times New Roman"/>
          <w:sz w:val="20"/>
          <w:szCs w:val="20"/>
        </w:rPr>
      </w:pPr>
    </w:p>
    <w:p w:rsidR="00294081" w:rsidRPr="00294081" w:rsidRDefault="00294081" w:rsidP="00574E6D">
      <w:pPr>
        <w:pStyle w:val="NoSpacing"/>
        <w:spacing w:after="120"/>
        <w:jc w:val="center"/>
        <w:rPr>
          <w:rFonts w:ascii="Times New Roman" w:hAnsi="Times New Roman"/>
          <w:sz w:val="20"/>
          <w:szCs w:val="20"/>
        </w:rPr>
      </w:pPr>
      <w:r w:rsidRPr="00294081">
        <w:rPr>
          <w:rFonts w:ascii="Times New Roman" w:hAnsi="Times New Roman"/>
          <w:noProof/>
          <w:sz w:val="20"/>
          <w:szCs w:val="20"/>
          <w:lang w:eastAsia="en-MY"/>
        </w:rPr>
        <w:drawing>
          <wp:inline distT="0" distB="0" distL="0" distR="0" wp14:anchorId="7F901538" wp14:editId="558B13DB">
            <wp:extent cx="3356540" cy="2371725"/>
            <wp:effectExtent l="19050" t="19050" r="1587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63563" cy="2376688"/>
                    </a:xfrm>
                    <a:prstGeom prst="rect">
                      <a:avLst/>
                    </a:prstGeom>
                    <a:noFill/>
                    <a:ln w="6350">
                      <a:solidFill>
                        <a:schemeClr val="tx1"/>
                      </a:solidFill>
                    </a:ln>
                  </pic:spPr>
                </pic:pic>
              </a:graphicData>
            </a:graphic>
          </wp:inline>
        </w:drawing>
      </w:r>
    </w:p>
    <w:p w:rsidR="00294081" w:rsidRPr="00294081" w:rsidRDefault="00294081" w:rsidP="00294081">
      <w:pPr>
        <w:pStyle w:val="NoSpacing"/>
        <w:ind w:left="851" w:hanging="851"/>
        <w:jc w:val="both"/>
        <w:rPr>
          <w:rFonts w:ascii="Times New Roman" w:hAnsi="Times New Roman"/>
          <w:sz w:val="20"/>
          <w:szCs w:val="20"/>
        </w:rPr>
      </w:pPr>
      <w:r w:rsidRPr="00294081">
        <w:rPr>
          <w:rFonts w:ascii="Times New Roman" w:hAnsi="Times New Roman"/>
          <w:sz w:val="20"/>
          <w:szCs w:val="20"/>
        </w:rPr>
        <w:t xml:space="preserve">Figure 7. </w:t>
      </w:r>
      <w:r w:rsidR="00574E6D">
        <w:rPr>
          <w:rFonts w:ascii="Times New Roman" w:hAnsi="Times New Roman"/>
          <w:sz w:val="20"/>
          <w:szCs w:val="20"/>
        </w:rPr>
        <w:tab/>
      </w:r>
      <w:r w:rsidRPr="00294081">
        <w:rPr>
          <w:rFonts w:ascii="Times New Roman" w:hAnsi="Times New Roman"/>
          <w:sz w:val="20"/>
          <w:szCs w:val="20"/>
        </w:rPr>
        <w:t>Effect of ionic strength on the extraction efficiency of RhB. Conditions: 5.0 mL at pH 5 of sample volume, spiked with 1.0 mg kg</w:t>
      </w:r>
      <w:r w:rsidRPr="00294081">
        <w:rPr>
          <w:rFonts w:ascii="Times New Roman" w:hAnsi="Times New Roman"/>
          <w:sz w:val="20"/>
          <w:szCs w:val="20"/>
          <w:vertAlign w:val="superscript"/>
        </w:rPr>
        <w:t xml:space="preserve">–1 </w:t>
      </w:r>
      <w:r w:rsidRPr="00294081">
        <w:rPr>
          <w:rFonts w:ascii="Times New Roman" w:hAnsi="Times New Roman"/>
          <w:sz w:val="20"/>
          <w:szCs w:val="20"/>
        </w:rPr>
        <w:t>of RhB and 0.4 mL of the SUPRAS 1-pentanol, and extraction time of 30 minutes</w:t>
      </w:r>
    </w:p>
    <w:p w:rsidR="00294081" w:rsidRPr="00294081" w:rsidRDefault="00294081" w:rsidP="00574E6D">
      <w:pPr>
        <w:pStyle w:val="NoSpacing"/>
        <w:spacing w:after="120"/>
        <w:ind w:left="850" w:hanging="850"/>
        <w:jc w:val="both"/>
        <w:rPr>
          <w:rFonts w:ascii="Times New Roman" w:hAnsi="Times New Roman"/>
          <w:sz w:val="20"/>
          <w:szCs w:val="20"/>
        </w:rPr>
      </w:pPr>
    </w:p>
    <w:p w:rsidR="00294081" w:rsidRPr="00294081" w:rsidRDefault="00294081" w:rsidP="00294081">
      <w:pPr>
        <w:spacing w:after="0" w:line="240" w:lineRule="auto"/>
        <w:jc w:val="both"/>
        <w:rPr>
          <w:rFonts w:ascii="Times New Roman" w:hAnsi="Times New Roman"/>
          <w:b/>
          <w:sz w:val="20"/>
          <w:szCs w:val="20"/>
        </w:rPr>
      </w:pPr>
      <w:r w:rsidRPr="00294081">
        <w:rPr>
          <w:rFonts w:ascii="Times New Roman" w:hAnsi="Times New Roman"/>
          <w:b/>
          <w:sz w:val="20"/>
          <w:szCs w:val="20"/>
        </w:rPr>
        <w:t>Analytical performance</w:t>
      </w:r>
    </w:p>
    <w:p w:rsidR="00294081" w:rsidRPr="00294081" w:rsidRDefault="00294081" w:rsidP="00294081">
      <w:pPr>
        <w:spacing w:after="0" w:line="240" w:lineRule="auto"/>
        <w:jc w:val="both"/>
        <w:rPr>
          <w:rFonts w:ascii="Times New Roman" w:hAnsi="Times New Roman"/>
          <w:sz w:val="20"/>
          <w:szCs w:val="20"/>
        </w:rPr>
      </w:pPr>
      <w:r w:rsidRPr="00294081">
        <w:rPr>
          <w:rFonts w:ascii="Times New Roman" w:hAnsi="Times New Roman"/>
          <w:sz w:val="20"/>
          <w:szCs w:val="20"/>
        </w:rPr>
        <w:t>Under optimum conditions, the calibration curve was linear over the range of 0.1 to 2.5 mg kg</w:t>
      </w:r>
      <w:r w:rsidRPr="00294081">
        <w:rPr>
          <w:rFonts w:ascii="Times New Roman" w:hAnsi="Times New Roman"/>
          <w:sz w:val="20"/>
          <w:szCs w:val="20"/>
          <w:vertAlign w:val="superscript"/>
        </w:rPr>
        <w:t>–1</w:t>
      </w:r>
      <w:r w:rsidRPr="00294081">
        <w:rPr>
          <w:rFonts w:ascii="Times New Roman" w:hAnsi="Times New Roman"/>
          <w:sz w:val="20"/>
          <w:szCs w:val="20"/>
        </w:rPr>
        <w:t xml:space="preserve"> with a coefficient of determination (R</w:t>
      </w:r>
      <w:r w:rsidRPr="00294081">
        <w:rPr>
          <w:rFonts w:ascii="Times New Roman" w:hAnsi="Times New Roman"/>
          <w:sz w:val="20"/>
          <w:szCs w:val="20"/>
          <w:vertAlign w:val="superscript"/>
        </w:rPr>
        <w:t>2</w:t>
      </w:r>
      <w:r w:rsidRPr="00294081">
        <w:rPr>
          <w:rFonts w:ascii="Times New Roman" w:hAnsi="Times New Roman"/>
          <w:sz w:val="20"/>
          <w:szCs w:val="20"/>
        </w:rPr>
        <w:t>) of 0.9983. The precision of the method was evaluated by analysing 0.5 mg kg</w:t>
      </w:r>
      <w:r w:rsidRPr="00294081">
        <w:rPr>
          <w:rFonts w:ascii="Times New Roman" w:hAnsi="Times New Roman"/>
          <w:sz w:val="20"/>
          <w:szCs w:val="20"/>
          <w:vertAlign w:val="superscript"/>
        </w:rPr>
        <w:t xml:space="preserve">–1 </w:t>
      </w:r>
      <w:r w:rsidRPr="00294081">
        <w:rPr>
          <w:rFonts w:ascii="Times New Roman" w:hAnsi="Times New Roman"/>
          <w:sz w:val="20"/>
          <w:szCs w:val="20"/>
        </w:rPr>
        <w:t>of RhB five</w:t>
      </w:r>
      <w:r w:rsidRPr="00294081">
        <w:rPr>
          <w:rFonts w:ascii="Times New Roman" w:hAnsi="Times New Roman"/>
          <w:sz w:val="20"/>
          <w:szCs w:val="20"/>
          <w:vertAlign w:val="superscript"/>
        </w:rPr>
        <w:t xml:space="preserve"> </w:t>
      </w:r>
      <w:r w:rsidRPr="00294081">
        <w:rPr>
          <w:rFonts w:ascii="Times New Roman" w:hAnsi="Times New Roman"/>
          <w:sz w:val="20"/>
          <w:szCs w:val="20"/>
        </w:rPr>
        <w:t>times continuously, and the RSD was</w:t>
      </w:r>
      <w:r w:rsidRPr="00294081">
        <w:rPr>
          <w:rFonts w:ascii="Times New Roman" w:hAnsi="Times New Roman"/>
          <w:sz w:val="20"/>
          <w:szCs w:val="20"/>
          <w:vertAlign w:val="superscript"/>
        </w:rPr>
        <w:t xml:space="preserve"> </w:t>
      </w:r>
      <w:r w:rsidRPr="00294081">
        <w:rPr>
          <w:rFonts w:ascii="Times New Roman" w:hAnsi="Times New Roman"/>
          <w:sz w:val="20"/>
          <w:szCs w:val="20"/>
        </w:rPr>
        <w:t>1.5%. The LOD and LOQ were 0.008 mg kg</w:t>
      </w:r>
      <w:r w:rsidRPr="00294081">
        <w:rPr>
          <w:rFonts w:ascii="Times New Roman" w:hAnsi="Times New Roman"/>
          <w:sz w:val="20"/>
          <w:szCs w:val="20"/>
          <w:vertAlign w:val="superscript"/>
        </w:rPr>
        <w:t>–1</w:t>
      </w:r>
      <w:r w:rsidRPr="00294081">
        <w:rPr>
          <w:rFonts w:ascii="Times New Roman" w:hAnsi="Times New Roman"/>
          <w:sz w:val="20"/>
          <w:szCs w:val="20"/>
        </w:rPr>
        <w:t xml:space="preserve"> and 0.03 mg kg</w:t>
      </w:r>
      <w:r w:rsidRPr="00294081">
        <w:rPr>
          <w:rFonts w:ascii="Times New Roman" w:hAnsi="Times New Roman"/>
          <w:sz w:val="20"/>
          <w:szCs w:val="20"/>
          <w:vertAlign w:val="superscript"/>
        </w:rPr>
        <w:t>–1</w:t>
      </w:r>
      <w:r w:rsidRPr="00294081">
        <w:rPr>
          <w:rFonts w:ascii="Times New Roman" w:hAnsi="Times New Roman"/>
          <w:sz w:val="20"/>
          <w:szCs w:val="20"/>
        </w:rPr>
        <w:t>, respectively. The EF after pre-concentration was 16 at 1.0 mg kg</w:t>
      </w:r>
      <w:r w:rsidRPr="00294081">
        <w:rPr>
          <w:rFonts w:ascii="Times New Roman" w:hAnsi="Times New Roman"/>
          <w:sz w:val="20"/>
          <w:szCs w:val="20"/>
          <w:vertAlign w:val="superscript"/>
        </w:rPr>
        <w:t>–1</w:t>
      </w:r>
      <w:r w:rsidRPr="00294081">
        <w:rPr>
          <w:rFonts w:ascii="Times New Roman" w:hAnsi="Times New Roman"/>
          <w:sz w:val="20"/>
          <w:szCs w:val="20"/>
        </w:rPr>
        <w:t>. The intra- (repeatability) and inter- (reproducibility) day precision were 0.82% and 1.05%, respectively (Table 2). To investigate the accuracy of the proposed method, blank chili powder was spiked with three different concentration of RhB (0.1, 0.5, and 1.0 mg kg</w:t>
      </w:r>
      <w:r w:rsidRPr="00294081">
        <w:rPr>
          <w:rFonts w:ascii="Times New Roman" w:hAnsi="Times New Roman"/>
          <w:sz w:val="20"/>
          <w:szCs w:val="20"/>
          <w:vertAlign w:val="superscript"/>
        </w:rPr>
        <w:t>–1</w:t>
      </w:r>
      <w:r w:rsidRPr="00294081">
        <w:rPr>
          <w:rFonts w:ascii="Times New Roman" w:hAnsi="Times New Roman"/>
          <w:sz w:val="20"/>
          <w:szCs w:val="20"/>
        </w:rPr>
        <w:t xml:space="preserve">), and the recoveries of RhB ranged between 95.0% and 117% (Table 3). </w:t>
      </w:r>
    </w:p>
    <w:p w:rsidR="00294081" w:rsidRPr="00294081" w:rsidRDefault="00294081" w:rsidP="00574E6D">
      <w:pPr>
        <w:spacing w:after="120" w:line="240" w:lineRule="auto"/>
        <w:jc w:val="both"/>
        <w:rPr>
          <w:rFonts w:ascii="Times New Roman" w:hAnsi="Times New Roman"/>
          <w:sz w:val="20"/>
          <w:szCs w:val="20"/>
        </w:rPr>
      </w:pPr>
    </w:p>
    <w:tbl>
      <w:tblPr>
        <w:tblStyle w:val="CommentText"/>
        <w:tblpPr w:leftFromText="180" w:rightFromText="180" w:vertAnchor="text" w:horzAnchor="margin" w:tblpXSpec="center" w:tblpY="292"/>
        <w:tblW w:w="0" w:type="auto"/>
        <w:tblLook w:val="04A0" w:firstRow="1" w:lastRow="0" w:firstColumn="1" w:lastColumn="0" w:noHBand="0" w:noVBand="1"/>
      </w:tblPr>
      <w:tblGrid>
        <w:gridCol w:w="2968"/>
        <w:gridCol w:w="1942"/>
      </w:tblGrid>
      <w:tr w:rsidR="00294081" w:rsidRPr="00294081" w:rsidTr="00574E6D">
        <w:trPr>
          <w:trHeight w:val="414"/>
        </w:trPr>
        <w:tc>
          <w:tcPr>
            <w:tcW w:w="0" w:type="auto"/>
            <w:tcBorders>
              <w:top w:val="single" w:sz="4" w:space="0" w:color="auto"/>
              <w:bottom w:val="single" w:sz="4" w:space="0" w:color="auto"/>
            </w:tcBorders>
            <w:vAlign w:val="center"/>
          </w:tcPr>
          <w:p w:rsidR="00294081" w:rsidRPr="00294081" w:rsidRDefault="00294081" w:rsidP="00574E6D">
            <w:pPr>
              <w:spacing w:before="60" w:after="60" w:line="240" w:lineRule="auto"/>
              <w:rPr>
                <w:rFonts w:ascii="Times New Roman" w:hAnsi="Times New Roman" w:cs="Times New Roman"/>
                <w:b/>
                <w:sz w:val="20"/>
                <w:szCs w:val="20"/>
                <w:lang w:val="en-GB"/>
              </w:rPr>
            </w:pPr>
            <w:r w:rsidRPr="00294081">
              <w:rPr>
                <w:rFonts w:ascii="Times New Roman" w:hAnsi="Times New Roman" w:cs="Times New Roman"/>
                <w:b/>
                <w:sz w:val="20"/>
                <w:szCs w:val="20"/>
                <w:lang w:val="en-GB"/>
              </w:rPr>
              <w:t>Validation Parameter</w:t>
            </w:r>
          </w:p>
        </w:tc>
        <w:tc>
          <w:tcPr>
            <w:tcW w:w="0" w:type="auto"/>
            <w:tcBorders>
              <w:top w:val="single" w:sz="4" w:space="0" w:color="auto"/>
              <w:bottom w:val="single" w:sz="4" w:space="0" w:color="auto"/>
            </w:tcBorders>
            <w:vAlign w:val="center"/>
          </w:tcPr>
          <w:p w:rsidR="00294081" w:rsidRPr="00294081" w:rsidRDefault="00294081" w:rsidP="00574E6D">
            <w:pPr>
              <w:spacing w:before="60" w:after="60" w:line="240" w:lineRule="auto"/>
              <w:rPr>
                <w:rFonts w:ascii="Times New Roman" w:hAnsi="Times New Roman" w:cs="Times New Roman"/>
                <w:b/>
                <w:sz w:val="20"/>
                <w:szCs w:val="20"/>
                <w:lang w:val="en-GB"/>
              </w:rPr>
            </w:pPr>
            <w:r w:rsidRPr="00294081">
              <w:rPr>
                <w:rFonts w:ascii="Times New Roman" w:hAnsi="Times New Roman" w:cs="Times New Roman"/>
                <w:b/>
                <w:sz w:val="20"/>
                <w:szCs w:val="20"/>
                <w:lang w:val="en-GB"/>
              </w:rPr>
              <w:t>Result</w:t>
            </w:r>
          </w:p>
        </w:tc>
      </w:tr>
      <w:tr w:rsidR="00294081" w:rsidRPr="00294081" w:rsidTr="00574E6D">
        <w:trPr>
          <w:trHeight w:val="86"/>
        </w:trPr>
        <w:tc>
          <w:tcPr>
            <w:tcW w:w="0" w:type="auto"/>
            <w:tcBorders>
              <w:top w:val="single" w:sz="4" w:space="0" w:color="auto"/>
            </w:tcBorders>
            <w:vAlign w:val="center"/>
          </w:tcPr>
          <w:p w:rsidR="00294081" w:rsidRPr="00294081" w:rsidRDefault="00294081" w:rsidP="00574E6D">
            <w:pPr>
              <w:spacing w:before="60" w:after="0" w:line="240" w:lineRule="auto"/>
              <w:rPr>
                <w:rFonts w:ascii="Times New Roman" w:hAnsi="Times New Roman" w:cs="Times New Roman"/>
                <w:sz w:val="20"/>
                <w:szCs w:val="20"/>
                <w:lang w:val="en-GB"/>
              </w:rPr>
            </w:pPr>
            <w:r w:rsidRPr="00294081">
              <w:rPr>
                <w:rFonts w:ascii="Times New Roman" w:hAnsi="Times New Roman" w:cs="Times New Roman"/>
                <w:sz w:val="20"/>
                <w:szCs w:val="20"/>
                <w:lang w:val="en-GB"/>
              </w:rPr>
              <w:t>Linearity range (mg kg</w:t>
            </w:r>
            <w:r w:rsidRPr="00294081">
              <w:rPr>
                <w:rFonts w:ascii="Times New Roman" w:hAnsi="Times New Roman" w:cs="Times New Roman"/>
                <w:sz w:val="20"/>
                <w:szCs w:val="20"/>
                <w:vertAlign w:val="superscript"/>
              </w:rPr>
              <w:t>–</w:t>
            </w:r>
            <w:r w:rsidRPr="00294081">
              <w:rPr>
                <w:rFonts w:ascii="Times New Roman" w:hAnsi="Times New Roman" w:cs="Times New Roman"/>
                <w:sz w:val="20"/>
                <w:szCs w:val="20"/>
                <w:vertAlign w:val="superscript"/>
                <w:lang w:val="en-GB"/>
              </w:rPr>
              <w:t>1</w:t>
            </w:r>
            <w:r w:rsidRPr="00294081">
              <w:rPr>
                <w:rFonts w:ascii="Times New Roman" w:hAnsi="Times New Roman" w:cs="Times New Roman"/>
                <w:sz w:val="20"/>
                <w:szCs w:val="20"/>
                <w:lang w:val="en-GB"/>
              </w:rPr>
              <w:t>)</w:t>
            </w:r>
          </w:p>
        </w:tc>
        <w:tc>
          <w:tcPr>
            <w:tcW w:w="0" w:type="auto"/>
            <w:tcBorders>
              <w:top w:val="single" w:sz="4" w:space="0" w:color="auto"/>
            </w:tcBorders>
            <w:vAlign w:val="center"/>
          </w:tcPr>
          <w:p w:rsidR="00294081" w:rsidRPr="00294081" w:rsidRDefault="00294081" w:rsidP="00574E6D">
            <w:pPr>
              <w:spacing w:before="60" w:after="0" w:line="240" w:lineRule="auto"/>
              <w:rPr>
                <w:rFonts w:ascii="Times New Roman" w:hAnsi="Times New Roman" w:cs="Times New Roman"/>
                <w:sz w:val="20"/>
                <w:szCs w:val="20"/>
                <w:lang w:val="en-GB"/>
              </w:rPr>
            </w:pPr>
            <w:r w:rsidRPr="00294081">
              <w:rPr>
                <w:rFonts w:ascii="Times New Roman" w:hAnsi="Times New Roman" w:cs="Times New Roman"/>
                <w:sz w:val="20"/>
                <w:szCs w:val="20"/>
                <w:lang w:val="en-GB"/>
              </w:rPr>
              <w:t>0.1–2.5</w:t>
            </w:r>
          </w:p>
        </w:tc>
      </w:tr>
      <w:tr w:rsidR="00294081" w:rsidRPr="00294081" w:rsidTr="00404E76">
        <w:trPr>
          <w:trHeight w:val="66"/>
        </w:trPr>
        <w:tc>
          <w:tcPr>
            <w:tcW w:w="0" w:type="auto"/>
            <w:vAlign w:val="center"/>
          </w:tcPr>
          <w:p w:rsidR="00294081" w:rsidRPr="00294081" w:rsidRDefault="00294081" w:rsidP="00574E6D">
            <w:pPr>
              <w:spacing w:before="60" w:after="0" w:line="240" w:lineRule="auto"/>
              <w:rPr>
                <w:rFonts w:ascii="Times New Roman" w:hAnsi="Times New Roman" w:cs="Times New Roman"/>
                <w:sz w:val="20"/>
                <w:szCs w:val="20"/>
                <w:lang w:val="en-GB"/>
              </w:rPr>
            </w:pPr>
            <w:r w:rsidRPr="00294081">
              <w:rPr>
                <w:rFonts w:ascii="Times New Roman" w:hAnsi="Times New Roman" w:cs="Times New Roman"/>
                <w:sz w:val="20"/>
                <w:szCs w:val="20"/>
                <w:lang w:val="en-GB"/>
              </w:rPr>
              <w:t>Coefficient of determination (R</w:t>
            </w:r>
            <w:r w:rsidRPr="00294081">
              <w:rPr>
                <w:rFonts w:ascii="Times New Roman" w:hAnsi="Times New Roman" w:cs="Times New Roman"/>
                <w:sz w:val="20"/>
                <w:szCs w:val="20"/>
                <w:vertAlign w:val="superscript"/>
                <w:lang w:val="en-GB"/>
              </w:rPr>
              <w:t>2</w:t>
            </w:r>
            <w:r w:rsidRPr="00294081">
              <w:rPr>
                <w:rFonts w:ascii="Times New Roman" w:hAnsi="Times New Roman" w:cs="Times New Roman"/>
                <w:sz w:val="20"/>
                <w:szCs w:val="20"/>
                <w:lang w:val="en-GB"/>
              </w:rPr>
              <w:t>)</w:t>
            </w:r>
          </w:p>
        </w:tc>
        <w:tc>
          <w:tcPr>
            <w:tcW w:w="0" w:type="auto"/>
            <w:vAlign w:val="center"/>
          </w:tcPr>
          <w:p w:rsidR="00294081" w:rsidRPr="00294081" w:rsidRDefault="00294081" w:rsidP="00574E6D">
            <w:pPr>
              <w:spacing w:before="60" w:after="0" w:line="240" w:lineRule="auto"/>
              <w:rPr>
                <w:rFonts w:ascii="Times New Roman" w:hAnsi="Times New Roman" w:cs="Times New Roman"/>
                <w:sz w:val="20"/>
                <w:szCs w:val="20"/>
                <w:lang w:val="en-GB"/>
              </w:rPr>
            </w:pPr>
            <w:r w:rsidRPr="00294081">
              <w:rPr>
                <w:rFonts w:ascii="Times New Roman" w:hAnsi="Times New Roman" w:cs="Times New Roman"/>
                <w:sz w:val="20"/>
                <w:szCs w:val="20"/>
                <w:lang w:val="en-GB"/>
              </w:rPr>
              <w:t>0.9983</w:t>
            </w:r>
          </w:p>
        </w:tc>
      </w:tr>
      <w:tr w:rsidR="00294081" w:rsidRPr="00294081" w:rsidTr="00404E76">
        <w:trPr>
          <w:trHeight w:val="66"/>
        </w:trPr>
        <w:tc>
          <w:tcPr>
            <w:tcW w:w="0" w:type="auto"/>
            <w:vAlign w:val="center"/>
          </w:tcPr>
          <w:p w:rsidR="00294081" w:rsidRPr="00294081" w:rsidRDefault="00294081" w:rsidP="00574E6D">
            <w:pPr>
              <w:spacing w:before="60" w:after="0" w:line="240" w:lineRule="auto"/>
              <w:rPr>
                <w:rFonts w:ascii="Times New Roman" w:hAnsi="Times New Roman" w:cs="Times New Roman"/>
                <w:sz w:val="20"/>
                <w:szCs w:val="20"/>
                <w:lang w:val="en-GB"/>
              </w:rPr>
            </w:pPr>
            <w:r w:rsidRPr="00294081">
              <w:rPr>
                <w:rFonts w:ascii="Times New Roman" w:hAnsi="Times New Roman" w:cs="Times New Roman"/>
                <w:sz w:val="20"/>
                <w:szCs w:val="20"/>
                <w:lang w:val="en-GB"/>
              </w:rPr>
              <w:t>Regression equation</w:t>
            </w:r>
          </w:p>
        </w:tc>
        <w:tc>
          <w:tcPr>
            <w:tcW w:w="0" w:type="auto"/>
            <w:vAlign w:val="center"/>
          </w:tcPr>
          <w:p w:rsidR="00294081" w:rsidRPr="00294081" w:rsidRDefault="00294081" w:rsidP="00574E6D">
            <w:pPr>
              <w:spacing w:before="60" w:after="0" w:line="240" w:lineRule="auto"/>
              <w:rPr>
                <w:rFonts w:ascii="Times New Roman" w:hAnsi="Times New Roman" w:cs="Times New Roman"/>
                <w:sz w:val="20"/>
                <w:szCs w:val="20"/>
                <w:lang w:val="en-GB"/>
              </w:rPr>
            </w:pPr>
            <w:r w:rsidRPr="00294081">
              <w:rPr>
                <w:rFonts w:ascii="Times New Roman" w:hAnsi="Times New Roman" w:cs="Times New Roman"/>
                <w:sz w:val="20"/>
                <w:szCs w:val="20"/>
                <w:lang w:val="en-GB"/>
              </w:rPr>
              <w:t>y = 0.4057x + 0.0245</w:t>
            </w:r>
          </w:p>
        </w:tc>
      </w:tr>
      <w:tr w:rsidR="00294081" w:rsidRPr="00294081" w:rsidTr="00404E76">
        <w:trPr>
          <w:trHeight w:val="66"/>
        </w:trPr>
        <w:tc>
          <w:tcPr>
            <w:tcW w:w="0" w:type="auto"/>
            <w:vAlign w:val="center"/>
          </w:tcPr>
          <w:p w:rsidR="00294081" w:rsidRPr="00294081" w:rsidRDefault="00294081" w:rsidP="00574E6D">
            <w:pPr>
              <w:spacing w:before="60" w:after="0" w:line="240" w:lineRule="auto"/>
              <w:rPr>
                <w:rFonts w:ascii="Times New Roman" w:hAnsi="Times New Roman" w:cs="Times New Roman"/>
                <w:sz w:val="20"/>
                <w:szCs w:val="20"/>
                <w:lang w:val="en-GB"/>
              </w:rPr>
            </w:pPr>
            <w:r w:rsidRPr="00294081">
              <w:rPr>
                <w:rFonts w:ascii="Times New Roman" w:hAnsi="Times New Roman" w:cs="Times New Roman"/>
                <w:sz w:val="20"/>
                <w:szCs w:val="20"/>
                <w:lang w:val="en-GB"/>
              </w:rPr>
              <w:t>LOD (mg kg</w:t>
            </w:r>
            <w:r w:rsidRPr="00294081">
              <w:rPr>
                <w:rFonts w:ascii="Times New Roman" w:hAnsi="Times New Roman" w:cs="Times New Roman"/>
                <w:sz w:val="20"/>
                <w:szCs w:val="20"/>
                <w:vertAlign w:val="superscript"/>
              </w:rPr>
              <w:t>–</w:t>
            </w:r>
            <w:r w:rsidRPr="00294081">
              <w:rPr>
                <w:rFonts w:ascii="Times New Roman" w:hAnsi="Times New Roman" w:cs="Times New Roman"/>
                <w:sz w:val="20"/>
                <w:szCs w:val="20"/>
                <w:vertAlign w:val="superscript"/>
                <w:lang w:val="en-GB"/>
              </w:rPr>
              <w:t>1</w:t>
            </w:r>
            <w:r w:rsidRPr="00294081">
              <w:rPr>
                <w:rFonts w:ascii="Times New Roman" w:hAnsi="Times New Roman" w:cs="Times New Roman"/>
                <w:sz w:val="20"/>
                <w:szCs w:val="20"/>
                <w:lang w:val="en-GB"/>
              </w:rPr>
              <w:t>)</w:t>
            </w:r>
          </w:p>
        </w:tc>
        <w:tc>
          <w:tcPr>
            <w:tcW w:w="0" w:type="auto"/>
            <w:vAlign w:val="center"/>
          </w:tcPr>
          <w:p w:rsidR="00294081" w:rsidRPr="00294081" w:rsidRDefault="00294081" w:rsidP="00574E6D">
            <w:pPr>
              <w:spacing w:before="60" w:after="0" w:line="240" w:lineRule="auto"/>
              <w:rPr>
                <w:rFonts w:ascii="Times New Roman" w:hAnsi="Times New Roman" w:cs="Times New Roman"/>
                <w:sz w:val="20"/>
                <w:szCs w:val="20"/>
                <w:lang w:val="en-GB"/>
              </w:rPr>
            </w:pPr>
            <w:r w:rsidRPr="00294081">
              <w:rPr>
                <w:rFonts w:ascii="Times New Roman" w:hAnsi="Times New Roman" w:cs="Times New Roman"/>
                <w:sz w:val="20"/>
                <w:szCs w:val="20"/>
                <w:lang w:val="en-GB"/>
              </w:rPr>
              <w:t>0.008</w:t>
            </w:r>
          </w:p>
        </w:tc>
      </w:tr>
      <w:tr w:rsidR="00294081" w:rsidRPr="00294081" w:rsidTr="00404E76">
        <w:trPr>
          <w:trHeight w:val="66"/>
        </w:trPr>
        <w:tc>
          <w:tcPr>
            <w:tcW w:w="0" w:type="auto"/>
            <w:vAlign w:val="center"/>
          </w:tcPr>
          <w:p w:rsidR="00294081" w:rsidRPr="00294081" w:rsidRDefault="00294081" w:rsidP="00574E6D">
            <w:pPr>
              <w:spacing w:before="60" w:after="0" w:line="240" w:lineRule="auto"/>
              <w:rPr>
                <w:rFonts w:ascii="Times New Roman" w:hAnsi="Times New Roman" w:cs="Times New Roman"/>
                <w:sz w:val="20"/>
                <w:szCs w:val="20"/>
                <w:lang w:val="en-GB"/>
              </w:rPr>
            </w:pPr>
            <w:r w:rsidRPr="00294081">
              <w:rPr>
                <w:rFonts w:ascii="Times New Roman" w:hAnsi="Times New Roman" w:cs="Times New Roman"/>
                <w:sz w:val="20"/>
                <w:szCs w:val="20"/>
                <w:lang w:val="en-GB"/>
              </w:rPr>
              <w:t>LOQ (mg kg</w:t>
            </w:r>
            <w:r w:rsidRPr="00294081">
              <w:rPr>
                <w:rFonts w:ascii="Times New Roman" w:hAnsi="Times New Roman" w:cs="Times New Roman"/>
                <w:sz w:val="20"/>
                <w:szCs w:val="20"/>
                <w:vertAlign w:val="superscript"/>
              </w:rPr>
              <w:t>–</w:t>
            </w:r>
            <w:r w:rsidRPr="00294081">
              <w:rPr>
                <w:rFonts w:ascii="Times New Roman" w:hAnsi="Times New Roman" w:cs="Times New Roman"/>
                <w:sz w:val="20"/>
                <w:szCs w:val="20"/>
                <w:vertAlign w:val="superscript"/>
                <w:lang w:val="en-GB"/>
              </w:rPr>
              <w:t>1</w:t>
            </w:r>
            <w:r w:rsidRPr="00294081">
              <w:rPr>
                <w:rFonts w:ascii="Times New Roman" w:hAnsi="Times New Roman" w:cs="Times New Roman"/>
                <w:sz w:val="20"/>
                <w:szCs w:val="20"/>
                <w:lang w:val="en-GB"/>
              </w:rPr>
              <w:t>)</w:t>
            </w:r>
          </w:p>
        </w:tc>
        <w:tc>
          <w:tcPr>
            <w:tcW w:w="0" w:type="auto"/>
            <w:vAlign w:val="center"/>
          </w:tcPr>
          <w:p w:rsidR="00294081" w:rsidRPr="00294081" w:rsidRDefault="00294081" w:rsidP="00574E6D">
            <w:pPr>
              <w:spacing w:before="60" w:after="0" w:line="240" w:lineRule="auto"/>
              <w:rPr>
                <w:rFonts w:ascii="Times New Roman" w:hAnsi="Times New Roman" w:cs="Times New Roman"/>
                <w:sz w:val="20"/>
                <w:szCs w:val="20"/>
                <w:lang w:val="en-GB"/>
              </w:rPr>
            </w:pPr>
            <w:r w:rsidRPr="00294081">
              <w:rPr>
                <w:rFonts w:ascii="Times New Roman" w:hAnsi="Times New Roman" w:cs="Times New Roman"/>
                <w:sz w:val="20"/>
                <w:szCs w:val="20"/>
                <w:lang w:val="en-GB"/>
              </w:rPr>
              <w:t>0.030</w:t>
            </w:r>
          </w:p>
        </w:tc>
      </w:tr>
      <w:tr w:rsidR="00294081" w:rsidRPr="00294081" w:rsidTr="00404E76">
        <w:trPr>
          <w:trHeight w:val="66"/>
        </w:trPr>
        <w:tc>
          <w:tcPr>
            <w:tcW w:w="0" w:type="auto"/>
            <w:vAlign w:val="center"/>
          </w:tcPr>
          <w:p w:rsidR="00294081" w:rsidRPr="00294081" w:rsidRDefault="00294081" w:rsidP="00574E6D">
            <w:pPr>
              <w:spacing w:before="60" w:after="0" w:line="240" w:lineRule="auto"/>
              <w:rPr>
                <w:rFonts w:ascii="Times New Roman" w:hAnsi="Times New Roman" w:cs="Times New Roman"/>
                <w:sz w:val="20"/>
                <w:szCs w:val="20"/>
                <w:vertAlign w:val="superscript"/>
                <w:lang w:val="en-GB"/>
              </w:rPr>
            </w:pPr>
            <w:r w:rsidRPr="00294081">
              <w:rPr>
                <w:rFonts w:ascii="Times New Roman" w:hAnsi="Times New Roman" w:cs="Times New Roman"/>
                <w:sz w:val="20"/>
                <w:szCs w:val="20"/>
                <w:lang w:val="en-GB"/>
              </w:rPr>
              <w:t>Enrichment factor at 1.0 mg kg</w:t>
            </w:r>
            <w:r w:rsidRPr="00294081">
              <w:rPr>
                <w:rFonts w:ascii="Times New Roman" w:hAnsi="Times New Roman" w:cs="Times New Roman"/>
                <w:sz w:val="20"/>
                <w:szCs w:val="20"/>
                <w:vertAlign w:val="superscript"/>
              </w:rPr>
              <w:t>–</w:t>
            </w:r>
            <w:r w:rsidRPr="00294081">
              <w:rPr>
                <w:rFonts w:ascii="Times New Roman" w:hAnsi="Times New Roman" w:cs="Times New Roman"/>
                <w:sz w:val="20"/>
                <w:szCs w:val="20"/>
                <w:vertAlign w:val="superscript"/>
                <w:lang w:val="en-GB"/>
              </w:rPr>
              <w:t>1</w:t>
            </w:r>
          </w:p>
        </w:tc>
        <w:tc>
          <w:tcPr>
            <w:tcW w:w="0" w:type="auto"/>
            <w:vAlign w:val="center"/>
          </w:tcPr>
          <w:p w:rsidR="00294081" w:rsidRPr="00294081" w:rsidRDefault="00294081" w:rsidP="00574E6D">
            <w:pPr>
              <w:spacing w:before="60" w:after="0" w:line="240" w:lineRule="auto"/>
              <w:rPr>
                <w:rFonts w:ascii="Times New Roman" w:hAnsi="Times New Roman" w:cs="Times New Roman"/>
                <w:sz w:val="20"/>
                <w:szCs w:val="20"/>
                <w:lang w:val="en-GB"/>
              </w:rPr>
            </w:pPr>
            <w:r w:rsidRPr="00294081">
              <w:rPr>
                <w:rFonts w:ascii="Times New Roman" w:hAnsi="Times New Roman" w:cs="Times New Roman"/>
                <w:sz w:val="20"/>
                <w:szCs w:val="20"/>
                <w:lang w:val="en-GB"/>
              </w:rPr>
              <w:t>16</w:t>
            </w:r>
          </w:p>
        </w:tc>
      </w:tr>
      <w:tr w:rsidR="00294081" w:rsidRPr="00294081" w:rsidTr="00574E6D">
        <w:trPr>
          <w:trHeight w:val="66"/>
        </w:trPr>
        <w:tc>
          <w:tcPr>
            <w:tcW w:w="0" w:type="auto"/>
            <w:vAlign w:val="center"/>
          </w:tcPr>
          <w:p w:rsidR="00294081" w:rsidRPr="00294081" w:rsidRDefault="00294081" w:rsidP="00574E6D">
            <w:pPr>
              <w:spacing w:before="60" w:after="0" w:line="240" w:lineRule="auto"/>
              <w:rPr>
                <w:rFonts w:ascii="Times New Roman" w:hAnsi="Times New Roman" w:cs="Times New Roman"/>
                <w:sz w:val="20"/>
                <w:szCs w:val="20"/>
                <w:lang w:val="en-GB"/>
              </w:rPr>
            </w:pPr>
            <w:r w:rsidRPr="00294081">
              <w:rPr>
                <w:rFonts w:ascii="Times New Roman" w:hAnsi="Times New Roman" w:cs="Times New Roman"/>
                <w:sz w:val="20"/>
                <w:szCs w:val="20"/>
                <w:lang w:val="en-GB"/>
              </w:rPr>
              <w:t>Intra-day, RSD (%) at 0.5 mg kg</w:t>
            </w:r>
            <w:r w:rsidRPr="00294081">
              <w:rPr>
                <w:rFonts w:ascii="Times New Roman" w:hAnsi="Times New Roman" w:cs="Times New Roman"/>
                <w:sz w:val="20"/>
                <w:szCs w:val="20"/>
                <w:vertAlign w:val="superscript"/>
              </w:rPr>
              <w:t>–</w:t>
            </w:r>
            <w:r w:rsidRPr="00294081">
              <w:rPr>
                <w:rFonts w:ascii="Times New Roman" w:hAnsi="Times New Roman" w:cs="Times New Roman"/>
                <w:sz w:val="20"/>
                <w:szCs w:val="20"/>
                <w:vertAlign w:val="superscript"/>
                <w:lang w:val="en-GB"/>
              </w:rPr>
              <w:t>1</w:t>
            </w:r>
          </w:p>
        </w:tc>
        <w:tc>
          <w:tcPr>
            <w:tcW w:w="0" w:type="auto"/>
            <w:vAlign w:val="center"/>
          </w:tcPr>
          <w:p w:rsidR="00294081" w:rsidRPr="00294081" w:rsidRDefault="00294081" w:rsidP="00574E6D">
            <w:pPr>
              <w:keepNext/>
              <w:spacing w:before="60" w:after="0" w:line="240" w:lineRule="auto"/>
              <w:rPr>
                <w:rFonts w:ascii="Times New Roman" w:hAnsi="Times New Roman" w:cs="Times New Roman"/>
                <w:sz w:val="20"/>
                <w:szCs w:val="20"/>
                <w:lang w:val="en-GB"/>
              </w:rPr>
            </w:pPr>
            <w:r w:rsidRPr="00294081">
              <w:rPr>
                <w:rFonts w:ascii="Times New Roman" w:hAnsi="Times New Roman" w:cs="Times New Roman"/>
                <w:sz w:val="20"/>
                <w:szCs w:val="20"/>
                <w:lang w:val="en-GB"/>
              </w:rPr>
              <w:t>0.82</w:t>
            </w:r>
          </w:p>
        </w:tc>
      </w:tr>
      <w:tr w:rsidR="00294081" w:rsidRPr="00294081" w:rsidTr="00574E6D">
        <w:trPr>
          <w:trHeight w:val="66"/>
        </w:trPr>
        <w:tc>
          <w:tcPr>
            <w:tcW w:w="0" w:type="auto"/>
            <w:tcBorders>
              <w:bottom w:val="single" w:sz="4" w:space="0" w:color="auto"/>
            </w:tcBorders>
            <w:vAlign w:val="center"/>
          </w:tcPr>
          <w:p w:rsidR="00294081" w:rsidRPr="00294081" w:rsidRDefault="00294081" w:rsidP="00574E6D">
            <w:pPr>
              <w:spacing w:before="60" w:after="60" w:line="240" w:lineRule="auto"/>
              <w:rPr>
                <w:rFonts w:ascii="Times New Roman" w:hAnsi="Times New Roman" w:cs="Times New Roman"/>
                <w:sz w:val="20"/>
                <w:szCs w:val="20"/>
                <w:lang w:val="en-GB"/>
              </w:rPr>
            </w:pPr>
            <w:r w:rsidRPr="00294081">
              <w:rPr>
                <w:rFonts w:ascii="Times New Roman" w:hAnsi="Times New Roman" w:cs="Times New Roman"/>
                <w:sz w:val="20"/>
                <w:szCs w:val="20"/>
                <w:lang w:val="en-GB"/>
              </w:rPr>
              <w:t>Inter-day, RSD (%) at 0.5 mg kg</w:t>
            </w:r>
            <w:r w:rsidRPr="00294081">
              <w:rPr>
                <w:rFonts w:ascii="Times New Roman" w:hAnsi="Times New Roman" w:cs="Times New Roman"/>
                <w:sz w:val="20"/>
                <w:szCs w:val="20"/>
                <w:vertAlign w:val="superscript"/>
              </w:rPr>
              <w:t>–</w:t>
            </w:r>
            <w:r w:rsidRPr="00294081">
              <w:rPr>
                <w:rFonts w:ascii="Times New Roman" w:hAnsi="Times New Roman" w:cs="Times New Roman"/>
                <w:sz w:val="20"/>
                <w:szCs w:val="20"/>
                <w:vertAlign w:val="superscript"/>
                <w:lang w:val="en-GB"/>
              </w:rPr>
              <w:t>1</w:t>
            </w:r>
          </w:p>
        </w:tc>
        <w:tc>
          <w:tcPr>
            <w:tcW w:w="0" w:type="auto"/>
            <w:tcBorders>
              <w:bottom w:val="single" w:sz="4" w:space="0" w:color="auto"/>
            </w:tcBorders>
            <w:vAlign w:val="center"/>
          </w:tcPr>
          <w:p w:rsidR="00294081" w:rsidRPr="00294081" w:rsidRDefault="00294081" w:rsidP="00574E6D">
            <w:pPr>
              <w:keepNext/>
              <w:spacing w:before="60" w:after="60" w:line="240" w:lineRule="auto"/>
              <w:rPr>
                <w:rFonts w:ascii="Times New Roman" w:hAnsi="Times New Roman" w:cs="Times New Roman"/>
                <w:sz w:val="20"/>
                <w:szCs w:val="20"/>
                <w:lang w:val="en-GB"/>
              </w:rPr>
            </w:pPr>
            <w:r w:rsidRPr="00294081">
              <w:rPr>
                <w:rFonts w:ascii="Times New Roman" w:hAnsi="Times New Roman" w:cs="Times New Roman"/>
                <w:sz w:val="20"/>
                <w:szCs w:val="20"/>
                <w:lang w:val="en-GB"/>
              </w:rPr>
              <w:t>1.05</w:t>
            </w:r>
          </w:p>
        </w:tc>
      </w:tr>
    </w:tbl>
    <w:p w:rsidR="00294081" w:rsidRPr="00294081" w:rsidRDefault="00574E6D" w:rsidP="00574E6D">
      <w:pPr>
        <w:spacing w:after="0" w:line="240" w:lineRule="auto"/>
        <w:jc w:val="center"/>
        <w:rPr>
          <w:rFonts w:ascii="Times New Roman" w:hAnsi="Times New Roman"/>
          <w:sz w:val="20"/>
          <w:szCs w:val="20"/>
        </w:rPr>
      </w:pPr>
      <w:r>
        <w:rPr>
          <w:rFonts w:ascii="Times New Roman" w:eastAsiaTheme="minorHAnsi" w:hAnsi="Times New Roman"/>
          <w:iCs/>
          <w:sz w:val="20"/>
          <w:szCs w:val="20"/>
          <w:lang w:val="en-GB"/>
        </w:rPr>
        <w:t xml:space="preserve">Table 2.  </w:t>
      </w:r>
      <w:r w:rsidR="00294081" w:rsidRPr="00294081">
        <w:rPr>
          <w:rFonts w:ascii="Times New Roman" w:eastAsiaTheme="minorHAnsi" w:hAnsi="Times New Roman"/>
          <w:iCs/>
          <w:sz w:val="20"/>
          <w:szCs w:val="20"/>
          <w:lang w:val="en-GB"/>
        </w:rPr>
        <w:t>Validation parameters of the developed VASM-DLPME procedure</w:t>
      </w:r>
    </w:p>
    <w:p w:rsidR="00294081" w:rsidRPr="00294081" w:rsidRDefault="00294081" w:rsidP="00294081">
      <w:pPr>
        <w:spacing w:after="0" w:line="240" w:lineRule="auto"/>
        <w:jc w:val="both"/>
        <w:rPr>
          <w:rFonts w:ascii="Times New Roman" w:hAnsi="Times New Roman"/>
          <w:sz w:val="20"/>
          <w:szCs w:val="20"/>
        </w:rPr>
      </w:pPr>
    </w:p>
    <w:p w:rsidR="00294081" w:rsidRPr="00294081" w:rsidRDefault="00294081" w:rsidP="00294081">
      <w:pPr>
        <w:spacing w:after="0" w:line="240" w:lineRule="auto"/>
        <w:jc w:val="both"/>
        <w:rPr>
          <w:rFonts w:ascii="Times New Roman" w:hAnsi="Times New Roman"/>
          <w:sz w:val="20"/>
          <w:szCs w:val="20"/>
        </w:rPr>
      </w:pPr>
    </w:p>
    <w:p w:rsidR="00294081" w:rsidRPr="00294081" w:rsidRDefault="00294081" w:rsidP="00294081">
      <w:pPr>
        <w:spacing w:after="0" w:line="240" w:lineRule="auto"/>
        <w:jc w:val="both"/>
        <w:rPr>
          <w:rFonts w:ascii="Times New Roman" w:hAnsi="Times New Roman"/>
          <w:sz w:val="20"/>
          <w:szCs w:val="20"/>
        </w:rPr>
      </w:pPr>
    </w:p>
    <w:p w:rsidR="00294081" w:rsidRPr="00294081" w:rsidRDefault="00574E6D" w:rsidP="00294081">
      <w:pPr>
        <w:spacing w:after="0" w:line="240" w:lineRule="auto"/>
        <w:jc w:val="both"/>
        <w:rPr>
          <w:rFonts w:ascii="Times New Roman" w:hAnsi="Times New Roman"/>
          <w:sz w:val="20"/>
          <w:szCs w:val="20"/>
        </w:rPr>
      </w:pPr>
      <w:r>
        <w:rPr>
          <w:rFonts w:ascii="Times New Roman" w:hAnsi="Times New Roman"/>
          <w:sz w:val="20"/>
          <w:szCs w:val="20"/>
        </w:rPr>
        <w:t xml:space="preserve"> </w:t>
      </w:r>
    </w:p>
    <w:p w:rsidR="00294081" w:rsidRPr="00294081" w:rsidRDefault="00294081" w:rsidP="00294081">
      <w:pPr>
        <w:spacing w:after="0" w:line="240" w:lineRule="auto"/>
        <w:jc w:val="both"/>
        <w:rPr>
          <w:rFonts w:ascii="Times New Roman" w:hAnsi="Times New Roman"/>
          <w:sz w:val="20"/>
          <w:szCs w:val="20"/>
        </w:rPr>
      </w:pPr>
    </w:p>
    <w:p w:rsidR="00294081" w:rsidRPr="00294081" w:rsidRDefault="00294081" w:rsidP="00294081">
      <w:pPr>
        <w:spacing w:after="0" w:line="240" w:lineRule="auto"/>
        <w:jc w:val="both"/>
        <w:rPr>
          <w:rFonts w:ascii="Times New Roman" w:hAnsi="Times New Roman"/>
          <w:sz w:val="20"/>
          <w:szCs w:val="20"/>
        </w:rPr>
      </w:pPr>
    </w:p>
    <w:p w:rsidR="00294081" w:rsidRPr="00294081" w:rsidRDefault="00294081" w:rsidP="00294081">
      <w:pPr>
        <w:spacing w:after="0" w:line="240" w:lineRule="auto"/>
        <w:jc w:val="both"/>
        <w:rPr>
          <w:rFonts w:ascii="Times New Roman" w:hAnsi="Times New Roman"/>
          <w:sz w:val="20"/>
          <w:szCs w:val="20"/>
        </w:rPr>
      </w:pPr>
    </w:p>
    <w:p w:rsidR="00574E6D" w:rsidRDefault="00574E6D" w:rsidP="00294081">
      <w:pPr>
        <w:spacing w:after="0" w:line="240" w:lineRule="auto"/>
        <w:jc w:val="both"/>
        <w:rPr>
          <w:rFonts w:ascii="Times New Roman" w:hAnsi="Times New Roman"/>
          <w:sz w:val="20"/>
          <w:szCs w:val="20"/>
        </w:rPr>
      </w:pPr>
    </w:p>
    <w:p w:rsidR="00574E6D" w:rsidRDefault="00574E6D" w:rsidP="00294081">
      <w:pPr>
        <w:spacing w:after="0" w:line="240" w:lineRule="auto"/>
        <w:jc w:val="both"/>
        <w:rPr>
          <w:rFonts w:ascii="Times New Roman" w:hAnsi="Times New Roman"/>
          <w:sz w:val="20"/>
          <w:szCs w:val="20"/>
        </w:rPr>
      </w:pPr>
    </w:p>
    <w:p w:rsidR="00574E6D" w:rsidRDefault="00574E6D" w:rsidP="00294081">
      <w:pPr>
        <w:spacing w:after="0" w:line="240" w:lineRule="auto"/>
        <w:jc w:val="both"/>
        <w:rPr>
          <w:rFonts w:ascii="Times New Roman" w:hAnsi="Times New Roman"/>
          <w:sz w:val="20"/>
          <w:szCs w:val="20"/>
        </w:rPr>
      </w:pPr>
    </w:p>
    <w:p w:rsidR="00574E6D" w:rsidRDefault="00574E6D" w:rsidP="00294081">
      <w:pPr>
        <w:spacing w:after="0" w:line="240" w:lineRule="auto"/>
        <w:jc w:val="both"/>
        <w:rPr>
          <w:rFonts w:ascii="Times New Roman" w:hAnsi="Times New Roman"/>
          <w:sz w:val="20"/>
          <w:szCs w:val="20"/>
        </w:rPr>
      </w:pPr>
    </w:p>
    <w:p w:rsidR="00574E6D" w:rsidRDefault="00574E6D" w:rsidP="00294081">
      <w:pPr>
        <w:spacing w:after="0" w:line="240" w:lineRule="auto"/>
        <w:jc w:val="both"/>
        <w:rPr>
          <w:rFonts w:ascii="Times New Roman" w:hAnsi="Times New Roman"/>
          <w:sz w:val="20"/>
          <w:szCs w:val="20"/>
        </w:rPr>
      </w:pPr>
    </w:p>
    <w:p w:rsidR="00574E6D" w:rsidRDefault="00574E6D" w:rsidP="00294081">
      <w:pPr>
        <w:spacing w:after="0" w:line="240" w:lineRule="auto"/>
        <w:jc w:val="both"/>
        <w:rPr>
          <w:rFonts w:ascii="Times New Roman" w:hAnsi="Times New Roman"/>
          <w:sz w:val="20"/>
          <w:szCs w:val="20"/>
        </w:rPr>
      </w:pPr>
    </w:p>
    <w:p w:rsidR="00574E6D" w:rsidRDefault="00574E6D" w:rsidP="00294081">
      <w:pPr>
        <w:spacing w:after="0" w:line="240" w:lineRule="auto"/>
        <w:jc w:val="both"/>
        <w:rPr>
          <w:rFonts w:ascii="Times New Roman" w:hAnsi="Times New Roman"/>
          <w:sz w:val="20"/>
          <w:szCs w:val="20"/>
        </w:rPr>
      </w:pPr>
    </w:p>
    <w:p w:rsidR="00574E6D" w:rsidRDefault="00574E6D" w:rsidP="00294081">
      <w:pPr>
        <w:spacing w:after="0" w:line="240" w:lineRule="auto"/>
        <w:jc w:val="both"/>
        <w:rPr>
          <w:rFonts w:ascii="Times New Roman" w:hAnsi="Times New Roman"/>
          <w:sz w:val="20"/>
          <w:szCs w:val="20"/>
        </w:rPr>
      </w:pPr>
    </w:p>
    <w:p w:rsidR="00574E6D" w:rsidRDefault="00574E6D" w:rsidP="00294081">
      <w:pPr>
        <w:spacing w:after="0" w:line="240" w:lineRule="auto"/>
        <w:jc w:val="both"/>
        <w:rPr>
          <w:rFonts w:ascii="Times New Roman" w:hAnsi="Times New Roman"/>
          <w:sz w:val="20"/>
          <w:szCs w:val="20"/>
        </w:rPr>
      </w:pPr>
    </w:p>
    <w:p w:rsidR="00956CC2" w:rsidRDefault="00956CC2" w:rsidP="00294081">
      <w:pPr>
        <w:spacing w:after="0" w:line="240" w:lineRule="auto"/>
        <w:jc w:val="both"/>
        <w:rPr>
          <w:rFonts w:ascii="Times New Roman" w:hAnsi="Times New Roman"/>
          <w:sz w:val="20"/>
          <w:szCs w:val="20"/>
        </w:rPr>
      </w:pPr>
    </w:p>
    <w:p w:rsidR="00A07E7A" w:rsidRDefault="00A07E7A" w:rsidP="00294081">
      <w:pPr>
        <w:spacing w:after="0" w:line="240" w:lineRule="auto"/>
        <w:jc w:val="both"/>
        <w:rPr>
          <w:rFonts w:ascii="Times New Roman" w:hAnsi="Times New Roman"/>
          <w:sz w:val="20"/>
          <w:szCs w:val="20"/>
        </w:rPr>
      </w:pPr>
    </w:p>
    <w:p w:rsidR="00294081" w:rsidRPr="00294081" w:rsidRDefault="00294081" w:rsidP="00956CC2">
      <w:pPr>
        <w:spacing w:after="0" w:line="240" w:lineRule="auto"/>
        <w:jc w:val="center"/>
        <w:rPr>
          <w:rFonts w:ascii="Times New Roman" w:hAnsi="Times New Roman"/>
          <w:sz w:val="20"/>
          <w:szCs w:val="20"/>
        </w:rPr>
      </w:pPr>
      <w:r w:rsidRPr="00294081">
        <w:rPr>
          <w:rFonts w:ascii="Times New Roman" w:hAnsi="Times New Roman"/>
          <w:sz w:val="20"/>
          <w:szCs w:val="20"/>
        </w:rPr>
        <w:lastRenderedPageBreak/>
        <w:t xml:space="preserve">Table 3. </w:t>
      </w:r>
      <w:r w:rsidR="00956CC2">
        <w:rPr>
          <w:rFonts w:ascii="Times New Roman" w:hAnsi="Times New Roman"/>
          <w:sz w:val="20"/>
          <w:szCs w:val="20"/>
        </w:rPr>
        <w:t xml:space="preserve"> </w:t>
      </w:r>
      <w:r w:rsidRPr="00294081">
        <w:rPr>
          <w:rFonts w:ascii="Times New Roman" w:hAnsi="Times New Roman"/>
          <w:sz w:val="20"/>
          <w:szCs w:val="20"/>
        </w:rPr>
        <w:t>Recovery obtained from the measurement of RhB in spiked organic chili powder</w:t>
      </w:r>
    </w:p>
    <w:tbl>
      <w:tblPr>
        <w:tblStyle w:val="CommentText"/>
        <w:tblpPr w:leftFromText="180" w:rightFromText="180" w:vertAnchor="text" w:horzAnchor="margin" w:tblpXSpec="center" w:tblpY="87"/>
        <w:tblW w:w="0" w:type="auto"/>
        <w:tblLook w:val="04A0" w:firstRow="1" w:lastRow="0" w:firstColumn="1" w:lastColumn="0" w:noHBand="0" w:noVBand="1"/>
      </w:tblPr>
      <w:tblGrid>
        <w:gridCol w:w="1916"/>
        <w:gridCol w:w="1322"/>
        <w:gridCol w:w="1008"/>
        <w:gridCol w:w="2266"/>
      </w:tblGrid>
      <w:tr w:rsidR="00956CC2" w:rsidRPr="00294081" w:rsidTr="00956CC2">
        <w:trPr>
          <w:trHeight w:val="585"/>
        </w:trPr>
        <w:tc>
          <w:tcPr>
            <w:tcW w:w="0" w:type="auto"/>
            <w:tcBorders>
              <w:top w:val="single" w:sz="4" w:space="0" w:color="auto"/>
              <w:bottom w:val="single" w:sz="4" w:space="0" w:color="auto"/>
            </w:tcBorders>
            <w:vAlign w:val="center"/>
          </w:tcPr>
          <w:p w:rsidR="00956CC2" w:rsidRPr="00294081" w:rsidRDefault="00956CC2" w:rsidP="00956CC2">
            <w:pPr>
              <w:spacing w:after="0" w:line="240" w:lineRule="auto"/>
              <w:rPr>
                <w:rFonts w:ascii="Times New Roman" w:hAnsi="Times New Roman" w:cs="Times New Roman"/>
                <w:b/>
                <w:sz w:val="20"/>
                <w:szCs w:val="20"/>
                <w:lang w:val="en-GB"/>
              </w:rPr>
            </w:pPr>
            <w:r w:rsidRPr="00294081">
              <w:rPr>
                <w:rFonts w:ascii="Times New Roman" w:hAnsi="Times New Roman" w:cs="Times New Roman"/>
                <w:b/>
                <w:sz w:val="20"/>
                <w:szCs w:val="20"/>
                <w:lang w:val="en-GB"/>
              </w:rPr>
              <w:t>Sample</w:t>
            </w:r>
          </w:p>
        </w:tc>
        <w:tc>
          <w:tcPr>
            <w:tcW w:w="0" w:type="auto"/>
            <w:tcBorders>
              <w:top w:val="single" w:sz="4" w:space="0" w:color="auto"/>
              <w:bottom w:val="single" w:sz="4" w:space="0" w:color="auto"/>
            </w:tcBorders>
            <w:vAlign w:val="center"/>
          </w:tcPr>
          <w:p w:rsidR="00956CC2" w:rsidRPr="00294081" w:rsidRDefault="00956CC2" w:rsidP="00956CC2">
            <w:pPr>
              <w:spacing w:after="0" w:line="240" w:lineRule="auto"/>
              <w:jc w:val="center"/>
              <w:rPr>
                <w:rFonts w:ascii="Times New Roman" w:hAnsi="Times New Roman" w:cs="Times New Roman"/>
                <w:b/>
                <w:sz w:val="20"/>
                <w:szCs w:val="20"/>
                <w:lang w:val="en-GB"/>
              </w:rPr>
            </w:pPr>
            <w:r w:rsidRPr="00294081">
              <w:rPr>
                <w:rFonts w:ascii="Times New Roman" w:hAnsi="Times New Roman" w:cs="Times New Roman"/>
                <w:b/>
                <w:sz w:val="20"/>
                <w:szCs w:val="20"/>
                <w:lang w:val="en-GB"/>
              </w:rPr>
              <w:t>Spiked Level</w:t>
            </w:r>
          </w:p>
          <w:p w:rsidR="00956CC2" w:rsidRPr="00294081" w:rsidRDefault="00956CC2" w:rsidP="00956CC2">
            <w:pPr>
              <w:spacing w:after="0" w:line="240" w:lineRule="auto"/>
              <w:jc w:val="center"/>
              <w:rPr>
                <w:rFonts w:ascii="Times New Roman" w:hAnsi="Times New Roman" w:cs="Times New Roman"/>
                <w:b/>
                <w:sz w:val="20"/>
                <w:szCs w:val="20"/>
                <w:lang w:val="en-GB"/>
              </w:rPr>
            </w:pPr>
            <w:r w:rsidRPr="00294081">
              <w:rPr>
                <w:rFonts w:ascii="Times New Roman" w:hAnsi="Times New Roman" w:cs="Times New Roman"/>
                <w:b/>
                <w:sz w:val="20"/>
                <w:szCs w:val="20"/>
                <w:lang w:val="en-GB"/>
              </w:rPr>
              <w:t>(mg kg</w:t>
            </w:r>
            <w:r w:rsidRPr="00294081">
              <w:rPr>
                <w:rFonts w:ascii="Times New Roman" w:hAnsi="Times New Roman" w:cs="Times New Roman"/>
                <w:sz w:val="20"/>
                <w:szCs w:val="20"/>
                <w:vertAlign w:val="superscript"/>
              </w:rPr>
              <w:t>–</w:t>
            </w:r>
            <w:r w:rsidRPr="00294081">
              <w:rPr>
                <w:rFonts w:ascii="Times New Roman" w:hAnsi="Times New Roman" w:cs="Times New Roman"/>
                <w:b/>
                <w:sz w:val="20"/>
                <w:szCs w:val="20"/>
                <w:vertAlign w:val="superscript"/>
                <w:lang w:val="en-GB"/>
              </w:rPr>
              <w:t>1</w:t>
            </w:r>
            <w:r w:rsidRPr="00294081">
              <w:rPr>
                <w:rFonts w:ascii="Times New Roman" w:hAnsi="Times New Roman" w:cs="Times New Roman"/>
                <w:b/>
                <w:sz w:val="20"/>
                <w:szCs w:val="20"/>
                <w:lang w:val="en-GB"/>
              </w:rPr>
              <w:t>)</w:t>
            </w:r>
          </w:p>
        </w:tc>
        <w:tc>
          <w:tcPr>
            <w:tcW w:w="0" w:type="auto"/>
            <w:tcBorders>
              <w:top w:val="single" w:sz="4" w:space="0" w:color="auto"/>
              <w:bottom w:val="single" w:sz="4" w:space="0" w:color="auto"/>
            </w:tcBorders>
            <w:vAlign w:val="center"/>
          </w:tcPr>
          <w:p w:rsidR="00956CC2" w:rsidRPr="00294081" w:rsidRDefault="00956CC2" w:rsidP="00956CC2">
            <w:pPr>
              <w:spacing w:after="0" w:line="240" w:lineRule="auto"/>
              <w:jc w:val="center"/>
              <w:rPr>
                <w:rFonts w:ascii="Times New Roman" w:hAnsi="Times New Roman" w:cs="Times New Roman"/>
                <w:b/>
                <w:sz w:val="20"/>
                <w:szCs w:val="20"/>
                <w:lang w:val="en-GB"/>
              </w:rPr>
            </w:pPr>
            <w:r w:rsidRPr="00294081">
              <w:rPr>
                <w:rFonts w:ascii="Times New Roman" w:hAnsi="Times New Roman" w:cs="Times New Roman"/>
                <w:b/>
                <w:sz w:val="20"/>
                <w:szCs w:val="20"/>
                <w:lang w:val="en-GB"/>
              </w:rPr>
              <w:t>Found</w:t>
            </w:r>
          </w:p>
          <w:p w:rsidR="00956CC2" w:rsidRPr="00294081" w:rsidRDefault="00956CC2" w:rsidP="00956CC2">
            <w:pPr>
              <w:spacing w:after="0" w:line="240" w:lineRule="auto"/>
              <w:jc w:val="center"/>
              <w:rPr>
                <w:rFonts w:ascii="Times New Roman" w:hAnsi="Times New Roman" w:cs="Times New Roman"/>
                <w:b/>
                <w:sz w:val="20"/>
                <w:szCs w:val="20"/>
                <w:lang w:val="en-GB"/>
              </w:rPr>
            </w:pPr>
            <w:r w:rsidRPr="00294081">
              <w:rPr>
                <w:rFonts w:ascii="Times New Roman" w:hAnsi="Times New Roman" w:cs="Times New Roman"/>
                <w:b/>
                <w:sz w:val="20"/>
                <w:szCs w:val="20"/>
                <w:lang w:val="en-GB"/>
              </w:rPr>
              <w:t>(mg kg</w:t>
            </w:r>
            <w:r w:rsidRPr="00294081">
              <w:rPr>
                <w:rFonts w:ascii="Times New Roman" w:hAnsi="Times New Roman" w:cs="Times New Roman"/>
                <w:sz w:val="20"/>
                <w:szCs w:val="20"/>
                <w:vertAlign w:val="superscript"/>
              </w:rPr>
              <w:t>–</w:t>
            </w:r>
            <w:r w:rsidRPr="00294081">
              <w:rPr>
                <w:rFonts w:ascii="Times New Roman" w:hAnsi="Times New Roman" w:cs="Times New Roman"/>
                <w:b/>
                <w:sz w:val="20"/>
                <w:szCs w:val="20"/>
                <w:vertAlign w:val="superscript"/>
                <w:lang w:val="en-GB"/>
              </w:rPr>
              <w:t>1</w:t>
            </w:r>
            <w:r w:rsidRPr="00294081">
              <w:rPr>
                <w:rFonts w:ascii="Times New Roman" w:hAnsi="Times New Roman" w:cs="Times New Roman"/>
                <w:b/>
                <w:sz w:val="20"/>
                <w:szCs w:val="20"/>
                <w:lang w:val="en-GB"/>
              </w:rPr>
              <w:t>)</w:t>
            </w:r>
          </w:p>
        </w:tc>
        <w:tc>
          <w:tcPr>
            <w:tcW w:w="0" w:type="auto"/>
            <w:tcBorders>
              <w:top w:val="single" w:sz="4" w:space="0" w:color="auto"/>
              <w:bottom w:val="single" w:sz="4" w:space="0" w:color="auto"/>
            </w:tcBorders>
            <w:vAlign w:val="center"/>
          </w:tcPr>
          <w:p w:rsidR="00956CC2" w:rsidRPr="00294081" w:rsidRDefault="00956CC2" w:rsidP="00956CC2">
            <w:pPr>
              <w:spacing w:after="0" w:line="240" w:lineRule="auto"/>
              <w:jc w:val="center"/>
              <w:rPr>
                <w:rFonts w:ascii="Times New Roman" w:hAnsi="Times New Roman" w:cs="Times New Roman"/>
                <w:b/>
                <w:sz w:val="20"/>
                <w:szCs w:val="20"/>
                <w:lang w:val="en-GB"/>
              </w:rPr>
            </w:pPr>
            <w:r w:rsidRPr="00294081">
              <w:rPr>
                <w:rFonts w:ascii="Times New Roman" w:hAnsi="Times New Roman" w:cs="Times New Roman"/>
                <w:b/>
                <w:sz w:val="20"/>
                <w:szCs w:val="20"/>
                <w:lang w:val="en-GB"/>
              </w:rPr>
              <w:t>Relative Recovery, RSD</w:t>
            </w:r>
          </w:p>
          <w:p w:rsidR="00956CC2" w:rsidRPr="00294081" w:rsidRDefault="00956CC2" w:rsidP="00956CC2">
            <w:pPr>
              <w:spacing w:after="0" w:line="240" w:lineRule="auto"/>
              <w:jc w:val="center"/>
              <w:rPr>
                <w:rFonts w:ascii="Times New Roman" w:hAnsi="Times New Roman" w:cs="Times New Roman"/>
                <w:b/>
                <w:sz w:val="20"/>
                <w:szCs w:val="20"/>
                <w:lang w:val="en-GB"/>
              </w:rPr>
            </w:pPr>
            <w:r w:rsidRPr="00294081">
              <w:rPr>
                <w:rFonts w:ascii="Times New Roman" w:hAnsi="Times New Roman" w:cs="Times New Roman"/>
                <w:b/>
                <w:sz w:val="20"/>
                <w:szCs w:val="20"/>
                <w:lang w:val="en-GB"/>
              </w:rPr>
              <w:t>(%, n = 3)</w:t>
            </w:r>
          </w:p>
        </w:tc>
      </w:tr>
      <w:tr w:rsidR="00956CC2" w:rsidRPr="00294081" w:rsidTr="00956CC2">
        <w:trPr>
          <w:trHeight w:val="284"/>
        </w:trPr>
        <w:tc>
          <w:tcPr>
            <w:tcW w:w="0" w:type="auto"/>
            <w:vMerge w:val="restart"/>
            <w:tcBorders>
              <w:top w:val="single" w:sz="4" w:space="0" w:color="auto"/>
              <w:bottom w:val="single" w:sz="4" w:space="0" w:color="auto"/>
            </w:tcBorders>
            <w:vAlign w:val="center"/>
          </w:tcPr>
          <w:p w:rsidR="00956CC2" w:rsidRPr="00294081" w:rsidRDefault="00956CC2" w:rsidP="00956CC2">
            <w:pPr>
              <w:spacing w:before="60" w:after="0" w:line="240" w:lineRule="auto"/>
              <w:rPr>
                <w:rFonts w:ascii="Times New Roman" w:hAnsi="Times New Roman" w:cs="Times New Roman"/>
                <w:sz w:val="20"/>
                <w:szCs w:val="20"/>
                <w:lang w:val="en-GB"/>
              </w:rPr>
            </w:pPr>
            <w:r w:rsidRPr="00294081">
              <w:rPr>
                <w:rFonts w:ascii="Times New Roman" w:hAnsi="Times New Roman" w:cs="Times New Roman"/>
                <w:sz w:val="20"/>
                <w:szCs w:val="20"/>
                <w:lang w:val="en-GB"/>
              </w:rPr>
              <w:t>Organic chili powder</w:t>
            </w:r>
          </w:p>
        </w:tc>
        <w:tc>
          <w:tcPr>
            <w:tcW w:w="0" w:type="auto"/>
            <w:tcBorders>
              <w:top w:val="single" w:sz="4" w:space="0" w:color="auto"/>
            </w:tcBorders>
            <w:vAlign w:val="center"/>
          </w:tcPr>
          <w:p w:rsidR="00956CC2" w:rsidRPr="00294081" w:rsidRDefault="00956CC2" w:rsidP="00956CC2">
            <w:pPr>
              <w:spacing w:before="60" w:after="0" w:line="240" w:lineRule="auto"/>
              <w:jc w:val="center"/>
              <w:rPr>
                <w:rFonts w:ascii="Times New Roman" w:hAnsi="Times New Roman" w:cs="Times New Roman"/>
                <w:sz w:val="20"/>
                <w:szCs w:val="20"/>
                <w:lang w:val="en-GB"/>
              </w:rPr>
            </w:pPr>
            <w:r w:rsidRPr="00294081">
              <w:rPr>
                <w:rFonts w:ascii="Times New Roman" w:hAnsi="Times New Roman" w:cs="Times New Roman"/>
                <w:sz w:val="20"/>
                <w:szCs w:val="20"/>
                <w:lang w:val="en-GB"/>
              </w:rPr>
              <w:t>0.1</w:t>
            </w:r>
          </w:p>
        </w:tc>
        <w:tc>
          <w:tcPr>
            <w:tcW w:w="0" w:type="auto"/>
            <w:tcBorders>
              <w:top w:val="single" w:sz="4" w:space="0" w:color="auto"/>
            </w:tcBorders>
            <w:vAlign w:val="center"/>
          </w:tcPr>
          <w:p w:rsidR="00956CC2" w:rsidRPr="00294081" w:rsidRDefault="00956CC2" w:rsidP="00956CC2">
            <w:pPr>
              <w:spacing w:before="60" w:after="0" w:line="240" w:lineRule="auto"/>
              <w:jc w:val="center"/>
              <w:rPr>
                <w:rFonts w:ascii="Times New Roman" w:hAnsi="Times New Roman" w:cs="Times New Roman"/>
                <w:sz w:val="20"/>
                <w:szCs w:val="20"/>
                <w:lang w:val="en-GB"/>
              </w:rPr>
            </w:pPr>
            <w:r w:rsidRPr="00294081">
              <w:rPr>
                <w:rFonts w:ascii="Times New Roman" w:hAnsi="Times New Roman" w:cs="Times New Roman"/>
                <w:sz w:val="20"/>
                <w:szCs w:val="20"/>
                <w:lang w:val="en-GB"/>
              </w:rPr>
              <w:t>0.095</w:t>
            </w:r>
          </w:p>
        </w:tc>
        <w:tc>
          <w:tcPr>
            <w:tcW w:w="0" w:type="auto"/>
            <w:tcBorders>
              <w:top w:val="single" w:sz="4" w:space="0" w:color="auto"/>
            </w:tcBorders>
            <w:vAlign w:val="center"/>
          </w:tcPr>
          <w:p w:rsidR="00956CC2" w:rsidRPr="00294081" w:rsidRDefault="00956CC2" w:rsidP="00956CC2">
            <w:pPr>
              <w:spacing w:before="60" w:after="0" w:line="240" w:lineRule="auto"/>
              <w:jc w:val="center"/>
              <w:rPr>
                <w:rFonts w:ascii="Times New Roman" w:hAnsi="Times New Roman" w:cs="Times New Roman"/>
                <w:sz w:val="20"/>
                <w:szCs w:val="20"/>
                <w:lang w:val="en-GB"/>
              </w:rPr>
            </w:pPr>
            <w:r w:rsidRPr="00294081">
              <w:rPr>
                <w:rFonts w:ascii="Times New Roman" w:hAnsi="Times New Roman" w:cs="Times New Roman"/>
                <w:sz w:val="20"/>
                <w:szCs w:val="20"/>
                <w:lang w:val="en-GB"/>
              </w:rPr>
              <w:t>95.00 ± 3.0</w:t>
            </w:r>
          </w:p>
        </w:tc>
      </w:tr>
      <w:tr w:rsidR="00956CC2" w:rsidRPr="00294081" w:rsidTr="00956CC2">
        <w:trPr>
          <w:trHeight w:val="252"/>
        </w:trPr>
        <w:tc>
          <w:tcPr>
            <w:tcW w:w="0" w:type="auto"/>
            <w:vMerge/>
            <w:tcBorders>
              <w:top w:val="single" w:sz="4" w:space="0" w:color="auto"/>
              <w:bottom w:val="single" w:sz="4" w:space="0" w:color="auto"/>
            </w:tcBorders>
            <w:vAlign w:val="center"/>
          </w:tcPr>
          <w:p w:rsidR="00956CC2" w:rsidRPr="00294081" w:rsidRDefault="00956CC2" w:rsidP="00956CC2">
            <w:pPr>
              <w:spacing w:before="60" w:after="0" w:line="240" w:lineRule="auto"/>
              <w:rPr>
                <w:rFonts w:ascii="Times New Roman" w:hAnsi="Times New Roman" w:cs="Times New Roman"/>
                <w:sz w:val="20"/>
                <w:szCs w:val="20"/>
                <w:lang w:val="en-GB"/>
              </w:rPr>
            </w:pPr>
          </w:p>
        </w:tc>
        <w:tc>
          <w:tcPr>
            <w:tcW w:w="0" w:type="auto"/>
            <w:vAlign w:val="center"/>
          </w:tcPr>
          <w:p w:rsidR="00956CC2" w:rsidRPr="00294081" w:rsidRDefault="00956CC2" w:rsidP="00956CC2">
            <w:pPr>
              <w:spacing w:before="60" w:after="0" w:line="240" w:lineRule="auto"/>
              <w:jc w:val="center"/>
              <w:rPr>
                <w:rFonts w:ascii="Times New Roman" w:hAnsi="Times New Roman" w:cs="Times New Roman"/>
                <w:sz w:val="20"/>
                <w:szCs w:val="20"/>
                <w:lang w:val="en-GB"/>
              </w:rPr>
            </w:pPr>
            <w:r w:rsidRPr="00294081">
              <w:rPr>
                <w:rFonts w:ascii="Times New Roman" w:hAnsi="Times New Roman" w:cs="Times New Roman"/>
                <w:sz w:val="20"/>
                <w:szCs w:val="20"/>
                <w:lang w:val="en-GB"/>
              </w:rPr>
              <w:t>0.5</w:t>
            </w:r>
          </w:p>
        </w:tc>
        <w:tc>
          <w:tcPr>
            <w:tcW w:w="0" w:type="auto"/>
            <w:vAlign w:val="center"/>
          </w:tcPr>
          <w:p w:rsidR="00956CC2" w:rsidRPr="00294081" w:rsidRDefault="00956CC2" w:rsidP="00956CC2">
            <w:pPr>
              <w:spacing w:before="60" w:after="0" w:line="240" w:lineRule="auto"/>
              <w:jc w:val="center"/>
              <w:rPr>
                <w:rFonts w:ascii="Times New Roman" w:hAnsi="Times New Roman" w:cs="Times New Roman"/>
                <w:sz w:val="20"/>
                <w:szCs w:val="20"/>
                <w:lang w:val="en-GB"/>
              </w:rPr>
            </w:pPr>
            <w:r w:rsidRPr="00294081">
              <w:rPr>
                <w:rFonts w:ascii="Times New Roman" w:hAnsi="Times New Roman" w:cs="Times New Roman"/>
                <w:sz w:val="20"/>
                <w:szCs w:val="20"/>
                <w:lang w:val="en-GB"/>
              </w:rPr>
              <w:t>0.587</w:t>
            </w:r>
          </w:p>
        </w:tc>
        <w:tc>
          <w:tcPr>
            <w:tcW w:w="0" w:type="auto"/>
            <w:vAlign w:val="center"/>
          </w:tcPr>
          <w:p w:rsidR="00956CC2" w:rsidRPr="00294081" w:rsidRDefault="00956CC2" w:rsidP="00956CC2">
            <w:pPr>
              <w:spacing w:before="60" w:after="0" w:line="240" w:lineRule="auto"/>
              <w:jc w:val="center"/>
              <w:rPr>
                <w:rFonts w:ascii="Times New Roman" w:hAnsi="Times New Roman" w:cs="Times New Roman"/>
                <w:sz w:val="20"/>
                <w:szCs w:val="20"/>
                <w:lang w:val="en-GB"/>
              </w:rPr>
            </w:pPr>
            <w:r w:rsidRPr="00294081">
              <w:rPr>
                <w:rFonts w:ascii="Times New Roman" w:hAnsi="Times New Roman" w:cs="Times New Roman"/>
                <w:sz w:val="20"/>
                <w:szCs w:val="20"/>
                <w:lang w:val="en-GB"/>
              </w:rPr>
              <w:t>117.47 ± 3.8</w:t>
            </w:r>
          </w:p>
        </w:tc>
      </w:tr>
      <w:tr w:rsidR="00956CC2" w:rsidRPr="00294081" w:rsidTr="00956CC2">
        <w:trPr>
          <w:trHeight w:val="129"/>
        </w:trPr>
        <w:tc>
          <w:tcPr>
            <w:tcW w:w="0" w:type="auto"/>
            <w:vMerge/>
            <w:tcBorders>
              <w:top w:val="single" w:sz="4" w:space="0" w:color="auto"/>
              <w:bottom w:val="single" w:sz="4" w:space="0" w:color="auto"/>
            </w:tcBorders>
            <w:vAlign w:val="center"/>
          </w:tcPr>
          <w:p w:rsidR="00956CC2" w:rsidRPr="00294081" w:rsidRDefault="00956CC2" w:rsidP="00956CC2">
            <w:pPr>
              <w:spacing w:before="60" w:after="0" w:line="240" w:lineRule="auto"/>
              <w:rPr>
                <w:rFonts w:ascii="Times New Roman" w:hAnsi="Times New Roman" w:cs="Times New Roman"/>
                <w:sz w:val="20"/>
                <w:szCs w:val="20"/>
                <w:lang w:val="en-GB"/>
              </w:rPr>
            </w:pPr>
          </w:p>
        </w:tc>
        <w:tc>
          <w:tcPr>
            <w:tcW w:w="0" w:type="auto"/>
            <w:tcBorders>
              <w:bottom w:val="single" w:sz="4" w:space="0" w:color="auto"/>
            </w:tcBorders>
            <w:vAlign w:val="center"/>
          </w:tcPr>
          <w:p w:rsidR="00956CC2" w:rsidRPr="00294081" w:rsidRDefault="00956CC2" w:rsidP="00956CC2">
            <w:pPr>
              <w:spacing w:before="60" w:after="60" w:line="240" w:lineRule="auto"/>
              <w:jc w:val="center"/>
              <w:rPr>
                <w:rFonts w:ascii="Times New Roman" w:hAnsi="Times New Roman" w:cs="Times New Roman"/>
                <w:sz w:val="20"/>
                <w:szCs w:val="20"/>
                <w:lang w:val="en-GB"/>
              </w:rPr>
            </w:pPr>
            <w:r w:rsidRPr="00294081">
              <w:rPr>
                <w:rFonts w:ascii="Times New Roman" w:hAnsi="Times New Roman" w:cs="Times New Roman"/>
                <w:sz w:val="20"/>
                <w:szCs w:val="20"/>
                <w:lang w:val="en-GB"/>
              </w:rPr>
              <w:t>1.0</w:t>
            </w:r>
          </w:p>
        </w:tc>
        <w:tc>
          <w:tcPr>
            <w:tcW w:w="0" w:type="auto"/>
            <w:tcBorders>
              <w:bottom w:val="single" w:sz="4" w:space="0" w:color="auto"/>
            </w:tcBorders>
            <w:vAlign w:val="center"/>
          </w:tcPr>
          <w:p w:rsidR="00956CC2" w:rsidRPr="00294081" w:rsidRDefault="00956CC2" w:rsidP="00956CC2">
            <w:pPr>
              <w:spacing w:before="60" w:after="60" w:line="240" w:lineRule="auto"/>
              <w:jc w:val="center"/>
              <w:rPr>
                <w:rFonts w:ascii="Times New Roman" w:hAnsi="Times New Roman" w:cs="Times New Roman"/>
                <w:sz w:val="20"/>
                <w:szCs w:val="20"/>
                <w:lang w:val="en-GB"/>
              </w:rPr>
            </w:pPr>
            <w:r w:rsidRPr="00294081">
              <w:rPr>
                <w:rFonts w:ascii="Times New Roman" w:hAnsi="Times New Roman" w:cs="Times New Roman"/>
                <w:sz w:val="20"/>
                <w:szCs w:val="20"/>
                <w:lang w:val="en-GB"/>
              </w:rPr>
              <w:t>1.152</w:t>
            </w:r>
          </w:p>
        </w:tc>
        <w:tc>
          <w:tcPr>
            <w:tcW w:w="0" w:type="auto"/>
            <w:tcBorders>
              <w:bottom w:val="single" w:sz="4" w:space="0" w:color="auto"/>
            </w:tcBorders>
            <w:vAlign w:val="center"/>
          </w:tcPr>
          <w:p w:rsidR="00956CC2" w:rsidRPr="00294081" w:rsidRDefault="00956CC2" w:rsidP="00956CC2">
            <w:pPr>
              <w:spacing w:before="60" w:after="60" w:line="240" w:lineRule="auto"/>
              <w:jc w:val="center"/>
              <w:rPr>
                <w:rFonts w:ascii="Times New Roman" w:hAnsi="Times New Roman" w:cs="Times New Roman"/>
                <w:sz w:val="20"/>
                <w:szCs w:val="20"/>
                <w:lang w:val="en-GB"/>
              </w:rPr>
            </w:pPr>
            <w:r w:rsidRPr="00294081">
              <w:rPr>
                <w:rFonts w:ascii="Times New Roman" w:hAnsi="Times New Roman" w:cs="Times New Roman"/>
                <w:sz w:val="20"/>
                <w:szCs w:val="20"/>
                <w:lang w:val="en-GB"/>
              </w:rPr>
              <w:t>115.23 ± 4.0</w:t>
            </w:r>
          </w:p>
        </w:tc>
      </w:tr>
    </w:tbl>
    <w:p w:rsidR="00294081" w:rsidRPr="00294081" w:rsidRDefault="00294081" w:rsidP="00294081">
      <w:pPr>
        <w:spacing w:after="0" w:line="240" w:lineRule="auto"/>
        <w:jc w:val="both"/>
        <w:rPr>
          <w:rFonts w:ascii="Times New Roman" w:hAnsi="Times New Roman"/>
          <w:b/>
          <w:sz w:val="20"/>
          <w:szCs w:val="20"/>
        </w:rPr>
      </w:pPr>
    </w:p>
    <w:p w:rsidR="00294081" w:rsidRDefault="00294081" w:rsidP="00294081">
      <w:pPr>
        <w:spacing w:after="0" w:line="240" w:lineRule="auto"/>
        <w:jc w:val="both"/>
        <w:rPr>
          <w:rFonts w:ascii="Times New Roman" w:hAnsi="Times New Roman"/>
          <w:b/>
          <w:sz w:val="20"/>
          <w:szCs w:val="20"/>
        </w:rPr>
      </w:pPr>
    </w:p>
    <w:p w:rsidR="00956CC2" w:rsidRPr="00294081" w:rsidRDefault="00956CC2" w:rsidP="00294081">
      <w:pPr>
        <w:spacing w:after="0" w:line="240" w:lineRule="auto"/>
        <w:jc w:val="both"/>
        <w:rPr>
          <w:rFonts w:ascii="Times New Roman" w:hAnsi="Times New Roman"/>
          <w:b/>
          <w:sz w:val="20"/>
          <w:szCs w:val="20"/>
        </w:rPr>
      </w:pPr>
    </w:p>
    <w:p w:rsidR="00294081" w:rsidRPr="00294081" w:rsidRDefault="00294081" w:rsidP="00294081">
      <w:pPr>
        <w:spacing w:after="0" w:line="240" w:lineRule="auto"/>
        <w:jc w:val="both"/>
        <w:rPr>
          <w:rFonts w:ascii="Times New Roman" w:hAnsi="Times New Roman"/>
          <w:b/>
          <w:sz w:val="20"/>
          <w:szCs w:val="20"/>
        </w:rPr>
      </w:pPr>
    </w:p>
    <w:p w:rsidR="00956CC2" w:rsidRDefault="00956CC2" w:rsidP="00294081">
      <w:pPr>
        <w:spacing w:after="0" w:line="240" w:lineRule="auto"/>
        <w:jc w:val="both"/>
        <w:rPr>
          <w:rFonts w:ascii="Times New Roman" w:hAnsi="Times New Roman"/>
          <w:b/>
          <w:sz w:val="20"/>
          <w:szCs w:val="20"/>
        </w:rPr>
      </w:pPr>
    </w:p>
    <w:p w:rsidR="00956CC2" w:rsidRDefault="00956CC2" w:rsidP="00294081">
      <w:pPr>
        <w:spacing w:after="0" w:line="240" w:lineRule="auto"/>
        <w:jc w:val="both"/>
        <w:rPr>
          <w:rFonts w:ascii="Times New Roman" w:hAnsi="Times New Roman"/>
          <w:b/>
          <w:sz w:val="20"/>
          <w:szCs w:val="20"/>
        </w:rPr>
      </w:pPr>
    </w:p>
    <w:p w:rsidR="00956CC2" w:rsidRDefault="00956CC2" w:rsidP="00294081">
      <w:pPr>
        <w:spacing w:after="0" w:line="240" w:lineRule="auto"/>
        <w:jc w:val="both"/>
        <w:rPr>
          <w:rFonts w:ascii="Times New Roman" w:hAnsi="Times New Roman"/>
          <w:b/>
          <w:sz w:val="20"/>
          <w:szCs w:val="20"/>
        </w:rPr>
      </w:pPr>
    </w:p>
    <w:p w:rsidR="00956CC2" w:rsidRDefault="00956CC2" w:rsidP="00A07E7A">
      <w:pPr>
        <w:spacing w:after="120" w:line="240" w:lineRule="auto"/>
        <w:jc w:val="both"/>
        <w:rPr>
          <w:rFonts w:ascii="Times New Roman" w:hAnsi="Times New Roman"/>
          <w:b/>
          <w:sz w:val="20"/>
          <w:szCs w:val="20"/>
        </w:rPr>
      </w:pPr>
    </w:p>
    <w:p w:rsidR="00294081" w:rsidRPr="00294081" w:rsidRDefault="00294081" w:rsidP="00294081">
      <w:pPr>
        <w:spacing w:after="0" w:line="240" w:lineRule="auto"/>
        <w:jc w:val="both"/>
        <w:rPr>
          <w:rFonts w:ascii="Times New Roman" w:hAnsi="Times New Roman"/>
          <w:b/>
          <w:sz w:val="20"/>
          <w:szCs w:val="20"/>
        </w:rPr>
      </w:pPr>
      <w:r w:rsidRPr="00294081">
        <w:rPr>
          <w:rFonts w:ascii="Times New Roman" w:hAnsi="Times New Roman"/>
          <w:b/>
          <w:sz w:val="20"/>
          <w:szCs w:val="20"/>
        </w:rPr>
        <w:t>Analysis of real samples</w:t>
      </w:r>
    </w:p>
    <w:p w:rsidR="00294081" w:rsidRDefault="00294081" w:rsidP="00294081">
      <w:pPr>
        <w:spacing w:after="0" w:line="240" w:lineRule="auto"/>
        <w:jc w:val="both"/>
        <w:rPr>
          <w:rFonts w:ascii="Times New Roman" w:hAnsi="Times New Roman"/>
          <w:sz w:val="20"/>
          <w:szCs w:val="20"/>
        </w:rPr>
      </w:pPr>
      <w:r w:rsidRPr="00294081">
        <w:rPr>
          <w:rFonts w:ascii="Times New Roman" w:hAnsi="Times New Roman"/>
          <w:sz w:val="20"/>
          <w:szCs w:val="20"/>
        </w:rPr>
        <w:t>To evaluate the feasibility of using the developed method to test real matrices, 10 different chili powders that are commercially available were purchased from a local market (Kuala Lumpur, Malaysia) to determine the contents of RhB. RhB was detected in several chili powder samples, which showed that the procedure was satisfactory for genuine food applications. Figure 8 shows the UV-Vis spectra of a real sample with detected RhB, and Table 4 tabulates the results of the detected RhB in real samples after analysis using the VASM-DLPME microextraction technique.</w:t>
      </w:r>
    </w:p>
    <w:p w:rsidR="00956CC2" w:rsidRPr="00294081" w:rsidRDefault="00956CC2" w:rsidP="00956CC2">
      <w:pPr>
        <w:spacing w:after="120" w:line="240" w:lineRule="auto"/>
        <w:jc w:val="both"/>
        <w:rPr>
          <w:rFonts w:ascii="Times New Roman" w:hAnsi="Times New Roman"/>
          <w:sz w:val="20"/>
          <w:szCs w:val="20"/>
        </w:rPr>
      </w:pPr>
    </w:p>
    <w:p w:rsidR="00294081" w:rsidRPr="00294081" w:rsidRDefault="00294081" w:rsidP="00A07E7A">
      <w:pPr>
        <w:spacing w:after="120" w:line="240" w:lineRule="auto"/>
        <w:jc w:val="center"/>
        <w:rPr>
          <w:rFonts w:ascii="Times New Roman" w:hAnsi="Times New Roman"/>
          <w:sz w:val="20"/>
          <w:szCs w:val="20"/>
        </w:rPr>
      </w:pPr>
      <w:r w:rsidRPr="00294081">
        <w:rPr>
          <w:rFonts w:ascii="Times New Roman" w:hAnsi="Times New Roman"/>
          <w:noProof/>
          <w:sz w:val="20"/>
          <w:szCs w:val="20"/>
          <w:lang w:eastAsia="en-MY"/>
        </w:rPr>
        <w:drawing>
          <wp:inline distT="0" distB="0" distL="0" distR="0" wp14:anchorId="79D88DE1" wp14:editId="03C7FB82">
            <wp:extent cx="3423424" cy="2011680"/>
            <wp:effectExtent l="19050" t="19050" r="24765" b="266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23424" cy="2011680"/>
                    </a:xfrm>
                    <a:prstGeom prst="rect">
                      <a:avLst/>
                    </a:prstGeom>
                    <a:noFill/>
                    <a:ln w="6350">
                      <a:solidFill>
                        <a:schemeClr val="tx1"/>
                      </a:solidFill>
                    </a:ln>
                  </pic:spPr>
                </pic:pic>
              </a:graphicData>
            </a:graphic>
          </wp:inline>
        </w:drawing>
      </w:r>
    </w:p>
    <w:p w:rsidR="00294081" w:rsidRPr="00294081" w:rsidRDefault="00294081" w:rsidP="00A07E7A">
      <w:pPr>
        <w:spacing w:after="0" w:line="240" w:lineRule="auto"/>
        <w:ind w:left="900" w:hanging="900"/>
        <w:jc w:val="both"/>
        <w:rPr>
          <w:rFonts w:ascii="Times New Roman" w:hAnsi="Times New Roman"/>
          <w:sz w:val="20"/>
          <w:szCs w:val="20"/>
        </w:rPr>
      </w:pPr>
      <w:r w:rsidRPr="00294081">
        <w:rPr>
          <w:rFonts w:ascii="Times New Roman" w:hAnsi="Times New Roman"/>
          <w:sz w:val="20"/>
          <w:szCs w:val="20"/>
        </w:rPr>
        <w:t>Figure 8.</w:t>
      </w:r>
      <w:r w:rsidR="00A07E7A">
        <w:rPr>
          <w:rFonts w:ascii="Times New Roman" w:hAnsi="Times New Roman"/>
          <w:sz w:val="20"/>
          <w:szCs w:val="20"/>
        </w:rPr>
        <w:tab/>
      </w:r>
      <w:r w:rsidRPr="00294081">
        <w:rPr>
          <w:rFonts w:ascii="Times New Roman" w:hAnsi="Times New Roman"/>
          <w:sz w:val="20"/>
          <w:szCs w:val="20"/>
        </w:rPr>
        <w:t>UV-Vis spectra of a real sample with detected RhB after analysis using the VASM-DLPME microextraction technique</w:t>
      </w:r>
    </w:p>
    <w:p w:rsidR="00A07E7A" w:rsidRDefault="00A07E7A" w:rsidP="00A07E7A">
      <w:pPr>
        <w:spacing w:after="120" w:line="240" w:lineRule="auto"/>
        <w:jc w:val="both"/>
        <w:rPr>
          <w:rFonts w:ascii="Times New Roman" w:hAnsi="Times New Roman"/>
          <w:sz w:val="20"/>
          <w:szCs w:val="20"/>
        </w:rPr>
      </w:pPr>
    </w:p>
    <w:p w:rsidR="00294081" w:rsidRPr="00294081" w:rsidRDefault="00294081" w:rsidP="00A07E7A">
      <w:pPr>
        <w:spacing w:after="120" w:line="240" w:lineRule="auto"/>
        <w:jc w:val="center"/>
        <w:rPr>
          <w:rFonts w:ascii="Times New Roman" w:hAnsi="Times New Roman"/>
          <w:sz w:val="20"/>
          <w:szCs w:val="20"/>
        </w:rPr>
      </w:pPr>
      <w:r w:rsidRPr="00294081">
        <w:rPr>
          <w:rFonts w:ascii="Times New Roman" w:hAnsi="Times New Roman"/>
          <w:sz w:val="20"/>
          <w:szCs w:val="20"/>
        </w:rPr>
        <w:t xml:space="preserve">Table 4. </w:t>
      </w:r>
      <w:r w:rsidR="00A07E7A">
        <w:rPr>
          <w:rFonts w:ascii="Times New Roman" w:hAnsi="Times New Roman"/>
          <w:sz w:val="20"/>
          <w:szCs w:val="20"/>
        </w:rPr>
        <w:t xml:space="preserve"> </w:t>
      </w:r>
      <w:r w:rsidRPr="00294081">
        <w:rPr>
          <w:rFonts w:ascii="Times New Roman" w:hAnsi="Times New Roman"/>
          <w:sz w:val="20"/>
          <w:szCs w:val="20"/>
        </w:rPr>
        <w:t>Results of the detected RhB in real samples after analysis using the VASM-DLPME procedure</w:t>
      </w:r>
    </w:p>
    <w:tbl>
      <w:tblPr>
        <w:tblStyle w:val="CommentText"/>
        <w:tblW w:w="0" w:type="auto"/>
        <w:jc w:val="center"/>
        <w:tblLook w:val="04A0" w:firstRow="1" w:lastRow="0" w:firstColumn="1" w:lastColumn="0" w:noHBand="0" w:noVBand="1"/>
      </w:tblPr>
      <w:tblGrid>
        <w:gridCol w:w="2404"/>
        <w:gridCol w:w="2851"/>
      </w:tblGrid>
      <w:tr w:rsidR="00294081" w:rsidRPr="00294081" w:rsidTr="00404E76">
        <w:trPr>
          <w:trHeight w:val="439"/>
          <w:jc w:val="center"/>
        </w:trPr>
        <w:tc>
          <w:tcPr>
            <w:tcW w:w="2404" w:type="dxa"/>
            <w:tcBorders>
              <w:top w:val="single" w:sz="4" w:space="0" w:color="000000"/>
              <w:bottom w:val="single" w:sz="4" w:space="0" w:color="000000"/>
            </w:tcBorders>
          </w:tcPr>
          <w:p w:rsidR="00294081" w:rsidRPr="00294081" w:rsidRDefault="00294081" w:rsidP="00404E76">
            <w:pPr>
              <w:spacing w:after="0" w:line="240" w:lineRule="auto"/>
              <w:jc w:val="both"/>
              <w:rPr>
                <w:rFonts w:ascii="Times New Roman" w:hAnsi="Times New Roman" w:cs="Times New Roman"/>
                <w:b/>
                <w:sz w:val="20"/>
                <w:szCs w:val="20"/>
              </w:rPr>
            </w:pPr>
            <w:r w:rsidRPr="00294081">
              <w:rPr>
                <w:rFonts w:ascii="Times New Roman" w:hAnsi="Times New Roman" w:cs="Times New Roman"/>
                <w:b/>
                <w:sz w:val="20"/>
                <w:szCs w:val="20"/>
              </w:rPr>
              <w:t>Chili Powder</w:t>
            </w:r>
          </w:p>
        </w:tc>
        <w:tc>
          <w:tcPr>
            <w:tcW w:w="2851" w:type="dxa"/>
            <w:tcBorders>
              <w:top w:val="single" w:sz="4" w:space="0" w:color="000000"/>
              <w:bottom w:val="single" w:sz="4" w:space="0" w:color="000000"/>
            </w:tcBorders>
          </w:tcPr>
          <w:p w:rsidR="00294081" w:rsidRPr="00294081" w:rsidRDefault="00294081" w:rsidP="00A07E7A">
            <w:pPr>
              <w:spacing w:after="0" w:line="240" w:lineRule="auto"/>
              <w:jc w:val="center"/>
              <w:rPr>
                <w:rFonts w:ascii="Times New Roman" w:hAnsi="Times New Roman" w:cs="Times New Roman"/>
                <w:b/>
                <w:sz w:val="20"/>
                <w:szCs w:val="20"/>
              </w:rPr>
            </w:pPr>
            <w:r w:rsidRPr="00294081">
              <w:rPr>
                <w:rFonts w:ascii="Times New Roman" w:hAnsi="Times New Roman" w:cs="Times New Roman"/>
                <w:b/>
                <w:sz w:val="20"/>
                <w:szCs w:val="20"/>
              </w:rPr>
              <w:t>Concentration of RhB  Residues (mg kg</w:t>
            </w:r>
            <w:r w:rsidRPr="00294081">
              <w:rPr>
                <w:rFonts w:ascii="Times New Roman" w:hAnsi="Times New Roman" w:cs="Times New Roman"/>
                <w:sz w:val="20"/>
                <w:szCs w:val="20"/>
                <w:vertAlign w:val="superscript"/>
              </w:rPr>
              <w:t>–</w:t>
            </w:r>
            <w:r w:rsidRPr="00294081">
              <w:rPr>
                <w:rFonts w:ascii="Times New Roman" w:hAnsi="Times New Roman" w:cs="Times New Roman"/>
                <w:b/>
                <w:sz w:val="20"/>
                <w:szCs w:val="20"/>
                <w:vertAlign w:val="superscript"/>
              </w:rPr>
              <w:t>1</w:t>
            </w:r>
            <w:r w:rsidRPr="00294081">
              <w:rPr>
                <w:rFonts w:ascii="Times New Roman" w:hAnsi="Times New Roman" w:cs="Times New Roman"/>
                <w:b/>
                <w:sz w:val="20"/>
                <w:szCs w:val="20"/>
              </w:rPr>
              <w:t>)</w:t>
            </w:r>
          </w:p>
        </w:tc>
      </w:tr>
      <w:tr w:rsidR="00294081" w:rsidRPr="00294081" w:rsidTr="00404E76">
        <w:trPr>
          <w:trHeight w:val="280"/>
          <w:jc w:val="center"/>
        </w:trPr>
        <w:tc>
          <w:tcPr>
            <w:tcW w:w="2404" w:type="dxa"/>
            <w:tcBorders>
              <w:top w:val="single" w:sz="4" w:space="0" w:color="000000"/>
            </w:tcBorders>
            <w:vAlign w:val="center"/>
          </w:tcPr>
          <w:p w:rsidR="00294081" w:rsidRPr="00294081" w:rsidRDefault="00294081" w:rsidP="00404E76">
            <w:pPr>
              <w:spacing w:after="0" w:line="240" w:lineRule="auto"/>
              <w:jc w:val="both"/>
              <w:rPr>
                <w:rFonts w:ascii="Times New Roman" w:hAnsi="Times New Roman" w:cs="Times New Roman"/>
                <w:sz w:val="20"/>
                <w:szCs w:val="20"/>
                <w:lang w:val="en-GB"/>
              </w:rPr>
            </w:pPr>
            <w:r w:rsidRPr="00294081">
              <w:rPr>
                <w:rFonts w:ascii="Times New Roman" w:hAnsi="Times New Roman" w:cs="Times New Roman"/>
                <w:sz w:val="20"/>
                <w:szCs w:val="20"/>
                <w:lang w:val="en-GB"/>
              </w:rPr>
              <w:t>Sample 1</w:t>
            </w:r>
          </w:p>
        </w:tc>
        <w:tc>
          <w:tcPr>
            <w:tcW w:w="2851" w:type="dxa"/>
            <w:tcBorders>
              <w:top w:val="single" w:sz="4" w:space="0" w:color="000000"/>
            </w:tcBorders>
            <w:vAlign w:val="center"/>
          </w:tcPr>
          <w:p w:rsidR="00294081" w:rsidRPr="00294081" w:rsidRDefault="00294081" w:rsidP="00A07E7A">
            <w:pPr>
              <w:keepNext/>
              <w:spacing w:after="0" w:line="240" w:lineRule="auto"/>
              <w:jc w:val="center"/>
              <w:rPr>
                <w:rFonts w:ascii="Times New Roman" w:hAnsi="Times New Roman" w:cs="Times New Roman"/>
                <w:sz w:val="20"/>
                <w:szCs w:val="20"/>
                <w:lang w:val="en-GB"/>
              </w:rPr>
            </w:pPr>
            <w:r w:rsidRPr="00294081">
              <w:rPr>
                <w:rFonts w:ascii="Times New Roman" w:hAnsi="Times New Roman" w:cs="Times New Roman"/>
                <w:sz w:val="20"/>
                <w:szCs w:val="20"/>
                <w:lang w:val="en-GB"/>
              </w:rPr>
              <w:t>&lt; LOQ</w:t>
            </w:r>
          </w:p>
        </w:tc>
      </w:tr>
      <w:tr w:rsidR="00294081" w:rsidRPr="00294081" w:rsidTr="00404E76">
        <w:trPr>
          <w:trHeight w:val="280"/>
          <w:jc w:val="center"/>
        </w:trPr>
        <w:tc>
          <w:tcPr>
            <w:tcW w:w="2404" w:type="dxa"/>
            <w:vAlign w:val="center"/>
          </w:tcPr>
          <w:p w:rsidR="00294081" w:rsidRPr="00294081" w:rsidRDefault="00294081" w:rsidP="00404E76">
            <w:pPr>
              <w:spacing w:after="0" w:line="240" w:lineRule="auto"/>
              <w:jc w:val="both"/>
              <w:rPr>
                <w:rFonts w:ascii="Times New Roman" w:hAnsi="Times New Roman" w:cs="Times New Roman"/>
                <w:sz w:val="20"/>
                <w:szCs w:val="20"/>
                <w:lang w:val="en-GB"/>
              </w:rPr>
            </w:pPr>
            <w:r w:rsidRPr="00294081">
              <w:rPr>
                <w:rFonts w:ascii="Times New Roman" w:hAnsi="Times New Roman" w:cs="Times New Roman"/>
                <w:sz w:val="20"/>
                <w:szCs w:val="20"/>
                <w:lang w:val="en-GB"/>
              </w:rPr>
              <w:t>Sample 2</w:t>
            </w:r>
          </w:p>
        </w:tc>
        <w:tc>
          <w:tcPr>
            <w:tcW w:w="2851" w:type="dxa"/>
            <w:vAlign w:val="center"/>
          </w:tcPr>
          <w:p w:rsidR="00294081" w:rsidRPr="00294081" w:rsidRDefault="00294081" w:rsidP="00A07E7A">
            <w:pPr>
              <w:keepNext/>
              <w:spacing w:after="0" w:line="240" w:lineRule="auto"/>
              <w:jc w:val="center"/>
              <w:rPr>
                <w:rFonts w:ascii="Times New Roman" w:hAnsi="Times New Roman" w:cs="Times New Roman"/>
                <w:sz w:val="20"/>
                <w:szCs w:val="20"/>
                <w:lang w:val="en-GB"/>
              </w:rPr>
            </w:pPr>
            <w:r w:rsidRPr="00294081">
              <w:rPr>
                <w:rFonts w:ascii="Times New Roman" w:hAnsi="Times New Roman" w:cs="Times New Roman"/>
                <w:sz w:val="20"/>
                <w:szCs w:val="20"/>
                <w:lang w:val="en-GB"/>
              </w:rPr>
              <w:t>0.05</w:t>
            </w:r>
          </w:p>
        </w:tc>
      </w:tr>
      <w:tr w:rsidR="00294081" w:rsidRPr="00294081" w:rsidTr="00404E76">
        <w:trPr>
          <w:trHeight w:val="299"/>
          <w:jc w:val="center"/>
        </w:trPr>
        <w:tc>
          <w:tcPr>
            <w:tcW w:w="2404" w:type="dxa"/>
            <w:vAlign w:val="center"/>
          </w:tcPr>
          <w:p w:rsidR="00294081" w:rsidRPr="00294081" w:rsidRDefault="00294081" w:rsidP="00404E76">
            <w:pPr>
              <w:spacing w:after="0" w:line="240" w:lineRule="auto"/>
              <w:jc w:val="both"/>
              <w:rPr>
                <w:rFonts w:ascii="Times New Roman" w:hAnsi="Times New Roman" w:cs="Times New Roman"/>
                <w:sz w:val="20"/>
                <w:szCs w:val="20"/>
                <w:lang w:val="en-GB"/>
              </w:rPr>
            </w:pPr>
            <w:r w:rsidRPr="00294081">
              <w:rPr>
                <w:rFonts w:ascii="Times New Roman" w:hAnsi="Times New Roman" w:cs="Times New Roman"/>
                <w:sz w:val="20"/>
                <w:szCs w:val="20"/>
                <w:lang w:val="en-GB"/>
              </w:rPr>
              <w:t>Sample 3</w:t>
            </w:r>
          </w:p>
        </w:tc>
        <w:tc>
          <w:tcPr>
            <w:tcW w:w="2851" w:type="dxa"/>
            <w:vAlign w:val="center"/>
          </w:tcPr>
          <w:p w:rsidR="00294081" w:rsidRPr="00294081" w:rsidRDefault="00294081" w:rsidP="00A07E7A">
            <w:pPr>
              <w:keepNext/>
              <w:spacing w:after="0" w:line="240" w:lineRule="auto"/>
              <w:jc w:val="center"/>
              <w:rPr>
                <w:rFonts w:ascii="Times New Roman" w:hAnsi="Times New Roman" w:cs="Times New Roman"/>
                <w:sz w:val="20"/>
                <w:szCs w:val="20"/>
                <w:lang w:val="en-GB"/>
              </w:rPr>
            </w:pPr>
            <w:r w:rsidRPr="00294081">
              <w:rPr>
                <w:rFonts w:ascii="Times New Roman" w:hAnsi="Times New Roman" w:cs="Times New Roman"/>
                <w:sz w:val="20"/>
                <w:szCs w:val="20"/>
                <w:lang w:val="en-GB"/>
              </w:rPr>
              <w:t>0.44</w:t>
            </w:r>
          </w:p>
        </w:tc>
      </w:tr>
      <w:tr w:rsidR="00294081" w:rsidRPr="00294081" w:rsidTr="00404E76">
        <w:trPr>
          <w:trHeight w:val="280"/>
          <w:jc w:val="center"/>
        </w:trPr>
        <w:tc>
          <w:tcPr>
            <w:tcW w:w="2404" w:type="dxa"/>
            <w:vAlign w:val="center"/>
          </w:tcPr>
          <w:p w:rsidR="00294081" w:rsidRPr="00294081" w:rsidRDefault="00294081" w:rsidP="00404E76">
            <w:pPr>
              <w:spacing w:after="0" w:line="240" w:lineRule="auto"/>
              <w:jc w:val="both"/>
              <w:rPr>
                <w:rFonts w:ascii="Times New Roman" w:hAnsi="Times New Roman" w:cs="Times New Roman"/>
                <w:sz w:val="20"/>
                <w:szCs w:val="20"/>
                <w:lang w:val="en-GB"/>
              </w:rPr>
            </w:pPr>
            <w:r w:rsidRPr="00294081">
              <w:rPr>
                <w:rFonts w:ascii="Times New Roman" w:hAnsi="Times New Roman" w:cs="Times New Roman"/>
                <w:sz w:val="20"/>
                <w:szCs w:val="20"/>
                <w:lang w:val="en-GB"/>
              </w:rPr>
              <w:t>Sample 4</w:t>
            </w:r>
          </w:p>
        </w:tc>
        <w:tc>
          <w:tcPr>
            <w:tcW w:w="2851" w:type="dxa"/>
            <w:vAlign w:val="center"/>
          </w:tcPr>
          <w:p w:rsidR="00294081" w:rsidRPr="00294081" w:rsidRDefault="00294081" w:rsidP="00A07E7A">
            <w:pPr>
              <w:keepNext/>
              <w:spacing w:after="0" w:line="240" w:lineRule="auto"/>
              <w:jc w:val="center"/>
              <w:rPr>
                <w:rFonts w:ascii="Times New Roman" w:hAnsi="Times New Roman" w:cs="Times New Roman"/>
                <w:sz w:val="20"/>
                <w:szCs w:val="20"/>
                <w:lang w:val="en-GB"/>
              </w:rPr>
            </w:pPr>
            <w:r w:rsidRPr="00294081">
              <w:rPr>
                <w:rFonts w:ascii="Times New Roman" w:hAnsi="Times New Roman" w:cs="Times New Roman"/>
                <w:sz w:val="20"/>
                <w:szCs w:val="20"/>
                <w:lang w:val="en-GB"/>
              </w:rPr>
              <w:t>0.16</w:t>
            </w:r>
          </w:p>
        </w:tc>
      </w:tr>
      <w:tr w:rsidR="00294081" w:rsidRPr="00294081" w:rsidTr="00404E76">
        <w:trPr>
          <w:trHeight w:val="280"/>
          <w:jc w:val="center"/>
        </w:trPr>
        <w:tc>
          <w:tcPr>
            <w:tcW w:w="2404" w:type="dxa"/>
            <w:vAlign w:val="center"/>
          </w:tcPr>
          <w:p w:rsidR="00294081" w:rsidRPr="00294081" w:rsidRDefault="00294081" w:rsidP="00404E76">
            <w:pPr>
              <w:spacing w:after="0" w:line="240" w:lineRule="auto"/>
              <w:jc w:val="both"/>
              <w:rPr>
                <w:rFonts w:ascii="Times New Roman" w:hAnsi="Times New Roman" w:cs="Times New Roman"/>
                <w:sz w:val="20"/>
                <w:szCs w:val="20"/>
                <w:lang w:val="en-GB"/>
              </w:rPr>
            </w:pPr>
            <w:r w:rsidRPr="00294081">
              <w:rPr>
                <w:rFonts w:ascii="Times New Roman" w:hAnsi="Times New Roman" w:cs="Times New Roman"/>
                <w:sz w:val="20"/>
                <w:szCs w:val="20"/>
                <w:lang w:val="en-GB"/>
              </w:rPr>
              <w:t>Sample 5</w:t>
            </w:r>
          </w:p>
        </w:tc>
        <w:tc>
          <w:tcPr>
            <w:tcW w:w="2851" w:type="dxa"/>
            <w:vAlign w:val="center"/>
          </w:tcPr>
          <w:p w:rsidR="00294081" w:rsidRPr="00294081" w:rsidRDefault="00294081" w:rsidP="00A07E7A">
            <w:pPr>
              <w:keepNext/>
              <w:spacing w:after="0" w:line="240" w:lineRule="auto"/>
              <w:jc w:val="center"/>
              <w:rPr>
                <w:rFonts w:ascii="Times New Roman" w:hAnsi="Times New Roman" w:cs="Times New Roman"/>
                <w:sz w:val="20"/>
                <w:szCs w:val="20"/>
                <w:lang w:val="en-GB"/>
              </w:rPr>
            </w:pPr>
            <w:r w:rsidRPr="00294081">
              <w:rPr>
                <w:rFonts w:ascii="Times New Roman" w:hAnsi="Times New Roman" w:cs="Times New Roman"/>
                <w:sz w:val="20"/>
                <w:szCs w:val="20"/>
                <w:lang w:val="en-GB"/>
              </w:rPr>
              <w:t>&lt; LOQ</w:t>
            </w:r>
          </w:p>
        </w:tc>
      </w:tr>
      <w:tr w:rsidR="00294081" w:rsidRPr="00294081" w:rsidTr="00404E76">
        <w:trPr>
          <w:trHeight w:val="299"/>
          <w:jc w:val="center"/>
        </w:trPr>
        <w:tc>
          <w:tcPr>
            <w:tcW w:w="2404" w:type="dxa"/>
            <w:vAlign w:val="center"/>
          </w:tcPr>
          <w:p w:rsidR="00294081" w:rsidRPr="00294081" w:rsidRDefault="00294081" w:rsidP="00404E76">
            <w:pPr>
              <w:spacing w:after="0" w:line="240" w:lineRule="auto"/>
              <w:jc w:val="both"/>
              <w:rPr>
                <w:rFonts w:ascii="Times New Roman" w:hAnsi="Times New Roman" w:cs="Times New Roman"/>
                <w:sz w:val="20"/>
                <w:szCs w:val="20"/>
                <w:lang w:val="en-GB"/>
              </w:rPr>
            </w:pPr>
            <w:r w:rsidRPr="00294081">
              <w:rPr>
                <w:rFonts w:ascii="Times New Roman" w:hAnsi="Times New Roman" w:cs="Times New Roman"/>
                <w:sz w:val="20"/>
                <w:szCs w:val="20"/>
                <w:lang w:val="en-GB"/>
              </w:rPr>
              <w:t>Sample 6</w:t>
            </w:r>
          </w:p>
        </w:tc>
        <w:tc>
          <w:tcPr>
            <w:tcW w:w="2851" w:type="dxa"/>
            <w:vAlign w:val="center"/>
          </w:tcPr>
          <w:p w:rsidR="00294081" w:rsidRPr="00294081" w:rsidRDefault="00294081" w:rsidP="00A07E7A">
            <w:pPr>
              <w:keepNext/>
              <w:spacing w:after="0" w:line="240" w:lineRule="auto"/>
              <w:jc w:val="center"/>
              <w:rPr>
                <w:rFonts w:ascii="Times New Roman" w:hAnsi="Times New Roman" w:cs="Times New Roman"/>
                <w:sz w:val="20"/>
                <w:szCs w:val="20"/>
                <w:lang w:val="en-GB"/>
              </w:rPr>
            </w:pPr>
            <w:r w:rsidRPr="00294081">
              <w:rPr>
                <w:rFonts w:ascii="Times New Roman" w:hAnsi="Times New Roman" w:cs="Times New Roman"/>
                <w:sz w:val="20"/>
                <w:szCs w:val="20"/>
                <w:lang w:val="en-GB"/>
              </w:rPr>
              <w:t>0.32</w:t>
            </w:r>
          </w:p>
        </w:tc>
      </w:tr>
      <w:tr w:rsidR="00294081" w:rsidRPr="00294081" w:rsidTr="00404E76">
        <w:trPr>
          <w:trHeight w:val="280"/>
          <w:jc w:val="center"/>
        </w:trPr>
        <w:tc>
          <w:tcPr>
            <w:tcW w:w="2404" w:type="dxa"/>
            <w:vAlign w:val="center"/>
          </w:tcPr>
          <w:p w:rsidR="00294081" w:rsidRPr="00294081" w:rsidRDefault="00294081" w:rsidP="00404E76">
            <w:pPr>
              <w:spacing w:after="0" w:line="240" w:lineRule="auto"/>
              <w:jc w:val="both"/>
              <w:rPr>
                <w:rFonts w:ascii="Times New Roman" w:hAnsi="Times New Roman" w:cs="Times New Roman"/>
                <w:sz w:val="20"/>
                <w:szCs w:val="20"/>
                <w:lang w:val="en-GB"/>
              </w:rPr>
            </w:pPr>
            <w:r w:rsidRPr="00294081">
              <w:rPr>
                <w:rFonts w:ascii="Times New Roman" w:hAnsi="Times New Roman" w:cs="Times New Roman"/>
                <w:sz w:val="20"/>
                <w:szCs w:val="20"/>
                <w:lang w:val="en-GB"/>
              </w:rPr>
              <w:t>Sample 7</w:t>
            </w:r>
          </w:p>
        </w:tc>
        <w:tc>
          <w:tcPr>
            <w:tcW w:w="2851" w:type="dxa"/>
            <w:vAlign w:val="center"/>
          </w:tcPr>
          <w:p w:rsidR="00294081" w:rsidRPr="00294081" w:rsidRDefault="00294081" w:rsidP="00A07E7A">
            <w:pPr>
              <w:keepNext/>
              <w:spacing w:after="0" w:line="240" w:lineRule="auto"/>
              <w:jc w:val="center"/>
              <w:rPr>
                <w:rFonts w:ascii="Times New Roman" w:hAnsi="Times New Roman" w:cs="Times New Roman"/>
                <w:sz w:val="20"/>
                <w:szCs w:val="20"/>
                <w:lang w:val="en-GB"/>
              </w:rPr>
            </w:pPr>
            <w:r w:rsidRPr="00294081">
              <w:rPr>
                <w:rFonts w:ascii="Times New Roman" w:hAnsi="Times New Roman" w:cs="Times New Roman"/>
                <w:sz w:val="20"/>
                <w:szCs w:val="20"/>
                <w:lang w:val="en-GB"/>
              </w:rPr>
              <w:t>0.15</w:t>
            </w:r>
          </w:p>
        </w:tc>
      </w:tr>
      <w:tr w:rsidR="00294081" w:rsidRPr="00294081" w:rsidTr="00404E76">
        <w:trPr>
          <w:trHeight w:val="280"/>
          <w:jc w:val="center"/>
        </w:trPr>
        <w:tc>
          <w:tcPr>
            <w:tcW w:w="2404" w:type="dxa"/>
            <w:vAlign w:val="center"/>
          </w:tcPr>
          <w:p w:rsidR="00294081" w:rsidRPr="00294081" w:rsidRDefault="00294081" w:rsidP="00404E76">
            <w:pPr>
              <w:spacing w:after="0" w:line="240" w:lineRule="auto"/>
              <w:jc w:val="both"/>
              <w:rPr>
                <w:rFonts w:ascii="Times New Roman" w:hAnsi="Times New Roman" w:cs="Times New Roman"/>
                <w:sz w:val="20"/>
                <w:szCs w:val="20"/>
                <w:lang w:val="en-GB"/>
              </w:rPr>
            </w:pPr>
            <w:r w:rsidRPr="00294081">
              <w:rPr>
                <w:rFonts w:ascii="Times New Roman" w:hAnsi="Times New Roman" w:cs="Times New Roman"/>
                <w:sz w:val="20"/>
                <w:szCs w:val="20"/>
                <w:lang w:val="en-GB"/>
              </w:rPr>
              <w:t>Sample 8</w:t>
            </w:r>
          </w:p>
        </w:tc>
        <w:tc>
          <w:tcPr>
            <w:tcW w:w="2851" w:type="dxa"/>
            <w:vAlign w:val="center"/>
          </w:tcPr>
          <w:p w:rsidR="00294081" w:rsidRPr="00294081" w:rsidRDefault="00294081" w:rsidP="00A07E7A">
            <w:pPr>
              <w:keepNext/>
              <w:spacing w:after="0" w:line="240" w:lineRule="auto"/>
              <w:jc w:val="center"/>
              <w:rPr>
                <w:rFonts w:ascii="Times New Roman" w:hAnsi="Times New Roman" w:cs="Times New Roman"/>
                <w:sz w:val="20"/>
                <w:szCs w:val="20"/>
                <w:lang w:val="en-GB"/>
              </w:rPr>
            </w:pPr>
            <w:r w:rsidRPr="00294081">
              <w:rPr>
                <w:rFonts w:ascii="Times New Roman" w:hAnsi="Times New Roman" w:cs="Times New Roman"/>
                <w:sz w:val="20"/>
                <w:szCs w:val="20"/>
                <w:lang w:val="en-GB"/>
              </w:rPr>
              <w:t>&lt; LOQ</w:t>
            </w:r>
          </w:p>
        </w:tc>
      </w:tr>
      <w:tr w:rsidR="00294081" w:rsidRPr="00294081" w:rsidTr="00404E76">
        <w:trPr>
          <w:trHeight w:val="299"/>
          <w:jc w:val="center"/>
        </w:trPr>
        <w:tc>
          <w:tcPr>
            <w:tcW w:w="2404" w:type="dxa"/>
            <w:vAlign w:val="center"/>
          </w:tcPr>
          <w:p w:rsidR="00294081" w:rsidRPr="00294081" w:rsidRDefault="00294081" w:rsidP="00404E76">
            <w:pPr>
              <w:spacing w:after="0" w:line="240" w:lineRule="auto"/>
              <w:jc w:val="both"/>
              <w:rPr>
                <w:rFonts w:ascii="Times New Roman" w:hAnsi="Times New Roman" w:cs="Times New Roman"/>
                <w:sz w:val="20"/>
                <w:szCs w:val="20"/>
                <w:lang w:val="en-GB"/>
              </w:rPr>
            </w:pPr>
            <w:r w:rsidRPr="00294081">
              <w:rPr>
                <w:rFonts w:ascii="Times New Roman" w:hAnsi="Times New Roman" w:cs="Times New Roman"/>
                <w:sz w:val="20"/>
                <w:szCs w:val="20"/>
                <w:lang w:val="en-GB"/>
              </w:rPr>
              <w:t>Sample 9</w:t>
            </w:r>
          </w:p>
        </w:tc>
        <w:tc>
          <w:tcPr>
            <w:tcW w:w="2851" w:type="dxa"/>
            <w:vAlign w:val="center"/>
          </w:tcPr>
          <w:p w:rsidR="00294081" w:rsidRPr="00294081" w:rsidRDefault="00294081" w:rsidP="00A07E7A">
            <w:pPr>
              <w:keepNext/>
              <w:spacing w:after="0" w:line="240" w:lineRule="auto"/>
              <w:jc w:val="center"/>
              <w:rPr>
                <w:rFonts w:ascii="Times New Roman" w:hAnsi="Times New Roman" w:cs="Times New Roman"/>
                <w:sz w:val="20"/>
                <w:szCs w:val="20"/>
                <w:lang w:val="en-GB"/>
              </w:rPr>
            </w:pPr>
            <w:r w:rsidRPr="00294081">
              <w:rPr>
                <w:rFonts w:ascii="Times New Roman" w:hAnsi="Times New Roman" w:cs="Times New Roman"/>
                <w:sz w:val="20"/>
                <w:szCs w:val="20"/>
                <w:lang w:val="en-GB"/>
              </w:rPr>
              <w:t>0.27</w:t>
            </w:r>
          </w:p>
        </w:tc>
      </w:tr>
      <w:tr w:rsidR="00294081" w:rsidRPr="00294081" w:rsidTr="00404E76">
        <w:trPr>
          <w:trHeight w:val="280"/>
          <w:jc w:val="center"/>
        </w:trPr>
        <w:tc>
          <w:tcPr>
            <w:tcW w:w="2404" w:type="dxa"/>
            <w:tcBorders>
              <w:bottom w:val="single" w:sz="4" w:space="0" w:color="000000"/>
            </w:tcBorders>
            <w:vAlign w:val="center"/>
          </w:tcPr>
          <w:p w:rsidR="00294081" w:rsidRPr="00294081" w:rsidRDefault="00294081" w:rsidP="00404E76">
            <w:pPr>
              <w:spacing w:after="0" w:line="240" w:lineRule="auto"/>
              <w:jc w:val="both"/>
              <w:rPr>
                <w:rFonts w:ascii="Times New Roman" w:hAnsi="Times New Roman" w:cs="Times New Roman"/>
                <w:sz w:val="20"/>
                <w:szCs w:val="20"/>
                <w:lang w:val="en-GB"/>
              </w:rPr>
            </w:pPr>
            <w:r w:rsidRPr="00294081">
              <w:rPr>
                <w:rFonts w:ascii="Times New Roman" w:hAnsi="Times New Roman" w:cs="Times New Roman"/>
                <w:sz w:val="20"/>
                <w:szCs w:val="20"/>
                <w:lang w:val="en-GB"/>
              </w:rPr>
              <w:t>Sample 10</w:t>
            </w:r>
          </w:p>
        </w:tc>
        <w:tc>
          <w:tcPr>
            <w:tcW w:w="2851" w:type="dxa"/>
            <w:tcBorders>
              <w:bottom w:val="single" w:sz="4" w:space="0" w:color="000000"/>
            </w:tcBorders>
            <w:vAlign w:val="center"/>
          </w:tcPr>
          <w:p w:rsidR="00294081" w:rsidRPr="00294081" w:rsidRDefault="00294081" w:rsidP="00A07E7A">
            <w:pPr>
              <w:keepNext/>
              <w:spacing w:after="0" w:line="240" w:lineRule="auto"/>
              <w:jc w:val="center"/>
              <w:rPr>
                <w:rFonts w:ascii="Times New Roman" w:hAnsi="Times New Roman" w:cs="Times New Roman"/>
                <w:sz w:val="20"/>
                <w:szCs w:val="20"/>
                <w:lang w:val="en-GB"/>
              </w:rPr>
            </w:pPr>
            <w:r w:rsidRPr="00294081">
              <w:rPr>
                <w:rFonts w:ascii="Times New Roman" w:hAnsi="Times New Roman" w:cs="Times New Roman"/>
                <w:sz w:val="20"/>
                <w:szCs w:val="20"/>
                <w:lang w:val="en-GB"/>
              </w:rPr>
              <w:t>&lt; LOQ</w:t>
            </w:r>
          </w:p>
        </w:tc>
      </w:tr>
    </w:tbl>
    <w:p w:rsidR="00294081" w:rsidRPr="00A07E7A" w:rsidRDefault="00294081" w:rsidP="00A07E7A">
      <w:pPr>
        <w:spacing w:before="60" w:after="0" w:line="240" w:lineRule="auto"/>
        <w:ind w:left="720" w:firstLine="720"/>
        <w:jc w:val="both"/>
        <w:rPr>
          <w:rFonts w:ascii="Times New Roman" w:hAnsi="Times New Roman"/>
          <w:sz w:val="18"/>
          <w:szCs w:val="18"/>
        </w:rPr>
      </w:pPr>
      <w:r w:rsidRPr="00294081">
        <w:rPr>
          <w:rFonts w:ascii="Times New Roman" w:hAnsi="Times New Roman"/>
          <w:sz w:val="20"/>
          <w:szCs w:val="20"/>
        </w:rPr>
        <w:t xml:space="preserve">        </w:t>
      </w:r>
      <w:r w:rsidR="00A07E7A">
        <w:rPr>
          <w:rFonts w:ascii="Times New Roman" w:hAnsi="Times New Roman"/>
          <w:sz w:val="20"/>
          <w:szCs w:val="20"/>
        </w:rPr>
        <w:t xml:space="preserve">     </w:t>
      </w:r>
      <w:r w:rsidRPr="00294081">
        <w:rPr>
          <w:rFonts w:ascii="Times New Roman" w:hAnsi="Times New Roman"/>
          <w:sz w:val="20"/>
          <w:szCs w:val="20"/>
        </w:rPr>
        <w:t xml:space="preserve"> </w:t>
      </w:r>
      <w:r w:rsidRPr="00A07E7A">
        <w:rPr>
          <w:rFonts w:ascii="Times New Roman" w:hAnsi="Times New Roman"/>
          <w:sz w:val="18"/>
          <w:szCs w:val="18"/>
        </w:rPr>
        <w:t xml:space="preserve">&lt; LOQ = less than limit of quantification </w:t>
      </w:r>
    </w:p>
    <w:p w:rsidR="00294081" w:rsidRPr="00294081" w:rsidRDefault="00294081" w:rsidP="00294081">
      <w:pPr>
        <w:spacing w:after="0" w:line="240" w:lineRule="auto"/>
        <w:jc w:val="both"/>
        <w:rPr>
          <w:rFonts w:ascii="Times New Roman" w:hAnsi="Times New Roman"/>
          <w:b/>
          <w:sz w:val="20"/>
          <w:szCs w:val="20"/>
        </w:rPr>
      </w:pPr>
      <w:r w:rsidRPr="00294081">
        <w:rPr>
          <w:rFonts w:ascii="Times New Roman" w:hAnsi="Times New Roman"/>
          <w:b/>
          <w:sz w:val="20"/>
          <w:szCs w:val="20"/>
        </w:rPr>
        <w:lastRenderedPageBreak/>
        <w:t>Comparison with other reported methods</w:t>
      </w:r>
    </w:p>
    <w:p w:rsidR="00294081" w:rsidRPr="00294081" w:rsidRDefault="00294081" w:rsidP="00294081">
      <w:pPr>
        <w:spacing w:after="0" w:line="240" w:lineRule="auto"/>
        <w:jc w:val="both"/>
        <w:rPr>
          <w:rFonts w:ascii="Times New Roman" w:hAnsi="Times New Roman"/>
          <w:sz w:val="20"/>
          <w:szCs w:val="20"/>
        </w:rPr>
      </w:pPr>
      <w:r w:rsidRPr="00294081">
        <w:rPr>
          <w:rFonts w:ascii="Times New Roman" w:hAnsi="Times New Roman"/>
          <w:sz w:val="20"/>
          <w:szCs w:val="20"/>
        </w:rPr>
        <w:t>The analytical performance of the present method was compared with those reported in the literature for other methods, including SPE-UV spectrophotometry, SPE-HPLC, SPE-fluorescence spectrophotometry, liquid-liquid extraction-HPLC, and DSPE-HPLC (Table 5). Overall, the proposed VASM-DLPME produced results comparable to other methods in terms of LODs. It also is superior to the others because it uses SUPRAS that form micelle aggregates, and therefore it does not require the use of a dispersant solvent. Additionally, no heating is required during the extraction process, which greatly simplifies the operation.</w:t>
      </w:r>
    </w:p>
    <w:p w:rsidR="00294081" w:rsidRPr="00294081" w:rsidRDefault="00294081" w:rsidP="00A07E7A">
      <w:pPr>
        <w:spacing w:after="120" w:line="240" w:lineRule="auto"/>
        <w:jc w:val="both"/>
        <w:rPr>
          <w:rFonts w:ascii="Times New Roman" w:hAnsi="Times New Roman"/>
          <w:sz w:val="20"/>
          <w:szCs w:val="20"/>
        </w:rPr>
      </w:pPr>
    </w:p>
    <w:p w:rsidR="00294081" w:rsidRPr="00294081" w:rsidRDefault="00294081" w:rsidP="00A07E7A">
      <w:pPr>
        <w:spacing w:after="120" w:line="240" w:lineRule="auto"/>
        <w:jc w:val="center"/>
        <w:rPr>
          <w:rFonts w:ascii="Times New Roman" w:hAnsi="Times New Roman"/>
          <w:sz w:val="20"/>
          <w:szCs w:val="20"/>
        </w:rPr>
      </w:pPr>
      <w:r w:rsidRPr="00294081">
        <w:rPr>
          <w:rFonts w:ascii="Times New Roman" w:hAnsi="Times New Roman"/>
          <w:sz w:val="20"/>
          <w:szCs w:val="20"/>
        </w:rPr>
        <w:t xml:space="preserve">Table 5. </w:t>
      </w:r>
      <w:r w:rsidR="00A07E7A">
        <w:rPr>
          <w:rFonts w:ascii="Times New Roman" w:hAnsi="Times New Roman"/>
          <w:sz w:val="20"/>
          <w:szCs w:val="20"/>
        </w:rPr>
        <w:t xml:space="preserve"> </w:t>
      </w:r>
      <w:r w:rsidRPr="00294081">
        <w:rPr>
          <w:rFonts w:ascii="Times New Roman" w:hAnsi="Times New Roman"/>
          <w:sz w:val="20"/>
          <w:szCs w:val="20"/>
        </w:rPr>
        <w:t>Comparison with results in the literature for RhB determination</w:t>
      </w:r>
    </w:p>
    <w:tbl>
      <w:tblPr>
        <w:tblStyle w:val="CommentText"/>
        <w:tblW w:w="0" w:type="auto"/>
        <w:jc w:val="center"/>
        <w:tblLook w:val="04A0" w:firstRow="1" w:lastRow="0" w:firstColumn="1" w:lastColumn="0" w:noHBand="0" w:noVBand="1"/>
      </w:tblPr>
      <w:tblGrid>
        <w:gridCol w:w="2228"/>
        <w:gridCol w:w="1772"/>
        <w:gridCol w:w="1389"/>
        <w:gridCol w:w="1222"/>
      </w:tblGrid>
      <w:tr w:rsidR="00294081" w:rsidRPr="00294081" w:rsidTr="00A07E7A">
        <w:trPr>
          <w:trHeight w:val="325"/>
          <w:jc w:val="center"/>
        </w:trPr>
        <w:tc>
          <w:tcPr>
            <w:tcW w:w="0" w:type="auto"/>
            <w:tcBorders>
              <w:top w:val="single" w:sz="4" w:space="0" w:color="auto"/>
              <w:bottom w:val="single" w:sz="4" w:space="0" w:color="auto"/>
            </w:tcBorders>
          </w:tcPr>
          <w:p w:rsidR="00294081" w:rsidRPr="00294081" w:rsidRDefault="00294081" w:rsidP="00A07E7A">
            <w:pPr>
              <w:spacing w:before="120" w:after="0" w:line="240" w:lineRule="auto"/>
              <w:rPr>
                <w:rFonts w:ascii="Times New Roman" w:hAnsi="Times New Roman" w:cs="Times New Roman"/>
                <w:b/>
                <w:sz w:val="20"/>
                <w:szCs w:val="20"/>
              </w:rPr>
            </w:pPr>
            <w:r w:rsidRPr="00294081">
              <w:rPr>
                <w:rFonts w:ascii="Times New Roman" w:hAnsi="Times New Roman" w:cs="Times New Roman"/>
                <w:b/>
                <w:sz w:val="20"/>
                <w:szCs w:val="20"/>
              </w:rPr>
              <w:t>Method</w:t>
            </w:r>
          </w:p>
        </w:tc>
        <w:tc>
          <w:tcPr>
            <w:tcW w:w="0" w:type="auto"/>
            <w:tcBorders>
              <w:top w:val="single" w:sz="4" w:space="0" w:color="auto"/>
              <w:bottom w:val="single" w:sz="4" w:space="0" w:color="auto"/>
            </w:tcBorders>
          </w:tcPr>
          <w:p w:rsidR="00294081" w:rsidRPr="00294081" w:rsidRDefault="00294081" w:rsidP="00A07E7A">
            <w:pPr>
              <w:spacing w:before="60" w:after="0" w:line="240" w:lineRule="auto"/>
              <w:jc w:val="center"/>
              <w:rPr>
                <w:rFonts w:ascii="Times New Roman" w:hAnsi="Times New Roman" w:cs="Times New Roman"/>
                <w:b/>
                <w:sz w:val="20"/>
                <w:szCs w:val="20"/>
              </w:rPr>
            </w:pPr>
            <w:r w:rsidRPr="00294081">
              <w:rPr>
                <w:rFonts w:ascii="Times New Roman" w:hAnsi="Times New Roman" w:cs="Times New Roman"/>
                <w:b/>
                <w:sz w:val="20"/>
                <w:szCs w:val="20"/>
              </w:rPr>
              <w:t>Limit of Detection</w:t>
            </w:r>
          </w:p>
          <w:p w:rsidR="00294081" w:rsidRPr="00294081" w:rsidRDefault="00294081" w:rsidP="00A07E7A">
            <w:pPr>
              <w:spacing w:after="0" w:line="240" w:lineRule="auto"/>
              <w:jc w:val="center"/>
              <w:rPr>
                <w:rFonts w:ascii="Times New Roman" w:hAnsi="Times New Roman" w:cs="Times New Roman"/>
                <w:b/>
                <w:sz w:val="20"/>
                <w:szCs w:val="20"/>
              </w:rPr>
            </w:pPr>
            <w:r w:rsidRPr="00294081">
              <w:rPr>
                <w:rFonts w:ascii="Times New Roman" w:hAnsi="Times New Roman" w:cs="Times New Roman"/>
                <w:b/>
                <w:sz w:val="20"/>
                <w:szCs w:val="20"/>
              </w:rPr>
              <w:t>(mg kg</w:t>
            </w:r>
            <w:r w:rsidRPr="00294081">
              <w:rPr>
                <w:rFonts w:ascii="Times New Roman" w:hAnsi="Times New Roman" w:cs="Times New Roman"/>
                <w:sz w:val="20"/>
                <w:szCs w:val="20"/>
                <w:vertAlign w:val="superscript"/>
              </w:rPr>
              <w:t>–</w:t>
            </w:r>
            <w:r w:rsidRPr="00294081">
              <w:rPr>
                <w:rFonts w:ascii="Times New Roman" w:hAnsi="Times New Roman" w:cs="Times New Roman"/>
                <w:b/>
                <w:sz w:val="20"/>
                <w:szCs w:val="20"/>
                <w:vertAlign w:val="superscript"/>
              </w:rPr>
              <w:t>1</w:t>
            </w:r>
            <w:r w:rsidRPr="00294081">
              <w:rPr>
                <w:rFonts w:ascii="Times New Roman" w:hAnsi="Times New Roman" w:cs="Times New Roman"/>
                <w:b/>
                <w:sz w:val="20"/>
                <w:szCs w:val="20"/>
              </w:rPr>
              <w:t>)</w:t>
            </w:r>
          </w:p>
        </w:tc>
        <w:tc>
          <w:tcPr>
            <w:tcW w:w="0" w:type="auto"/>
            <w:tcBorders>
              <w:top w:val="single" w:sz="4" w:space="0" w:color="auto"/>
              <w:bottom w:val="single" w:sz="4" w:space="0" w:color="auto"/>
            </w:tcBorders>
          </w:tcPr>
          <w:p w:rsidR="00294081" w:rsidRPr="00294081" w:rsidRDefault="00294081" w:rsidP="00A07E7A">
            <w:pPr>
              <w:spacing w:before="60" w:after="0" w:line="240" w:lineRule="auto"/>
              <w:jc w:val="center"/>
              <w:rPr>
                <w:rFonts w:ascii="Times New Roman" w:hAnsi="Times New Roman" w:cs="Times New Roman"/>
                <w:b/>
                <w:sz w:val="20"/>
                <w:szCs w:val="20"/>
              </w:rPr>
            </w:pPr>
            <w:r w:rsidRPr="00294081">
              <w:rPr>
                <w:rFonts w:ascii="Times New Roman" w:hAnsi="Times New Roman" w:cs="Times New Roman"/>
                <w:b/>
                <w:sz w:val="20"/>
                <w:szCs w:val="20"/>
              </w:rPr>
              <w:t>Linear Range</w:t>
            </w:r>
          </w:p>
          <w:p w:rsidR="00294081" w:rsidRPr="00294081" w:rsidRDefault="00294081" w:rsidP="00A07E7A">
            <w:pPr>
              <w:spacing w:after="60" w:line="240" w:lineRule="auto"/>
              <w:jc w:val="center"/>
              <w:rPr>
                <w:rFonts w:ascii="Times New Roman" w:hAnsi="Times New Roman" w:cs="Times New Roman"/>
                <w:b/>
                <w:sz w:val="20"/>
                <w:szCs w:val="20"/>
              </w:rPr>
            </w:pPr>
            <w:r w:rsidRPr="00294081">
              <w:rPr>
                <w:rFonts w:ascii="Times New Roman" w:hAnsi="Times New Roman" w:cs="Times New Roman"/>
                <w:b/>
                <w:sz w:val="20"/>
                <w:szCs w:val="20"/>
              </w:rPr>
              <w:t>(mg kg</w:t>
            </w:r>
            <w:r w:rsidRPr="00294081">
              <w:rPr>
                <w:rFonts w:ascii="Times New Roman" w:hAnsi="Times New Roman" w:cs="Times New Roman"/>
                <w:sz w:val="20"/>
                <w:szCs w:val="20"/>
                <w:vertAlign w:val="superscript"/>
              </w:rPr>
              <w:t>–</w:t>
            </w:r>
            <w:r w:rsidRPr="00294081">
              <w:rPr>
                <w:rFonts w:ascii="Times New Roman" w:hAnsi="Times New Roman" w:cs="Times New Roman"/>
                <w:b/>
                <w:sz w:val="20"/>
                <w:szCs w:val="20"/>
                <w:vertAlign w:val="superscript"/>
              </w:rPr>
              <w:t>1</w:t>
            </w:r>
            <w:r w:rsidRPr="00294081">
              <w:rPr>
                <w:rFonts w:ascii="Times New Roman" w:hAnsi="Times New Roman" w:cs="Times New Roman"/>
                <w:b/>
                <w:sz w:val="20"/>
                <w:szCs w:val="20"/>
              </w:rPr>
              <w:t>)</w:t>
            </w:r>
          </w:p>
        </w:tc>
        <w:tc>
          <w:tcPr>
            <w:tcW w:w="0" w:type="auto"/>
            <w:tcBorders>
              <w:top w:val="single" w:sz="4" w:space="0" w:color="auto"/>
              <w:bottom w:val="single" w:sz="4" w:space="0" w:color="auto"/>
            </w:tcBorders>
          </w:tcPr>
          <w:p w:rsidR="00294081" w:rsidRPr="00294081" w:rsidRDefault="00294081" w:rsidP="00A07E7A">
            <w:pPr>
              <w:spacing w:before="60" w:after="0" w:line="240" w:lineRule="auto"/>
              <w:rPr>
                <w:rFonts w:ascii="Times New Roman" w:hAnsi="Times New Roman" w:cs="Times New Roman"/>
                <w:b/>
                <w:sz w:val="20"/>
                <w:szCs w:val="20"/>
              </w:rPr>
            </w:pPr>
            <w:r w:rsidRPr="00294081">
              <w:rPr>
                <w:rFonts w:ascii="Times New Roman" w:hAnsi="Times New Roman" w:cs="Times New Roman"/>
                <w:b/>
                <w:sz w:val="20"/>
                <w:szCs w:val="20"/>
              </w:rPr>
              <w:t>Reference</w:t>
            </w:r>
          </w:p>
        </w:tc>
      </w:tr>
      <w:tr w:rsidR="00294081" w:rsidRPr="00294081" w:rsidTr="00A07E7A">
        <w:trPr>
          <w:trHeight w:val="239"/>
          <w:jc w:val="center"/>
        </w:trPr>
        <w:tc>
          <w:tcPr>
            <w:tcW w:w="0" w:type="auto"/>
            <w:tcBorders>
              <w:top w:val="single" w:sz="4" w:space="0" w:color="auto"/>
            </w:tcBorders>
          </w:tcPr>
          <w:p w:rsidR="00294081" w:rsidRPr="00294081" w:rsidRDefault="00294081" w:rsidP="00A07E7A">
            <w:pPr>
              <w:spacing w:before="60" w:after="0" w:line="240" w:lineRule="auto"/>
              <w:rPr>
                <w:rFonts w:ascii="Times New Roman" w:hAnsi="Times New Roman" w:cs="Times New Roman"/>
                <w:sz w:val="20"/>
                <w:szCs w:val="20"/>
              </w:rPr>
            </w:pPr>
            <w:r w:rsidRPr="00294081">
              <w:rPr>
                <w:rFonts w:ascii="Times New Roman" w:hAnsi="Times New Roman" w:cs="Times New Roman"/>
                <w:sz w:val="20"/>
                <w:szCs w:val="20"/>
              </w:rPr>
              <w:t>MIP-SPE-UV-Vis</w:t>
            </w:r>
          </w:p>
        </w:tc>
        <w:tc>
          <w:tcPr>
            <w:tcW w:w="0" w:type="auto"/>
            <w:tcBorders>
              <w:top w:val="single" w:sz="4" w:space="0" w:color="auto"/>
            </w:tcBorders>
          </w:tcPr>
          <w:p w:rsidR="00294081" w:rsidRPr="00294081" w:rsidRDefault="00294081" w:rsidP="00A07E7A">
            <w:pPr>
              <w:spacing w:before="60" w:after="0" w:line="240" w:lineRule="auto"/>
              <w:jc w:val="center"/>
              <w:rPr>
                <w:rFonts w:ascii="Times New Roman" w:hAnsi="Times New Roman" w:cs="Times New Roman"/>
                <w:sz w:val="20"/>
                <w:szCs w:val="20"/>
                <w:vertAlign w:val="superscript"/>
              </w:rPr>
            </w:pPr>
            <w:r w:rsidRPr="00294081">
              <w:rPr>
                <w:rFonts w:ascii="Times New Roman" w:hAnsi="Times New Roman" w:cs="Times New Roman"/>
                <w:sz w:val="20"/>
                <w:szCs w:val="20"/>
              </w:rPr>
              <w:t>2.57</w:t>
            </w:r>
          </w:p>
        </w:tc>
        <w:tc>
          <w:tcPr>
            <w:tcW w:w="0" w:type="auto"/>
            <w:tcBorders>
              <w:top w:val="single" w:sz="4" w:space="0" w:color="auto"/>
            </w:tcBorders>
          </w:tcPr>
          <w:p w:rsidR="00294081" w:rsidRPr="00294081" w:rsidRDefault="00294081" w:rsidP="00A07E7A">
            <w:pPr>
              <w:spacing w:before="60" w:after="0" w:line="240" w:lineRule="auto"/>
              <w:jc w:val="center"/>
              <w:rPr>
                <w:rFonts w:ascii="Times New Roman" w:hAnsi="Times New Roman" w:cs="Times New Roman"/>
                <w:sz w:val="20"/>
                <w:szCs w:val="20"/>
                <w:vertAlign w:val="superscript"/>
              </w:rPr>
            </w:pPr>
            <w:r w:rsidRPr="00294081">
              <w:rPr>
                <w:rFonts w:ascii="Times New Roman" w:hAnsi="Times New Roman" w:cs="Times New Roman"/>
                <w:sz w:val="20"/>
                <w:szCs w:val="20"/>
              </w:rPr>
              <w:t>0-12</w:t>
            </w:r>
          </w:p>
        </w:tc>
        <w:tc>
          <w:tcPr>
            <w:tcW w:w="0" w:type="auto"/>
            <w:tcBorders>
              <w:top w:val="single" w:sz="4" w:space="0" w:color="auto"/>
            </w:tcBorders>
          </w:tcPr>
          <w:p w:rsidR="00294081" w:rsidRPr="00294081" w:rsidRDefault="00294081" w:rsidP="00A07E7A">
            <w:pPr>
              <w:spacing w:before="60" w:after="0" w:line="240" w:lineRule="auto"/>
              <w:rPr>
                <w:rFonts w:ascii="Times New Roman" w:hAnsi="Times New Roman" w:cs="Times New Roman"/>
                <w:sz w:val="20"/>
                <w:szCs w:val="20"/>
                <w:vertAlign w:val="superscript"/>
              </w:rPr>
            </w:pPr>
            <w:r w:rsidRPr="00294081">
              <w:rPr>
                <w:rFonts w:ascii="Times New Roman" w:hAnsi="Times New Roman" w:cs="Times New Roman"/>
                <w:sz w:val="20"/>
                <w:szCs w:val="20"/>
              </w:rPr>
              <w:t>[9]</w:t>
            </w:r>
          </w:p>
        </w:tc>
      </w:tr>
      <w:tr w:rsidR="00294081" w:rsidRPr="00294081" w:rsidTr="00404E76">
        <w:trPr>
          <w:trHeight w:val="239"/>
          <w:jc w:val="center"/>
        </w:trPr>
        <w:tc>
          <w:tcPr>
            <w:tcW w:w="0" w:type="auto"/>
          </w:tcPr>
          <w:p w:rsidR="00294081" w:rsidRPr="00294081" w:rsidRDefault="00294081" w:rsidP="00A07E7A">
            <w:pPr>
              <w:spacing w:before="60" w:after="0" w:line="240" w:lineRule="auto"/>
              <w:rPr>
                <w:rFonts w:ascii="Times New Roman" w:hAnsi="Times New Roman" w:cs="Times New Roman"/>
                <w:sz w:val="20"/>
                <w:szCs w:val="20"/>
              </w:rPr>
            </w:pPr>
            <w:r w:rsidRPr="00294081">
              <w:rPr>
                <w:rFonts w:ascii="Times New Roman" w:hAnsi="Times New Roman" w:cs="Times New Roman"/>
                <w:sz w:val="20"/>
                <w:szCs w:val="20"/>
              </w:rPr>
              <w:t>SPE-UV</w:t>
            </w:r>
          </w:p>
        </w:tc>
        <w:tc>
          <w:tcPr>
            <w:tcW w:w="0" w:type="auto"/>
          </w:tcPr>
          <w:p w:rsidR="00294081" w:rsidRPr="00294081" w:rsidRDefault="00294081" w:rsidP="00A07E7A">
            <w:pPr>
              <w:spacing w:before="60" w:after="0" w:line="240" w:lineRule="auto"/>
              <w:jc w:val="center"/>
              <w:rPr>
                <w:rFonts w:ascii="Times New Roman" w:hAnsi="Times New Roman" w:cs="Times New Roman"/>
                <w:sz w:val="20"/>
                <w:szCs w:val="20"/>
                <w:vertAlign w:val="superscript"/>
              </w:rPr>
            </w:pPr>
            <w:r w:rsidRPr="00294081">
              <w:rPr>
                <w:rFonts w:ascii="Times New Roman" w:hAnsi="Times New Roman" w:cs="Times New Roman"/>
                <w:sz w:val="20"/>
                <w:szCs w:val="20"/>
              </w:rPr>
              <w:t>0.00746</w:t>
            </w:r>
          </w:p>
        </w:tc>
        <w:tc>
          <w:tcPr>
            <w:tcW w:w="0" w:type="auto"/>
          </w:tcPr>
          <w:p w:rsidR="00294081" w:rsidRPr="00294081" w:rsidRDefault="00294081" w:rsidP="00A07E7A">
            <w:pPr>
              <w:spacing w:before="60" w:after="0" w:line="240" w:lineRule="auto"/>
              <w:jc w:val="center"/>
              <w:rPr>
                <w:rFonts w:ascii="Times New Roman" w:hAnsi="Times New Roman" w:cs="Times New Roman"/>
                <w:sz w:val="20"/>
                <w:szCs w:val="20"/>
                <w:vertAlign w:val="superscript"/>
              </w:rPr>
            </w:pPr>
            <w:r w:rsidRPr="00294081">
              <w:rPr>
                <w:rFonts w:ascii="Times New Roman" w:hAnsi="Times New Roman" w:cs="Times New Roman"/>
                <w:sz w:val="20"/>
                <w:szCs w:val="20"/>
              </w:rPr>
              <w:t>0.02–51</w:t>
            </w:r>
          </w:p>
        </w:tc>
        <w:tc>
          <w:tcPr>
            <w:tcW w:w="0" w:type="auto"/>
          </w:tcPr>
          <w:p w:rsidR="00294081" w:rsidRPr="00294081" w:rsidRDefault="00294081" w:rsidP="00A07E7A">
            <w:pPr>
              <w:spacing w:before="60" w:after="0" w:line="240" w:lineRule="auto"/>
              <w:rPr>
                <w:rFonts w:ascii="Times New Roman" w:hAnsi="Times New Roman" w:cs="Times New Roman"/>
                <w:sz w:val="20"/>
                <w:szCs w:val="20"/>
                <w:vertAlign w:val="superscript"/>
              </w:rPr>
            </w:pPr>
            <w:r w:rsidRPr="00294081">
              <w:rPr>
                <w:rFonts w:ascii="Times New Roman" w:hAnsi="Times New Roman" w:cs="Times New Roman"/>
                <w:sz w:val="20"/>
                <w:szCs w:val="20"/>
              </w:rPr>
              <w:t>[29]</w:t>
            </w:r>
          </w:p>
        </w:tc>
      </w:tr>
      <w:tr w:rsidR="00294081" w:rsidRPr="00294081" w:rsidTr="00404E76">
        <w:trPr>
          <w:trHeight w:val="239"/>
          <w:jc w:val="center"/>
        </w:trPr>
        <w:tc>
          <w:tcPr>
            <w:tcW w:w="0" w:type="auto"/>
          </w:tcPr>
          <w:p w:rsidR="00294081" w:rsidRPr="00294081" w:rsidRDefault="00294081" w:rsidP="00A07E7A">
            <w:pPr>
              <w:spacing w:before="60" w:after="0" w:line="240" w:lineRule="auto"/>
              <w:rPr>
                <w:rFonts w:ascii="Times New Roman" w:hAnsi="Times New Roman" w:cs="Times New Roman"/>
                <w:sz w:val="20"/>
                <w:szCs w:val="20"/>
              </w:rPr>
            </w:pPr>
            <w:r w:rsidRPr="00294081">
              <w:rPr>
                <w:rFonts w:ascii="Times New Roman" w:hAnsi="Times New Roman" w:cs="Times New Roman"/>
                <w:sz w:val="20"/>
                <w:szCs w:val="20"/>
              </w:rPr>
              <w:t>HPLC-CL</w:t>
            </w:r>
          </w:p>
        </w:tc>
        <w:tc>
          <w:tcPr>
            <w:tcW w:w="0" w:type="auto"/>
          </w:tcPr>
          <w:p w:rsidR="00294081" w:rsidRPr="00294081" w:rsidRDefault="00294081" w:rsidP="00A07E7A">
            <w:pPr>
              <w:spacing w:before="60" w:after="0" w:line="240" w:lineRule="auto"/>
              <w:jc w:val="center"/>
              <w:rPr>
                <w:rFonts w:ascii="Times New Roman" w:hAnsi="Times New Roman" w:cs="Times New Roman"/>
                <w:sz w:val="20"/>
                <w:szCs w:val="20"/>
              </w:rPr>
            </w:pPr>
            <w:r w:rsidRPr="00294081">
              <w:rPr>
                <w:rFonts w:ascii="Times New Roman" w:hAnsi="Times New Roman" w:cs="Times New Roman"/>
                <w:sz w:val="20"/>
                <w:szCs w:val="20"/>
              </w:rPr>
              <w:t>0.0078</w:t>
            </w:r>
          </w:p>
        </w:tc>
        <w:tc>
          <w:tcPr>
            <w:tcW w:w="0" w:type="auto"/>
          </w:tcPr>
          <w:p w:rsidR="00294081" w:rsidRPr="00294081" w:rsidRDefault="00294081" w:rsidP="00A07E7A">
            <w:pPr>
              <w:spacing w:before="60" w:after="0" w:line="240" w:lineRule="auto"/>
              <w:jc w:val="center"/>
              <w:rPr>
                <w:rFonts w:ascii="Times New Roman" w:hAnsi="Times New Roman" w:cs="Times New Roman"/>
                <w:sz w:val="20"/>
                <w:szCs w:val="20"/>
                <w:vertAlign w:val="superscript"/>
              </w:rPr>
            </w:pPr>
            <w:r w:rsidRPr="00294081">
              <w:rPr>
                <w:rFonts w:ascii="Times New Roman" w:hAnsi="Times New Roman" w:cs="Times New Roman"/>
                <w:sz w:val="20"/>
                <w:szCs w:val="20"/>
              </w:rPr>
              <w:t>0.02–1.4</w:t>
            </w:r>
          </w:p>
        </w:tc>
        <w:tc>
          <w:tcPr>
            <w:tcW w:w="0" w:type="auto"/>
          </w:tcPr>
          <w:p w:rsidR="00294081" w:rsidRPr="00294081" w:rsidRDefault="00294081" w:rsidP="00A07E7A">
            <w:pPr>
              <w:spacing w:before="60" w:after="0" w:line="240" w:lineRule="auto"/>
              <w:rPr>
                <w:rFonts w:ascii="Times New Roman" w:hAnsi="Times New Roman" w:cs="Times New Roman"/>
                <w:sz w:val="20"/>
                <w:szCs w:val="20"/>
                <w:vertAlign w:val="superscript"/>
              </w:rPr>
            </w:pPr>
            <w:r w:rsidRPr="00294081">
              <w:rPr>
                <w:rFonts w:ascii="Times New Roman" w:hAnsi="Times New Roman" w:cs="Times New Roman"/>
                <w:sz w:val="20"/>
                <w:szCs w:val="20"/>
              </w:rPr>
              <w:t>[30]</w:t>
            </w:r>
          </w:p>
        </w:tc>
      </w:tr>
      <w:tr w:rsidR="00294081" w:rsidRPr="00294081" w:rsidTr="00A07E7A">
        <w:trPr>
          <w:trHeight w:val="139"/>
          <w:jc w:val="center"/>
        </w:trPr>
        <w:tc>
          <w:tcPr>
            <w:tcW w:w="0" w:type="auto"/>
          </w:tcPr>
          <w:p w:rsidR="00294081" w:rsidRPr="00294081" w:rsidRDefault="00294081" w:rsidP="00A07E7A">
            <w:pPr>
              <w:spacing w:before="60" w:after="0" w:line="240" w:lineRule="auto"/>
              <w:rPr>
                <w:rFonts w:ascii="Times New Roman" w:hAnsi="Times New Roman" w:cs="Times New Roman"/>
                <w:sz w:val="20"/>
                <w:szCs w:val="20"/>
              </w:rPr>
            </w:pPr>
            <w:r w:rsidRPr="00294081">
              <w:rPr>
                <w:rFonts w:ascii="Times New Roman" w:hAnsi="Times New Roman" w:cs="Times New Roman"/>
                <w:sz w:val="20"/>
                <w:szCs w:val="20"/>
              </w:rPr>
              <w:t>Fe</w:t>
            </w:r>
            <w:r w:rsidRPr="00294081">
              <w:rPr>
                <w:rFonts w:ascii="Times New Roman" w:hAnsi="Times New Roman" w:cs="Times New Roman"/>
                <w:sz w:val="20"/>
                <w:szCs w:val="20"/>
                <w:vertAlign w:val="subscript"/>
              </w:rPr>
              <w:t>3</w:t>
            </w:r>
            <w:r w:rsidRPr="00294081">
              <w:rPr>
                <w:rFonts w:ascii="Times New Roman" w:hAnsi="Times New Roman" w:cs="Times New Roman"/>
                <w:sz w:val="20"/>
                <w:szCs w:val="20"/>
              </w:rPr>
              <w:t>O</w:t>
            </w:r>
            <w:r w:rsidRPr="00294081">
              <w:rPr>
                <w:rFonts w:ascii="Times New Roman" w:hAnsi="Times New Roman" w:cs="Times New Roman"/>
                <w:sz w:val="20"/>
                <w:szCs w:val="20"/>
                <w:vertAlign w:val="subscript"/>
              </w:rPr>
              <w:t>4</w:t>
            </w:r>
            <w:r w:rsidRPr="00294081">
              <w:rPr>
                <w:rFonts w:ascii="Times New Roman" w:hAnsi="Times New Roman" w:cs="Times New Roman"/>
                <w:sz w:val="20"/>
                <w:szCs w:val="20"/>
              </w:rPr>
              <w:t>@ILs-β-CDCP</w:t>
            </w:r>
          </w:p>
        </w:tc>
        <w:tc>
          <w:tcPr>
            <w:tcW w:w="0" w:type="auto"/>
          </w:tcPr>
          <w:p w:rsidR="00294081" w:rsidRPr="00294081" w:rsidRDefault="00294081" w:rsidP="00A07E7A">
            <w:pPr>
              <w:spacing w:before="60" w:after="0" w:line="240" w:lineRule="auto"/>
              <w:jc w:val="center"/>
              <w:rPr>
                <w:rFonts w:ascii="Times New Roman" w:hAnsi="Times New Roman" w:cs="Times New Roman"/>
                <w:sz w:val="20"/>
                <w:szCs w:val="20"/>
                <w:vertAlign w:val="superscript"/>
              </w:rPr>
            </w:pPr>
            <w:r w:rsidRPr="00294081">
              <w:rPr>
                <w:rFonts w:ascii="Times New Roman" w:hAnsi="Times New Roman" w:cs="Times New Roman"/>
                <w:sz w:val="20"/>
                <w:szCs w:val="20"/>
              </w:rPr>
              <w:t>0.0052</w:t>
            </w:r>
          </w:p>
        </w:tc>
        <w:tc>
          <w:tcPr>
            <w:tcW w:w="0" w:type="auto"/>
          </w:tcPr>
          <w:p w:rsidR="00294081" w:rsidRPr="00294081" w:rsidRDefault="00294081" w:rsidP="00A07E7A">
            <w:pPr>
              <w:spacing w:before="60" w:after="0" w:line="240" w:lineRule="auto"/>
              <w:jc w:val="center"/>
              <w:rPr>
                <w:rFonts w:ascii="Times New Roman" w:hAnsi="Times New Roman" w:cs="Times New Roman"/>
                <w:sz w:val="20"/>
                <w:szCs w:val="20"/>
                <w:vertAlign w:val="superscript"/>
              </w:rPr>
            </w:pPr>
            <w:r w:rsidRPr="00294081">
              <w:rPr>
                <w:rFonts w:ascii="Times New Roman" w:hAnsi="Times New Roman" w:cs="Times New Roman"/>
                <w:sz w:val="20"/>
                <w:szCs w:val="20"/>
              </w:rPr>
              <w:t>0.1–9.0</w:t>
            </w:r>
          </w:p>
        </w:tc>
        <w:tc>
          <w:tcPr>
            <w:tcW w:w="0" w:type="auto"/>
          </w:tcPr>
          <w:p w:rsidR="00294081" w:rsidRPr="00294081" w:rsidRDefault="00294081" w:rsidP="00A07E7A">
            <w:pPr>
              <w:spacing w:before="60" w:after="0" w:line="240" w:lineRule="auto"/>
              <w:rPr>
                <w:rFonts w:ascii="Times New Roman" w:hAnsi="Times New Roman" w:cs="Times New Roman"/>
                <w:sz w:val="20"/>
                <w:szCs w:val="20"/>
                <w:vertAlign w:val="superscript"/>
              </w:rPr>
            </w:pPr>
            <w:r w:rsidRPr="00294081">
              <w:rPr>
                <w:rFonts w:ascii="Times New Roman" w:hAnsi="Times New Roman" w:cs="Times New Roman"/>
                <w:sz w:val="20"/>
                <w:szCs w:val="20"/>
              </w:rPr>
              <w:t>[5]</w:t>
            </w:r>
          </w:p>
        </w:tc>
      </w:tr>
      <w:tr w:rsidR="00294081" w:rsidRPr="00294081" w:rsidTr="00A07E7A">
        <w:trPr>
          <w:trHeight w:val="225"/>
          <w:jc w:val="center"/>
        </w:trPr>
        <w:tc>
          <w:tcPr>
            <w:tcW w:w="0" w:type="auto"/>
            <w:tcBorders>
              <w:bottom w:val="single" w:sz="4" w:space="0" w:color="auto"/>
            </w:tcBorders>
          </w:tcPr>
          <w:p w:rsidR="00294081" w:rsidRPr="00294081" w:rsidRDefault="00294081" w:rsidP="00A07E7A">
            <w:pPr>
              <w:spacing w:before="60" w:after="60" w:line="240" w:lineRule="auto"/>
              <w:rPr>
                <w:rFonts w:ascii="Times New Roman" w:hAnsi="Times New Roman" w:cs="Times New Roman"/>
                <w:sz w:val="20"/>
                <w:szCs w:val="20"/>
              </w:rPr>
            </w:pPr>
            <w:r w:rsidRPr="00294081">
              <w:rPr>
                <w:rFonts w:ascii="Times New Roman" w:hAnsi="Times New Roman" w:cs="Times New Roman"/>
                <w:sz w:val="20"/>
                <w:szCs w:val="20"/>
              </w:rPr>
              <w:t>VASM-DLPME/UV-Vis</w:t>
            </w:r>
          </w:p>
        </w:tc>
        <w:tc>
          <w:tcPr>
            <w:tcW w:w="0" w:type="auto"/>
            <w:tcBorders>
              <w:bottom w:val="single" w:sz="4" w:space="0" w:color="auto"/>
            </w:tcBorders>
          </w:tcPr>
          <w:p w:rsidR="00294081" w:rsidRPr="00294081" w:rsidRDefault="00294081" w:rsidP="00A07E7A">
            <w:pPr>
              <w:spacing w:before="60" w:after="60" w:line="240" w:lineRule="auto"/>
              <w:jc w:val="center"/>
              <w:rPr>
                <w:rFonts w:ascii="Times New Roman" w:hAnsi="Times New Roman" w:cs="Times New Roman"/>
                <w:sz w:val="20"/>
                <w:szCs w:val="20"/>
              </w:rPr>
            </w:pPr>
            <w:r w:rsidRPr="00294081">
              <w:rPr>
                <w:rFonts w:ascii="Times New Roman" w:hAnsi="Times New Roman" w:cs="Times New Roman"/>
                <w:sz w:val="20"/>
                <w:szCs w:val="20"/>
              </w:rPr>
              <w:t>8.0</w:t>
            </w:r>
          </w:p>
        </w:tc>
        <w:tc>
          <w:tcPr>
            <w:tcW w:w="0" w:type="auto"/>
            <w:tcBorders>
              <w:bottom w:val="single" w:sz="4" w:space="0" w:color="auto"/>
            </w:tcBorders>
          </w:tcPr>
          <w:p w:rsidR="00294081" w:rsidRPr="00294081" w:rsidRDefault="00294081" w:rsidP="00A07E7A">
            <w:pPr>
              <w:spacing w:before="60" w:after="60" w:line="240" w:lineRule="auto"/>
              <w:jc w:val="center"/>
              <w:rPr>
                <w:rFonts w:ascii="Times New Roman" w:hAnsi="Times New Roman" w:cs="Times New Roman"/>
                <w:sz w:val="20"/>
                <w:szCs w:val="20"/>
                <w:vertAlign w:val="superscript"/>
              </w:rPr>
            </w:pPr>
            <w:r w:rsidRPr="00294081">
              <w:rPr>
                <w:rFonts w:ascii="Times New Roman" w:hAnsi="Times New Roman" w:cs="Times New Roman"/>
                <w:sz w:val="20"/>
                <w:szCs w:val="20"/>
              </w:rPr>
              <w:t>0.1-2.5</w:t>
            </w:r>
          </w:p>
        </w:tc>
        <w:tc>
          <w:tcPr>
            <w:tcW w:w="0" w:type="auto"/>
            <w:tcBorders>
              <w:bottom w:val="single" w:sz="4" w:space="0" w:color="auto"/>
            </w:tcBorders>
          </w:tcPr>
          <w:p w:rsidR="00294081" w:rsidRPr="00294081" w:rsidRDefault="00294081" w:rsidP="00A07E7A">
            <w:pPr>
              <w:spacing w:before="60" w:after="60" w:line="240" w:lineRule="auto"/>
              <w:rPr>
                <w:rFonts w:ascii="Times New Roman" w:hAnsi="Times New Roman" w:cs="Times New Roman"/>
                <w:sz w:val="20"/>
                <w:szCs w:val="20"/>
              </w:rPr>
            </w:pPr>
            <w:r w:rsidRPr="00294081">
              <w:rPr>
                <w:rFonts w:ascii="Times New Roman" w:hAnsi="Times New Roman" w:cs="Times New Roman"/>
                <w:sz w:val="20"/>
                <w:szCs w:val="20"/>
              </w:rPr>
              <w:t>This method</w:t>
            </w:r>
          </w:p>
        </w:tc>
      </w:tr>
    </w:tbl>
    <w:p w:rsidR="00294081" w:rsidRPr="00294081" w:rsidRDefault="00294081" w:rsidP="00294081">
      <w:pPr>
        <w:spacing w:after="0" w:line="240" w:lineRule="auto"/>
        <w:jc w:val="both"/>
        <w:rPr>
          <w:rFonts w:ascii="Times New Roman" w:hAnsi="Times New Roman"/>
          <w:b/>
          <w:sz w:val="20"/>
          <w:szCs w:val="20"/>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A07E7A" w:rsidRDefault="00A07E7A" w:rsidP="00A07E7A">
      <w:pPr>
        <w:spacing w:after="0" w:line="240" w:lineRule="auto"/>
        <w:jc w:val="both"/>
        <w:rPr>
          <w:rFonts w:ascii="Times New Roman" w:hAnsi="Times New Roman"/>
          <w:sz w:val="20"/>
          <w:szCs w:val="20"/>
        </w:rPr>
      </w:pPr>
      <w:r w:rsidRPr="00D62DD0">
        <w:rPr>
          <w:rFonts w:ascii="Times New Roman" w:hAnsi="Times New Roman"/>
          <w:sz w:val="20"/>
          <w:szCs w:val="20"/>
        </w:rPr>
        <w:t>In the present study, a rapid and simple VASM-DLPME/UV-Vis spectrophotometric method for pre-concentration and measurement of RhB in chili powder samples was developed. The developed method is solvent minimized, cost-efficient, eco-friendly, and simple to operate. This study also successfully showed the great potential of SUPRAS as extractants for the determination of RhB in chili powder. Overall, the proposed SUPRAS-based microextraction is an attractive method that can be used as an alternative technique for extraction and off-line pre-concentration, and it is suitable for routine lab analysis and surveillance programs. This is important for the control of the presence of dyes in domestic and imported chili powders.</w:t>
      </w:r>
    </w:p>
    <w:p w:rsidR="00A07E7A" w:rsidRPr="00491769" w:rsidRDefault="00A07E7A" w:rsidP="009B1768">
      <w:pPr>
        <w:spacing w:after="0" w:line="240" w:lineRule="auto"/>
        <w:jc w:val="center"/>
        <w:rPr>
          <w:rFonts w:ascii="Times New Roman" w:hAnsi="Times New Roman"/>
          <w:sz w:val="20"/>
          <w:szCs w:val="20"/>
        </w:rPr>
      </w:pPr>
    </w:p>
    <w:p w:rsidR="00A07E7A" w:rsidRPr="00D62DD0" w:rsidRDefault="00A07E7A" w:rsidP="009B1768">
      <w:pPr>
        <w:spacing w:after="0" w:line="240" w:lineRule="auto"/>
        <w:jc w:val="center"/>
        <w:rPr>
          <w:rFonts w:ascii="Times New Roman" w:hAnsi="Times New Roman"/>
          <w:sz w:val="20"/>
          <w:szCs w:val="20"/>
        </w:rPr>
      </w:pPr>
      <w:r w:rsidRPr="00D62DD0">
        <w:rPr>
          <w:rFonts w:ascii="Times New Roman" w:hAnsi="Times New Roman"/>
          <w:b/>
          <w:bCs/>
          <w:sz w:val="20"/>
          <w:szCs w:val="20"/>
        </w:rPr>
        <w:t>Acknowledgments</w:t>
      </w:r>
    </w:p>
    <w:p w:rsidR="006768E9" w:rsidRPr="00F447A7" w:rsidRDefault="00A07E7A" w:rsidP="009B1768">
      <w:pPr>
        <w:spacing w:after="0" w:line="240" w:lineRule="auto"/>
        <w:jc w:val="both"/>
        <w:rPr>
          <w:rFonts w:ascii="Times New Roman" w:hAnsi="Times New Roman"/>
          <w:sz w:val="20"/>
          <w:szCs w:val="20"/>
        </w:rPr>
      </w:pPr>
      <w:r w:rsidRPr="00D62DD0">
        <w:rPr>
          <w:rFonts w:ascii="Times New Roman" w:hAnsi="Times New Roman"/>
          <w:sz w:val="20"/>
          <w:szCs w:val="20"/>
        </w:rPr>
        <w:t>The authors would like to express their gratitude for a University Malaya Faculty Research Grant (GPF058B-2018). The authors acknowledge the Department of Chemistry, Faculty of Science, University of Malaya for the facilities provided.</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bookmarkStart w:id="0" w:name="_GoBack"/>
      <w:r w:rsidRPr="00F447A7">
        <w:rPr>
          <w:rFonts w:ascii="Times New Roman" w:hAnsi="Times New Roman"/>
          <w:b/>
          <w:noProof/>
          <w:sz w:val="20"/>
          <w:szCs w:val="20"/>
          <w:lang w:bidi="ar-SA"/>
        </w:rPr>
        <w:t>References</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Tsai, C.F., Kuo, C.H. and Shih, D.Y.C. (2015). Determination of 20 synthetic dyes in chili powders and syrup-preserved fruits by liquid chromatography/tandem mass spectrometry. </w:t>
      </w:r>
      <w:r w:rsidRPr="009B1768">
        <w:rPr>
          <w:rFonts w:ascii="Times New Roman" w:eastAsia="SimSun" w:hAnsi="Times New Roman"/>
          <w:i/>
          <w:noProof/>
          <w:sz w:val="20"/>
          <w:szCs w:val="20"/>
        </w:rPr>
        <w:t>Journal of Food and Drug Analysis</w:t>
      </w:r>
      <w:r>
        <w:rPr>
          <w:rFonts w:ascii="Times New Roman" w:eastAsia="SimSun" w:hAnsi="Times New Roman"/>
          <w:noProof/>
          <w:sz w:val="20"/>
          <w:szCs w:val="20"/>
        </w:rPr>
        <w:t>, 23:453–462.</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Vachirapatama, N., Mahajaroensiri, J. and Visessanguan, W. (2008). Identification and determination of seven synthetic dyes in foodstuffs and soft drinks on monolithic C</w:t>
      </w:r>
      <w:r w:rsidRPr="009B1768">
        <w:rPr>
          <w:rFonts w:ascii="Times New Roman" w:eastAsia="SimSun" w:hAnsi="Times New Roman"/>
          <w:noProof/>
          <w:sz w:val="20"/>
          <w:szCs w:val="20"/>
          <w:vertAlign w:val="subscript"/>
        </w:rPr>
        <w:t>18</w:t>
      </w:r>
      <w:r w:rsidRPr="009B1768">
        <w:rPr>
          <w:rFonts w:ascii="Times New Roman" w:eastAsia="SimSun" w:hAnsi="Times New Roman"/>
          <w:noProof/>
          <w:sz w:val="20"/>
          <w:szCs w:val="20"/>
        </w:rPr>
        <w:t xml:space="preserve"> column by high performance liquid chromatography. </w:t>
      </w:r>
      <w:r w:rsidRPr="009B1768">
        <w:rPr>
          <w:rFonts w:ascii="Times New Roman" w:eastAsia="SimSun" w:hAnsi="Times New Roman"/>
          <w:i/>
          <w:noProof/>
          <w:sz w:val="20"/>
          <w:szCs w:val="20"/>
        </w:rPr>
        <w:t>Journal of Food &amp; Drug Analysis</w:t>
      </w:r>
      <w:r w:rsidRPr="009B1768">
        <w:rPr>
          <w:rFonts w:ascii="Times New Roman" w:eastAsia="SimSun" w:hAnsi="Times New Roman"/>
          <w:noProof/>
          <w:sz w:val="20"/>
          <w:szCs w:val="20"/>
        </w:rPr>
        <w:t>, 16:77–82.</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Xu., X, Zhang, M., Wang, L., Zhang, S., Liu, M., Long, N., Qi, X., Cui, Z. and Zhang, L. (2016). Determination of rhodamine B in food using ionic liquid–coated multiwalled carbon nanotube–based ultrasound-assisted dispersive solid-phase microextraction followed by high-performance liquid chromatography. </w:t>
      </w:r>
      <w:r w:rsidRPr="009B1768">
        <w:rPr>
          <w:rFonts w:ascii="Times New Roman" w:eastAsia="SimSun" w:hAnsi="Times New Roman"/>
          <w:i/>
          <w:noProof/>
          <w:sz w:val="20"/>
          <w:szCs w:val="20"/>
        </w:rPr>
        <w:t>Food Analytical Methods</w:t>
      </w:r>
      <w:r w:rsidRPr="009B1768">
        <w:rPr>
          <w:rFonts w:ascii="Times New Roman" w:eastAsia="SimSun" w:hAnsi="Times New Roman"/>
          <w:noProof/>
          <w:sz w:val="20"/>
          <w:szCs w:val="20"/>
        </w:rPr>
        <w:t>, 9:1696–1705.</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Jieping, C. and Zhu, X. (2016). Magnetic solid phase extraction using ionic liquid-coated core-shell magnetic nanoparticles followed by high-performance liquid chromatography for determination of rhodamine B in food samples. </w:t>
      </w:r>
      <w:r w:rsidRPr="009B1768">
        <w:rPr>
          <w:rFonts w:ascii="Times New Roman" w:eastAsia="SimSun" w:hAnsi="Times New Roman"/>
          <w:i/>
          <w:noProof/>
          <w:sz w:val="20"/>
          <w:szCs w:val="20"/>
        </w:rPr>
        <w:t>Food Chemistry</w:t>
      </w:r>
      <w:r w:rsidRPr="009B1768">
        <w:rPr>
          <w:rFonts w:ascii="Times New Roman" w:eastAsia="SimSun" w:hAnsi="Times New Roman"/>
          <w:noProof/>
          <w:sz w:val="20"/>
          <w:szCs w:val="20"/>
        </w:rPr>
        <w:t>, 200:10–15.</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Ahmed Bakheet, A. A. and Zhu, X. S. (2017). Determination of Rhodamine B in food samples by Fe</w:t>
      </w:r>
      <w:r w:rsidRPr="009B1768">
        <w:rPr>
          <w:rFonts w:ascii="Times New Roman" w:eastAsia="SimSun" w:hAnsi="Times New Roman"/>
          <w:noProof/>
          <w:sz w:val="20"/>
          <w:szCs w:val="20"/>
          <w:vertAlign w:val="subscript"/>
        </w:rPr>
        <w:t>3</w:t>
      </w:r>
      <w:r w:rsidRPr="009B1768">
        <w:rPr>
          <w:rFonts w:ascii="Times New Roman" w:eastAsia="SimSun" w:hAnsi="Times New Roman"/>
          <w:noProof/>
          <w:sz w:val="20"/>
          <w:szCs w:val="20"/>
        </w:rPr>
        <w:t>O</w:t>
      </w:r>
      <w:r w:rsidRPr="009B1768">
        <w:rPr>
          <w:rFonts w:ascii="Times New Roman" w:eastAsia="SimSun" w:hAnsi="Times New Roman"/>
          <w:noProof/>
          <w:sz w:val="20"/>
          <w:szCs w:val="20"/>
          <w:vertAlign w:val="subscript"/>
        </w:rPr>
        <w:t>4</w:t>
      </w:r>
      <w:r w:rsidRPr="009B1768">
        <w:rPr>
          <w:rFonts w:ascii="Times New Roman" w:eastAsia="SimSun" w:hAnsi="Times New Roman"/>
          <w:noProof/>
          <w:sz w:val="20"/>
          <w:szCs w:val="20"/>
        </w:rPr>
        <w:t xml:space="preserve">@ionic liquids-β-cyclodextrin cross linked polymer solid phase extraction coupled with fluorescence spectrophotometry. </w:t>
      </w:r>
      <w:r w:rsidRPr="009B1768">
        <w:rPr>
          <w:rFonts w:ascii="Times New Roman" w:eastAsia="SimSun" w:hAnsi="Times New Roman"/>
          <w:i/>
          <w:noProof/>
          <w:sz w:val="20"/>
          <w:szCs w:val="20"/>
        </w:rPr>
        <w:t>Journal of Fluorescene</w:t>
      </w:r>
      <w:r>
        <w:rPr>
          <w:rFonts w:ascii="Times New Roman" w:eastAsia="SimSun" w:hAnsi="Times New Roman"/>
          <w:noProof/>
          <w:sz w:val="20"/>
          <w:szCs w:val="20"/>
        </w:rPr>
        <w:t>, 27:1087–1094.</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lastRenderedPageBreak/>
        <w:t xml:space="preserve">Sun, W. J., Li, J., Mele, G., Zhang, Z. Q. and Zhang, F. X. (2013). Enhanced photocatalytic degradation of rhodamine B by surface modification of ZnO with copper (II) porphyrin under both UV-Vis and visible light irradiation. </w:t>
      </w:r>
      <w:r w:rsidRPr="009B1768">
        <w:rPr>
          <w:rFonts w:ascii="Times New Roman" w:eastAsia="SimSun" w:hAnsi="Times New Roman"/>
          <w:i/>
          <w:noProof/>
          <w:sz w:val="20"/>
          <w:szCs w:val="20"/>
        </w:rPr>
        <w:t>Journal of Molecular Catalysis A: Chemical</w:t>
      </w:r>
      <w:r w:rsidRPr="009B1768">
        <w:rPr>
          <w:rFonts w:ascii="Times New Roman" w:eastAsia="SimSun" w:hAnsi="Times New Roman"/>
          <w:noProof/>
          <w:sz w:val="20"/>
          <w:szCs w:val="20"/>
        </w:rPr>
        <w:t>, 366: 84–91.</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Ahmed Bakheet, A. A. and Zhu, X. S. (2017). Determination of rhodamine B pigment in food samples by ionic liquid coated magnetic core/shell Fe</w:t>
      </w:r>
      <w:r w:rsidRPr="009B1768">
        <w:rPr>
          <w:rFonts w:ascii="Times New Roman" w:eastAsia="SimSun" w:hAnsi="Times New Roman"/>
          <w:noProof/>
          <w:sz w:val="20"/>
          <w:szCs w:val="20"/>
          <w:vertAlign w:val="subscript"/>
        </w:rPr>
        <w:t>3</w:t>
      </w:r>
      <w:r w:rsidRPr="009B1768">
        <w:rPr>
          <w:rFonts w:ascii="Times New Roman" w:eastAsia="SimSun" w:hAnsi="Times New Roman"/>
          <w:noProof/>
          <w:sz w:val="20"/>
          <w:szCs w:val="20"/>
        </w:rPr>
        <w:t>O</w:t>
      </w:r>
      <w:r w:rsidRPr="009B1768">
        <w:rPr>
          <w:rFonts w:ascii="Times New Roman" w:eastAsia="SimSun" w:hAnsi="Times New Roman"/>
          <w:noProof/>
          <w:sz w:val="20"/>
          <w:szCs w:val="20"/>
          <w:vertAlign w:val="subscript"/>
        </w:rPr>
        <w:t>4</w:t>
      </w:r>
      <w:r w:rsidRPr="009B1768">
        <w:rPr>
          <w:rFonts w:ascii="Times New Roman" w:eastAsia="SimSun" w:hAnsi="Times New Roman"/>
          <w:noProof/>
          <w:sz w:val="20"/>
          <w:szCs w:val="20"/>
        </w:rPr>
        <w:t>@SiO</w:t>
      </w:r>
      <w:r w:rsidRPr="009B1768">
        <w:rPr>
          <w:rFonts w:ascii="Times New Roman" w:eastAsia="SimSun" w:hAnsi="Times New Roman"/>
          <w:noProof/>
          <w:sz w:val="20"/>
          <w:szCs w:val="20"/>
          <w:vertAlign w:val="subscript"/>
        </w:rPr>
        <w:t>2</w:t>
      </w:r>
      <w:r w:rsidRPr="009B1768">
        <w:rPr>
          <w:rFonts w:ascii="Times New Roman" w:eastAsia="SimSun" w:hAnsi="Times New Roman"/>
          <w:noProof/>
          <w:sz w:val="20"/>
          <w:szCs w:val="20"/>
        </w:rPr>
        <w:t xml:space="preserve"> nanoparticles coupled with fluorescence spectrophotometry. </w:t>
      </w:r>
      <w:r w:rsidRPr="009B1768">
        <w:rPr>
          <w:rFonts w:ascii="Times New Roman" w:eastAsia="SimSun" w:hAnsi="Times New Roman"/>
          <w:i/>
          <w:noProof/>
          <w:sz w:val="20"/>
          <w:szCs w:val="20"/>
        </w:rPr>
        <w:t>Science Journal of Chemistry</w:t>
      </w:r>
      <w:r w:rsidRPr="009B1768">
        <w:rPr>
          <w:rFonts w:ascii="Times New Roman" w:eastAsia="SimSun" w:hAnsi="Times New Roman"/>
          <w:noProof/>
          <w:sz w:val="20"/>
          <w:szCs w:val="20"/>
        </w:rPr>
        <w:t>, 5:1–7.</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Santiago Valverde, R., Sánchez Pérez, I., Franceschelli, F., Martínez Galera, M. and Gil García, M. D. (2007). Determination of photoirradiated tetracyclines in water by high-performance liquid chromatography with chemiluminescence detection based reaction of rhodamine B with cerium(IV). </w:t>
      </w:r>
      <w:r w:rsidRPr="009B1768">
        <w:rPr>
          <w:rFonts w:ascii="Times New Roman" w:eastAsia="SimSun" w:hAnsi="Times New Roman"/>
          <w:i/>
          <w:noProof/>
          <w:sz w:val="20"/>
          <w:szCs w:val="20"/>
        </w:rPr>
        <w:t>Journal of Chromatography A</w:t>
      </w:r>
      <w:r w:rsidRPr="009B1768">
        <w:rPr>
          <w:rFonts w:ascii="Times New Roman" w:eastAsia="SimSun" w:hAnsi="Times New Roman"/>
          <w:noProof/>
          <w:sz w:val="20"/>
          <w:szCs w:val="20"/>
        </w:rPr>
        <w:t>, 1167:85–94.</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Liu, X., Zhang, X., Zhou, Q., Bai, B. and Ji, S. (2013). Spectrometric determination of rhodamine B in chili powder after molecularly imprinted solid phase extraction. </w:t>
      </w:r>
      <w:r w:rsidRPr="009B1768">
        <w:rPr>
          <w:rFonts w:ascii="Times New Roman" w:eastAsia="SimSun" w:hAnsi="Times New Roman"/>
          <w:i/>
          <w:noProof/>
          <w:sz w:val="20"/>
          <w:szCs w:val="20"/>
        </w:rPr>
        <w:t>Bulletin of the Korean Chemical Societ</w:t>
      </w:r>
      <w:r w:rsidRPr="009B1768">
        <w:rPr>
          <w:rFonts w:ascii="Times New Roman" w:eastAsia="SimSun" w:hAnsi="Times New Roman"/>
          <w:noProof/>
          <w:sz w:val="20"/>
          <w:szCs w:val="20"/>
        </w:rPr>
        <w:t>y, 34:3381–3386.</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Souza, A. S., Siqueira, R.P., Prates, R. F., Bezerra, V. M., Rocha, D. da. S., Oliveira, M. V. and Santos, D. B. (2017). A dispersive liquid–liquid microextraction based on solidification of floating organic drop and spectrophotometric determination of uranium in breast milk after optimization using Box-Behnken design. </w:t>
      </w:r>
      <w:r w:rsidRPr="009B1768">
        <w:rPr>
          <w:rFonts w:ascii="Times New Roman" w:eastAsia="SimSun" w:hAnsi="Times New Roman"/>
          <w:i/>
          <w:noProof/>
          <w:sz w:val="20"/>
          <w:szCs w:val="20"/>
        </w:rPr>
        <w:t>Microchemical Journal</w:t>
      </w:r>
      <w:r w:rsidRPr="009B1768">
        <w:rPr>
          <w:rFonts w:ascii="Times New Roman" w:eastAsia="SimSun" w:hAnsi="Times New Roman"/>
          <w:noProof/>
          <w:sz w:val="20"/>
          <w:szCs w:val="20"/>
        </w:rPr>
        <w:t>, 134: 327–332.</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Pichon, V. (2000). Solid-phase extraction for multiresidue analysis of organic contaminants in water. </w:t>
      </w:r>
      <w:r w:rsidRPr="009B1768">
        <w:rPr>
          <w:rFonts w:ascii="Times New Roman" w:eastAsia="SimSun" w:hAnsi="Times New Roman"/>
          <w:i/>
          <w:noProof/>
          <w:sz w:val="20"/>
          <w:szCs w:val="20"/>
        </w:rPr>
        <w:t>Journal of Chromatography A</w:t>
      </w:r>
      <w:r w:rsidRPr="009B1768">
        <w:rPr>
          <w:rFonts w:ascii="Times New Roman" w:eastAsia="SimSun" w:hAnsi="Times New Roman"/>
          <w:noProof/>
          <w:sz w:val="20"/>
          <w:szCs w:val="20"/>
        </w:rPr>
        <w:t>, 885: 195–215.</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Tahmasebi, E., and Yamini, Y. (2012). Facile synthesis of new nano sorbent for magnetic solid-phase extraction by self assembling of bis-(2,4,4-trimethyl pentyl)-dithiophosphinic acid on Fe</w:t>
      </w:r>
      <w:r w:rsidRPr="009B1768">
        <w:rPr>
          <w:rFonts w:ascii="Times New Roman" w:eastAsia="SimSun" w:hAnsi="Times New Roman"/>
          <w:noProof/>
          <w:sz w:val="20"/>
          <w:szCs w:val="20"/>
          <w:vertAlign w:val="subscript"/>
        </w:rPr>
        <w:t>3</w:t>
      </w:r>
      <w:r w:rsidRPr="009B1768">
        <w:rPr>
          <w:rFonts w:ascii="Times New Roman" w:eastAsia="SimSun" w:hAnsi="Times New Roman"/>
          <w:noProof/>
          <w:sz w:val="20"/>
          <w:szCs w:val="20"/>
        </w:rPr>
        <w:t>O</w:t>
      </w:r>
      <w:r w:rsidRPr="009B1768">
        <w:rPr>
          <w:rFonts w:ascii="Times New Roman" w:eastAsia="SimSun" w:hAnsi="Times New Roman"/>
          <w:noProof/>
          <w:sz w:val="20"/>
          <w:szCs w:val="20"/>
          <w:vertAlign w:val="subscript"/>
        </w:rPr>
        <w:t>4</w:t>
      </w:r>
      <w:r w:rsidRPr="009B1768">
        <w:rPr>
          <w:rFonts w:ascii="Times New Roman" w:eastAsia="SimSun" w:hAnsi="Times New Roman"/>
          <w:noProof/>
          <w:sz w:val="20"/>
          <w:szCs w:val="20"/>
        </w:rPr>
        <w:t xml:space="preserve">@Ag core@shell nanoparticles: Characterization and application. </w:t>
      </w:r>
      <w:r w:rsidRPr="009B1768">
        <w:rPr>
          <w:rFonts w:ascii="Times New Roman" w:eastAsia="SimSun" w:hAnsi="Times New Roman"/>
          <w:i/>
          <w:noProof/>
          <w:sz w:val="20"/>
          <w:szCs w:val="20"/>
        </w:rPr>
        <w:t>Analytical Chimica Acta</w:t>
      </w:r>
      <w:r w:rsidRPr="009B1768">
        <w:rPr>
          <w:rFonts w:ascii="Times New Roman" w:eastAsia="SimSun" w:hAnsi="Times New Roman"/>
          <w:noProof/>
          <w:sz w:val="20"/>
          <w:szCs w:val="20"/>
        </w:rPr>
        <w:t>, 756: 13–22.</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Zheng, H., Ding, J., Zheng, S., Zhu, G. and Yuan, B. (2016). Facile synthesis of magnetic carbon nitride nanosheets and its application in magnetic solid phase extraction for polycyclic aromatic hydrocarbons in edible oil samples. </w:t>
      </w:r>
      <w:r w:rsidRPr="009B1768">
        <w:rPr>
          <w:rFonts w:ascii="Times New Roman" w:eastAsia="SimSun" w:hAnsi="Times New Roman"/>
          <w:i/>
          <w:noProof/>
          <w:sz w:val="20"/>
          <w:szCs w:val="20"/>
        </w:rPr>
        <w:t>Talanta</w:t>
      </w:r>
      <w:r w:rsidRPr="009B1768">
        <w:rPr>
          <w:rFonts w:ascii="Times New Roman" w:eastAsia="SimSun" w:hAnsi="Times New Roman"/>
          <w:noProof/>
          <w:sz w:val="20"/>
          <w:szCs w:val="20"/>
        </w:rPr>
        <w:t>, 148: 46–53.</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Rubio, L., Sanllorente, S., Sarabia, L. A. and Ortiz, M. C. (2014). Optimization of a headspace solid-phase microextraction and gas chromatography/mass spectrometry procedure for the determination of aromatic amines in water and in polyamide spoons. </w:t>
      </w:r>
      <w:r w:rsidRPr="009B1768">
        <w:rPr>
          <w:rFonts w:ascii="Times New Roman" w:eastAsia="SimSun" w:hAnsi="Times New Roman"/>
          <w:i/>
          <w:noProof/>
          <w:sz w:val="20"/>
          <w:szCs w:val="20"/>
        </w:rPr>
        <w:t>Chemometrics and Intelligent Laboratory Systems</w:t>
      </w:r>
      <w:r w:rsidRPr="009B1768">
        <w:rPr>
          <w:rFonts w:ascii="Times New Roman" w:eastAsia="SimSun" w:hAnsi="Times New Roman"/>
          <w:noProof/>
          <w:sz w:val="20"/>
          <w:szCs w:val="20"/>
        </w:rPr>
        <w:t>, 133: 121–135.</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Trujillo-Rodríguez, M. J., Yu, H., Cole, W. T. S., Ho, T. D., Pino, V., Anderson, J. L. and Afonso, A. M. (2014). Polymeric ionic liquid coatings versus commercial solid-phase microextraction coatings for the determination of volatile compounds in cheeses. </w:t>
      </w:r>
      <w:r w:rsidRPr="009B1768">
        <w:rPr>
          <w:rFonts w:ascii="Times New Roman" w:eastAsia="SimSun" w:hAnsi="Times New Roman"/>
          <w:i/>
          <w:noProof/>
          <w:sz w:val="20"/>
          <w:szCs w:val="20"/>
        </w:rPr>
        <w:t>Talanta</w:t>
      </w:r>
      <w:r w:rsidRPr="009B1768">
        <w:rPr>
          <w:rFonts w:ascii="Times New Roman" w:eastAsia="SimSun" w:hAnsi="Times New Roman"/>
          <w:noProof/>
          <w:sz w:val="20"/>
          <w:szCs w:val="20"/>
        </w:rPr>
        <w:t>, 121: 153–162.</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Scheel, G. L., and Tarley, C. R. T. (2017). Feasibility of supramolecular solvent-based microextraction for simultaneous preconcentration of herbicides from natural waters with posterior determination by HPLC-DAD. </w:t>
      </w:r>
      <w:r w:rsidRPr="009B1768">
        <w:rPr>
          <w:rFonts w:ascii="Times New Roman" w:eastAsia="SimSun" w:hAnsi="Times New Roman"/>
          <w:i/>
          <w:noProof/>
          <w:sz w:val="20"/>
          <w:szCs w:val="20"/>
        </w:rPr>
        <w:t>Microchemical Journal</w:t>
      </w:r>
      <w:r w:rsidRPr="009B1768">
        <w:rPr>
          <w:rFonts w:ascii="Times New Roman" w:eastAsia="SimSun" w:hAnsi="Times New Roman"/>
          <w:noProof/>
          <w:sz w:val="20"/>
          <w:szCs w:val="20"/>
        </w:rPr>
        <w:t>, 133: 650–657.</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Ballesteros-Gómez, A., Sicilia, M. D. and Rubio, S. (2010). Supramolecular solvents in the extraction of organic compounds. A review. </w:t>
      </w:r>
      <w:r w:rsidRPr="009B1768">
        <w:rPr>
          <w:rFonts w:ascii="Times New Roman" w:eastAsia="SimSun" w:hAnsi="Times New Roman"/>
          <w:i/>
          <w:noProof/>
          <w:sz w:val="20"/>
          <w:szCs w:val="20"/>
        </w:rPr>
        <w:t>Analytical Chimica Acta</w:t>
      </w:r>
      <w:r w:rsidRPr="009B1768">
        <w:rPr>
          <w:rFonts w:ascii="Times New Roman" w:eastAsia="SimSun" w:hAnsi="Times New Roman"/>
          <w:noProof/>
          <w:sz w:val="20"/>
          <w:szCs w:val="20"/>
        </w:rPr>
        <w:t>, 677: 108–130.</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Moradi, M., Kashanaki, R., Borhani, S., Bigdeli, H., Abbasi, N. and Kazemzadeh, A. (2017). Optimization of supramolecular solvent microextraction prior to graphite furnace atomic absorption spectrometry for total selenium determination in food and environmental samples. </w:t>
      </w:r>
      <w:r w:rsidRPr="009B1768">
        <w:rPr>
          <w:rFonts w:ascii="Times New Roman" w:eastAsia="SimSun" w:hAnsi="Times New Roman"/>
          <w:i/>
          <w:noProof/>
          <w:sz w:val="20"/>
          <w:szCs w:val="20"/>
        </w:rPr>
        <w:t>Journal of Molecular Liquids</w:t>
      </w:r>
      <w:r w:rsidRPr="009B1768">
        <w:rPr>
          <w:rFonts w:ascii="Times New Roman" w:eastAsia="SimSun" w:hAnsi="Times New Roman"/>
          <w:noProof/>
          <w:sz w:val="20"/>
          <w:szCs w:val="20"/>
        </w:rPr>
        <w:t>, 232: 243–250.</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Seebunrueng, K., Dejchaiwatana, C., Santaladchaiyakit, Y., and Srijaranai, S. S. (2017). Development of supramolecular solvent based microextraction prior to high performance liquid chromatography for simultaneous determination of phenols in environmental water. </w:t>
      </w:r>
      <w:r w:rsidRPr="009B1768">
        <w:rPr>
          <w:rFonts w:ascii="Times New Roman" w:eastAsia="SimSun" w:hAnsi="Times New Roman"/>
          <w:i/>
          <w:noProof/>
          <w:sz w:val="20"/>
          <w:szCs w:val="20"/>
        </w:rPr>
        <w:t>RSC Advances</w:t>
      </w:r>
      <w:r w:rsidRPr="009B1768">
        <w:rPr>
          <w:rFonts w:ascii="Times New Roman" w:eastAsia="SimSun" w:hAnsi="Times New Roman"/>
          <w:noProof/>
          <w:sz w:val="20"/>
          <w:szCs w:val="20"/>
        </w:rPr>
        <w:t>, 7: 50143–50149.</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Yilmaz, E. and Soylak, M. (2014). Development a novel supramolecular solvent microextraction procedure for copper in environmental samples and its determination by microsampling flame atomic absorption spectrometry. </w:t>
      </w:r>
      <w:r w:rsidRPr="009B1768">
        <w:rPr>
          <w:rFonts w:ascii="Times New Roman" w:eastAsia="SimSun" w:hAnsi="Times New Roman"/>
          <w:i/>
          <w:noProof/>
          <w:sz w:val="20"/>
          <w:szCs w:val="20"/>
        </w:rPr>
        <w:t>Talanta</w:t>
      </w:r>
      <w:r w:rsidRPr="009B1768">
        <w:rPr>
          <w:rFonts w:ascii="Times New Roman" w:eastAsia="SimSun" w:hAnsi="Times New Roman"/>
          <w:noProof/>
          <w:sz w:val="20"/>
          <w:szCs w:val="20"/>
        </w:rPr>
        <w:t>, 126: 191–195.</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Shamsipur, M., Zohrabib, P., and Hashemi, M. (2015). Application of a supramolecular solvent as the carrier for ferrofluid based liquid-phase microextraction for spectro fluorimetric determination of levofloxacin in biological samples. </w:t>
      </w:r>
      <w:r w:rsidRPr="009B1768">
        <w:rPr>
          <w:rFonts w:ascii="Times New Roman" w:eastAsia="SimSun" w:hAnsi="Times New Roman"/>
          <w:i/>
          <w:noProof/>
          <w:sz w:val="20"/>
          <w:szCs w:val="20"/>
        </w:rPr>
        <w:t>Analytical Methods</w:t>
      </w:r>
      <w:r w:rsidRPr="009B1768">
        <w:rPr>
          <w:rFonts w:ascii="Times New Roman" w:eastAsia="SimSun" w:hAnsi="Times New Roman"/>
          <w:noProof/>
          <w:sz w:val="20"/>
          <w:szCs w:val="20"/>
        </w:rPr>
        <w:t>, 7: 9609–9614.</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Ballesteros-Gomez, A., Rubio, S. and Perez-Bendito, D. (2009). Potential of supramolecular solvents for the extraction of contaminants in liquid foods. </w:t>
      </w:r>
      <w:r w:rsidRPr="009B1768">
        <w:rPr>
          <w:rFonts w:ascii="Times New Roman" w:eastAsia="SimSun" w:hAnsi="Times New Roman"/>
          <w:i/>
          <w:noProof/>
          <w:sz w:val="20"/>
          <w:szCs w:val="20"/>
        </w:rPr>
        <w:t>Journal of Chromatography A</w:t>
      </w:r>
      <w:r w:rsidRPr="009B1768">
        <w:rPr>
          <w:rFonts w:ascii="Times New Roman" w:eastAsia="SimSun" w:hAnsi="Times New Roman"/>
          <w:noProof/>
          <w:sz w:val="20"/>
          <w:szCs w:val="20"/>
        </w:rPr>
        <w:t>, 1216: 530–539.</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Rezaei, F., Yamini, Y., Moradi, M. and Daraei, B. (2013). Supramolecular solvent-based hollow fiber liquid phase microextraction of benzodiazepines. </w:t>
      </w:r>
      <w:r w:rsidRPr="009B1768">
        <w:rPr>
          <w:rFonts w:ascii="Times New Roman" w:eastAsia="SimSun" w:hAnsi="Times New Roman"/>
          <w:i/>
          <w:noProof/>
          <w:sz w:val="20"/>
          <w:szCs w:val="20"/>
        </w:rPr>
        <w:t>Analytical Chimica Acta</w:t>
      </w:r>
      <w:r w:rsidRPr="009B1768">
        <w:rPr>
          <w:rFonts w:ascii="Times New Roman" w:eastAsia="SimSun" w:hAnsi="Times New Roman"/>
          <w:noProof/>
          <w:sz w:val="20"/>
          <w:szCs w:val="20"/>
        </w:rPr>
        <w:t>, 804: 135–142.</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lastRenderedPageBreak/>
        <w:t xml:space="preserve">Ezoddin, M., Majidi, B. and Abdi, K. (2015). Ultrasound-assisted supramolecular dispersive liquid–liquid microextraction based on solidification of floating organic drops for preconcentration of palladium in water and road dust samples. </w:t>
      </w:r>
      <w:r w:rsidRPr="009B1768">
        <w:rPr>
          <w:rFonts w:ascii="Times New Roman" w:eastAsia="SimSun" w:hAnsi="Times New Roman"/>
          <w:i/>
          <w:noProof/>
          <w:sz w:val="20"/>
          <w:szCs w:val="20"/>
        </w:rPr>
        <w:t>Journal of Molecular Liquids</w:t>
      </w:r>
      <w:r w:rsidRPr="009B1768">
        <w:rPr>
          <w:rFonts w:ascii="Times New Roman" w:eastAsia="SimSun" w:hAnsi="Times New Roman"/>
          <w:noProof/>
          <w:sz w:val="20"/>
          <w:szCs w:val="20"/>
        </w:rPr>
        <w:t>, 209: 515–519.</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López-Jiménez, F. J., Rosales-Marcano, M. and Rubio, S. (2013). Restricted access property supramolecular solvents for combined microextraction of endocrine disruptors in sediment and sample cleanup prior to their quantification by liquid chromatography – tandem mass spectrometry. </w:t>
      </w:r>
      <w:r w:rsidRPr="009B1768">
        <w:rPr>
          <w:rFonts w:ascii="Times New Roman" w:eastAsia="SimSun" w:hAnsi="Times New Roman"/>
          <w:i/>
          <w:noProof/>
          <w:sz w:val="20"/>
          <w:szCs w:val="20"/>
        </w:rPr>
        <w:t>Journal of Chromatography A</w:t>
      </w:r>
      <w:r w:rsidRPr="009B1768">
        <w:rPr>
          <w:rFonts w:ascii="Times New Roman" w:eastAsia="SimSun" w:hAnsi="Times New Roman"/>
          <w:noProof/>
          <w:sz w:val="20"/>
          <w:szCs w:val="20"/>
        </w:rPr>
        <w:t>, 1303: 1–8.</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Yang, D., Li, X., Meng, D., Wang, M. and Yang, Y. (2017). Supramolecular solvents combined with layered double hydroxide-coated magnetic nanoparticles for extraction of bisphenols and 4-tert- octylphenol from fruit juices. </w:t>
      </w:r>
      <w:r w:rsidRPr="009B1768">
        <w:rPr>
          <w:rFonts w:ascii="Times New Roman" w:eastAsia="SimSun" w:hAnsi="Times New Roman"/>
          <w:i/>
          <w:noProof/>
          <w:sz w:val="20"/>
          <w:szCs w:val="20"/>
        </w:rPr>
        <w:t>Food Chemistry</w:t>
      </w:r>
      <w:r w:rsidRPr="009B1768">
        <w:rPr>
          <w:rFonts w:ascii="Times New Roman" w:eastAsia="SimSun" w:hAnsi="Times New Roman"/>
          <w:noProof/>
          <w:sz w:val="20"/>
          <w:szCs w:val="20"/>
        </w:rPr>
        <w:t>, 237: 870–876.</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Dursun, G., Yildiz, E., and Cabuk, H. (2018). Supramolecular solvent-based microextraction of propachlor and prometryn herbicides in soil samples prior to liquid chromatographic analysis. </w:t>
      </w:r>
      <w:r w:rsidRPr="009B1768">
        <w:rPr>
          <w:rFonts w:ascii="Times New Roman" w:eastAsia="SimSun" w:hAnsi="Times New Roman"/>
          <w:i/>
          <w:noProof/>
          <w:sz w:val="20"/>
          <w:szCs w:val="20"/>
        </w:rPr>
        <w:t>Cumhuriyet Science Journal</w:t>
      </w:r>
      <w:r w:rsidRPr="009B1768">
        <w:rPr>
          <w:rFonts w:ascii="Times New Roman" w:eastAsia="SimSun" w:hAnsi="Times New Roman"/>
          <w:noProof/>
          <w:sz w:val="20"/>
          <w:szCs w:val="20"/>
        </w:rPr>
        <w:t>, 39:833–841.</w:t>
      </w:r>
    </w:p>
    <w:p w:rsid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eastAsia="SimSun" w:hAnsi="Times New Roman"/>
          <w:noProof/>
          <w:sz w:val="20"/>
          <w:szCs w:val="20"/>
        </w:rPr>
        <w:t xml:space="preserve">Rezaei, F., Yamini, Y., Asiabi, H., and Moradi, M. (2015). Determination of diphenylamine residue in fruit samples by supercritical fluid extraction followed by vesicular based-supramolecular solvent microextraction. </w:t>
      </w:r>
      <w:r w:rsidRPr="009B1768">
        <w:rPr>
          <w:rFonts w:ascii="Times New Roman" w:eastAsia="SimSun" w:hAnsi="Times New Roman"/>
          <w:i/>
          <w:noProof/>
          <w:sz w:val="20"/>
          <w:szCs w:val="20"/>
        </w:rPr>
        <w:t>Journal of Supercritical Fluids</w:t>
      </w:r>
      <w:r w:rsidRPr="009B1768">
        <w:rPr>
          <w:rFonts w:ascii="Times New Roman" w:eastAsia="SimSun" w:hAnsi="Times New Roman"/>
          <w:noProof/>
          <w:sz w:val="20"/>
          <w:szCs w:val="20"/>
        </w:rPr>
        <w:t>, 100:79–85.</w:t>
      </w:r>
    </w:p>
    <w:p w:rsidR="009B1768" w:rsidRP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hAnsi="Times New Roman"/>
          <w:noProof/>
          <w:sz w:val="20"/>
          <w:szCs w:val="20"/>
        </w:rPr>
        <w:t xml:space="preserve">Soylak, M., Unsal, Y. E., Yilmaz, E. and Tuzen, M. (2011). Determination of rhodamine B in soft drink, waste water and lipstick samples after solid phase extraction. </w:t>
      </w:r>
      <w:r w:rsidRPr="009B1768">
        <w:rPr>
          <w:rFonts w:ascii="Times New Roman" w:hAnsi="Times New Roman"/>
          <w:i/>
          <w:noProof/>
          <w:sz w:val="20"/>
          <w:szCs w:val="20"/>
        </w:rPr>
        <w:t>Food Chemical Toxicology</w:t>
      </w:r>
      <w:r w:rsidRPr="009B1768">
        <w:rPr>
          <w:rFonts w:ascii="Times New Roman" w:hAnsi="Times New Roman"/>
          <w:noProof/>
          <w:sz w:val="20"/>
          <w:szCs w:val="20"/>
        </w:rPr>
        <w:t>, 49:1796–1799</w:t>
      </w:r>
    </w:p>
    <w:p w:rsidR="009B1768" w:rsidRPr="009B1768" w:rsidRDefault="009B1768" w:rsidP="009B1768">
      <w:pPr>
        <w:pStyle w:val="ListParagraph"/>
        <w:numPr>
          <w:ilvl w:val="0"/>
          <w:numId w:val="3"/>
        </w:numPr>
        <w:spacing w:after="0" w:line="240" w:lineRule="auto"/>
        <w:ind w:left="360"/>
        <w:jc w:val="both"/>
        <w:rPr>
          <w:rFonts w:ascii="Times New Roman" w:eastAsia="SimSun" w:hAnsi="Times New Roman"/>
          <w:noProof/>
          <w:sz w:val="20"/>
          <w:szCs w:val="20"/>
        </w:rPr>
      </w:pPr>
      <w:r w:rsidRPr="009B1768">
        <w:rPr>
          <w:rFonts w:ascii="Times New Roman" w:hAnsi="Times New Roman"/>
          <w:noProof/>
          <w:sz w:val="20"/>
          <w:szCs w:val="20"/>
        </w:rPr>
        <w:t xml:space="preserve">Zhang, Q., Cui, H., Myint, A., Lian, M. and Liu, L. (2005). Sensitive determination of phenolic compounds using high-performance liquid chromatography with cerium (IV)-rhodamine 6G-phenolic compound chemiluminescence detection. </w:t>
      </w:r>
      <w:r w:rsidRPr="009B1768">
        <w:rPr>
          <w:rFonts w:ascii="Times New Roman" w:hAnsi="Times New Roman"/>
          <w:i/>
          <w:noProof/>
          <w:sz w:val="20"/>
          <w:szCs w:val="20"/>
        </w:rPr>
        <w:t>Journal of Chromatography A</w:t>
      </w:r>
      <w:r w:rsidRPr="009B1768">
        <w:rPr>
          <w:rFonts w:ascii="Times New Roman" w:hAnsi="Times New Roman"/>
          <w:noProof/>
          <w:sz w:val="20"/>
          <w:szCs w:val="20"/>
        </w:rPr>
        <w:t>, 1095: 94–101.</w:t>
      </w:r>
    </w:p>
    <w:bookmarkEnd w:id="0"/>
    <w:p w:rsidR="00A74A7E" w:rsidRPr="007A738C" w:rsidRDefault="00A74A7E" w:rsidP="009B1768">
      <w:pPr>
        <w:spacing w:after="0" w:line="240" w:lineRule="auto"/>
        <w:jc w:val="both"/>
        <w:rPr>
          <w:rFonts w:ascii="Times New Roman" w:hAnsi="Times New Roman"/>
          <w:noProof/>
          <w:lang w:bidi="ar-SA"/>
        </w:rPr>
      </w:pPr>
    </w:p>
    <w:sectPr w:rsidR="00A74A7E" w:rsidRPr="007A738C" w:rsidSect="00404E76">
      <w:headerReference w:type="even" r:id="rId24"/>
      <w:headerReference w:type="default" r:id="rId25"/>
      <w:footerReference w:type="even" r:id="rId26"/>
      <w:footerReference w:type="default" r:id="rId27"/>
      <w:pgSz w:w="12240" w:h="15840" w:code="1"/>
      <w:pgMar w:top="1800" w:right="1469" w:bottom="1699" w:left="1440" w:header="706" w:footer="706" w:gutter="0"/>
      <w:pgNumType w:start="19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4E76" w:rsidRDefault="00404E76" w:rsidP="00FB4C59">
      <w:pPr>
        <w:spacing w:after="0" w:line="240" w:lineRule="auto"/>
      </w:pPr>
      <w:r>
        <w:separator/>
      </w:r>
    </w:p>
  </w:endnote>
  <w:endnote w:type="continuationSeparator" w:id="0">
    <w:p w:rsidR="00404E76" w:rsidRDefault="00404E76"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E76" w:rsidRDefault="00404E76">
    <w:pPr>
      <w:pStyle w:val="Footer"/>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CA7376">
      <w:rPr>
        <w:rFonts w:ascii="Times New Roman" w:hAnsi="Times New Roman"/>
        <w:noProof/>
      </w:rPr>
      <w:t>208</w:t>
    </w:r>
    <w:r w:rsidRPr="008B5904">
      <w:rPr>
        <w:rFonts w:ascii="Times New Roman" w:hAnsi="Times New Roman"/>
        <w:noProof/>
      </w:rPr>
      <w:fldChar w:fldCharType="end"/>
    </w:r>
  </w:p>
  <w:p w:rsidR="00404E76" w:rsidRPr="00FC5284" w:rsidRDefault="00404E76">
    <w:pPr>
      <w:pStyle w:val="Footer"/>
      <w:rPr>
        <w:rFonts w:ascii="Times New Roman" w:hAnsi="Times New Roman"/>
        <w:lang w:val="en-US"/>
      </w:rPr>
    </w:pPr>
  </w:p>
  <w:p w:rsidR="00404E76" w:rsidRDefault="00404E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E76" w:rsidRDefault="00404E76">
    <w:pPr>
      <w:pStyle w:val="Footer"/>
      <w:jc w:val="right"/>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CA7376">
      <w:rPr>
        <w:rFonts w:ascii="Times New Roman" w:hAnsi="Times New Roman"/>
        <w:noProof/>
      </w:rPr>
      <w:t>207</w:t>
    </w:r>
    <w:r w:rsidRPr="008B5904">
      <w:rPr>
        <w:rFonts w:ascii="Times New Roman" w:hAnsi="Times New Roman"/>
        <w:noProof/>
      </w:rPr>
      <w:fldChar w:fldCharType="end"/>
    </w:r>
  </w:p>
  <w:p w:rsidR="00404E76" w:rsidRPr="00FC5284" w:rsidRDefault="00404E76">
    <w:pPr>
      <w:pStyle w:val="Footer"/>
      <w:jc w:val="right"/>
      <w:rPr>
        <w:rFonts w:ascii="Times New Roman" w:hAnsi="Times New Roman"/>
        <w:lang w:val="en-US"/>
      </w:rPr>
    </w:pPr>
  </w:p>
  <w:p w:rsidR="00404E76" w:rsidRPr="004B43FF" w:rsidRDefault="00404E76">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4E76" w:rsidRDefault="00404E76" w:rsidP="00FB4C59">
      <w:pPr>
        <w:spacing w:after="0" w:line="240" w:lineRule="auto"/>
      </w:pPr>
      <w:r>
        <w:separator/>
      </w:r>
    </w:p>
  </w:footnote>
  <w:footnote w:type="continuationSeparator" w:id="0">
    <w:p w:rsidR="00404E76" w:rsidRDefault="00404E76"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E76" w:rsidRPr="008D3551" w:rsidRDefault="00404E76" w:rsidP="008D3551">
    <w:pPr>
      <w:keepNext/>
      <w:suppressAutoHyphens/>
      <w:spacing w:after="0" w:line="240" w:lineRule="auto"/>
      <w:ind w:left="1710" w:right="2" w:hanging="1710"/>
      <w:rPr>
        <w:rFonts w:ascii="Times New Roman" w:hAnsi="Times New Roman"/>
        <w:sz w:val="20"/>
        <w:szCs w:val="20"/>
      </w:rPr>
    </w:pPr>
    <w:r>
      <w:rPr>
        <w:rFonts w:ascii="Times New Roman" w:hAnsi="Times New Roman"/>
        <w:sz w:val="20"/>
        <w:szCs w:val="20"/>
      </w:rPr>
      <w:t>Harikrishnan et al</w:t>
    </w:r>
    <w:r w:rsidRPr="008D3551">
      <w:rPr>
        <w:rFonts w:ascii="Times New Roman" w:hAnsi="Times New Roman"/>
        <w:sz w:val="20"/>
        <w:szCs w:val="20"/>
      </w:rPr>
      <w:t xml:space="preserve">:   </w:t>
    </w:r>
    <w:r>
      <w:rPr>
        <w:rFonts w:ascii="Times New Roman" w:hAnsi="Times New Roman"/>
        <w:sz w:val="20"/>
        <w:szCs w:val="20"/>
      </w:rPr>
      <w:tab/>
    </w:r>
    <w:r w:rsidRPr="008D3551">
      <w:rPr>
        <w:rFonts w:ascii="Times New Roman" w:hAnsi="Times New Roman"/>
        <w:sz w:val="20"/>
        <w:szCs w:val="20"/>
      </w:rPr>
      <w:t>VORTEX-ASSISTED SUPRAMOLECULAR-BASED DISPERSIVE LIQUID PHASE MICROEXTRACTION FOR SPECTROPHOTOMETRIC DETERMINATION OF RHODAMINE B IN CHILI POWDER</w:t>
    </w:r>
  </w:p>
  <w:p w:rsidR="00404E76" w:rsidRPr="008D3551" w:rsidRDefault="00404E76">
    <w:pPr>
      <w:pStyle w:val="Header"/>
      <w:rPr>
        <w:lang w:val="en-MY"/>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E76" w:rsidRDefault="00404E76" w:rsidP="006B72B0">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197 - 208</w:t>
    </w:r>
  </w:p>
  <w:p w:rsidR="00404E76" w:rsidRPr="00F4760B" w:rsidRDefault="00404E76"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115C4"/>
    <w:multiLevelType w:val="hybridMultilevel"/>
    <w:tmpl w:val="49CA526A"/>
    <w:lvl w:ilvl="0" w:tplc="4409000F">
      <w:start w:val="1"/>
      <w:numFmt w:val="decimal"/>
      <w:lvlText w:val="%1."/>
      <w:lvlJc w:val="left"/>
      <w:pPr>
        <w:ind w:left="720" w:hanging="360"/>
      </w:pPr>
      <w:rPr>
        <w:rFonts w:eastAsia="Times New Roman"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1CF64656"/>
    <w:multiLevelType w:val="hybridMultilevel"/>
    <w:tmpl w:val="4CFE297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41111"/>
    <w:rsid w:val="00084936"/>
    <w:rsid w:val="000C49FF"/>
    <w:rsid w:val="000D16A1"/>
    <w:rsid w:val="000D2B0C"/>
    <w:rsid w:val="000F77DA"/>
    <w:rsid w:val="001068E8"/>
    <w:rsid w:val="001106D8"/>
    <w:rsid w:val="00117BCD"/>
    <w:rsid w:val="001A3275"/>
    <w:rsid w:val="001D035A"/>
    <w:rsid w:val="001D3855"/>
    <w:rsid w:val="001D6F2C"/>
    <w:rsid w:val="00233177"/>
    <w:rsid w:val="002627A2"/>
    <w:rsid w:val="00277498"/>
    <w:rsid w:val="002860B7"/>
    <w:rsid w:val="00290F4D"/>
    <w:rsid w:val="00294081"/>
    <w:rsid w:val="002A2FC0"/>
    <w:rsid w:val="002B188F"/>
    <w:rsid w:val="002B3BD8"/>
    <w:rsid w:val="002F3F91"/>
    <w:rsid w:val="002F55F5"/>
    <w:rsid w:val="00304767"/>
    <w:rsid w:val="00304B34"/>
    <w:rsid w:val="00312A6F"/>
    <w:rsid w:val="00352D57"/>
    <w:rsid w:val="003609F3"/>
    <w:rsid w:val="00361BAF"/>
    <w:rsid w:val="00362FCE"/>
    <w:rsid w:val="00367D1F"/>
    <w:rsid w:val="003B4FC1"/>
    <w:rsid w:val="003B6019"/>
    <w:rsid w:val="003D585B"/>
    <w:rsid w:val="003E7DA6"/>
    <w:rsid w:val="003F12FF"/>
    <w:rsid w:val="00404E76"/>
    <w:rsid w:val="004760D4"/>
    <w:rsid w:val="00482180"/>
    <w:rsid w:val="00486EFF"/>
    <w:rsid w:val="00494C46"/>
    <w:rsid w:val="004B43FF"/>
    <w:rsid w:val="004C7089"/>
    <w:rsid w:val="004D7E25"/>
    <w:rsid w:val="004F265B"/>
    <w:rsid w:val="00502641"/>
    <w:rsid w:val="0054578F"/>
    <w:rsid w:val="00574E6D"/>
    <w:rsid w:val="005C6768"/>
    <w:rsid w:val="005E4871"/>
    <w:rsid w:val="00601C8A"/>
    <w:rsid w:val="00617AA2"/>
    <w:rsid w:val="006257E5"/>
    <w:rsid w:val="00634C25"/>
    <w:rsid w:val="0063542E"/>
    <w:rsid w:val="00637469"/>
    <w:rsid w:val="006416AB"/>
    <w:rsid w:val="0065373D"/>
    <w:rsid w:val="00660445"/>
    <w:rsid w:val="00664F73"/>
    <w:rsid w:val="00666974"/>
    <w:rsid w:val="006768E9"/>
    <w:rsid w:val="00687982"/>
    <w:rsid w:val="006B3EC8"/>
    <w:rsid w:val="006B72B0"/>
    <w:rsid w:val="006D286E"/>
    <w:rsid w:val="006D695E"/>
    <w:rsid w:val="00725A6A"/>
    <w:rsid w:val="007706A6"/>
    <w:rsid w:val="007943F3"/>
    <w:rsid w:val="007A0583"/>
    <w:rsid w:val="007A738C"/>
    <w:rsid w:val="007B1349"/>
    <w:rsid w:val="007D45AC"/>
    <w:rsid w:val="007E25BD"/>
    <w:rsid w:val="00802C35"/>
    <w:rsid w:val="0082181A"/>
    <w:rsid w:val="0082457A"/>
    <w:rsid w:val="00825624"/>
    <w:rsid w:val="0083587A"/>
    <w:rsid w:val="00883CC3"/>
    <w:rsid w:val="008B470E"/>
    <w:rsid w:val="008B5904"/>
    <w:rsid w:val="008D1880"/>
    <w:rsid w:val="008D29BF"/>
    <w:rsid w:val="008D3551"/>
    <w:rsid w:val="008E1211"/>
    <w:rsid w:val="008E5BBF"/>
    <w:rsid w:val="008E6968"/>
    <w:rsid w:val="008F45FE"/>
    <w:rsid w:val="009211AF"/>
    <w:rsid w:val="00921742"/>
    <w:rsid w:val="009357B8"/>
    <w:rsid w:val="00956CC2"/>
    <w:rsid w:val="009866F6"/>
    <w:rsid w:val="009B0F4A"/>
    <w:rsid w:val="009B1768"/>
    <w:rsid w:val="009B3139"/>
    <w:rsid w:val="009D030D"/>
    <w:rsid w:val="00A049C6"/>
    <w:rsid w:val="00A07E7A"/>
    <w:rsid w:val="00A14DB9"/>
    <w:rsid w:val="00A4762A"/>
    <w:rsid w:val="00A64690"/>
    <w:rsid w:val="00A74A7E"/>
    <w:rsid w:val="00A85E24"/>
    <w:rsid w:val="00AA43F9"/>
    <w:rsid w:val="00AD1B8A"/>
    <w:rsid w:val="00AE713F"/>
    <w:rsid w:val="00AF2305"/>
    <w:rsid w:val="00AF2821"/>
    <w:rsid w:val="00AF4494"/>
    <w:rsid w:val="00B1121C"/>
    <w:rsid w:val="00B25B65"/>
    <w:rsid w:val="00B2770A"/>
    <w:rsid w:val="00B314AD"/>
    <w:rsid w:val="00B51963"/>
    <w:rsid w:val="00B57BD3"/>
    <w:rsid w:val="00B62957"/>
    <w:rsid w:val="00B75BF6"/>
    <w:rsid w:val="00B7735A"/>
    <w:rsid w:val="00B91DE7"/>
    <w:rsid w:val="00BA1F7B"/>
    <w:rsid w:val="00BB58AF"/>
    <w:rsid w:val="00BE6617"/>
    <w:rsid w:val="00BE7C30"/>
    <w:rsid w:val="00C055BF"/>
    <w:rsid w:val="00C20570"/>
    <w:rsid w:val="00C2226A"/>
    <w:rsid w:val="00C23746"/>
    <w:rsid w:val="00C94D92"/>
    <w:rsid w:val="00C97340"/>
    <w:rsid w:val="00CA513F"/>
    <w:rsid w:val="00CA7376"/>
    <w:rsid w:val="00CB3AA6"/>
    <w:rsid w:val="00CE2BC6"/>
    <w:rsid w:val="00CF05FF"/>
    <w:rsid w:val="00D257FB"/>
    <w:rsid w:val="00D340BB"/>
    <w:rsid w:val="00D34708"/>
    <w:rsid w:val="00D505D5"/>
    <w:rsid w:val="00D54158"/>
    <w:rsid w:val="00D613A2"/>
    <w:rsid w:val="00D6781A"/>
    <w:rsid w:val="00D75B35"/>
    <w:rsid w:val="00D76E09"/>
    <w:rsid w:val="00D9736F"/>
    <w:rsid w:val="00D9792A"/>
    <w:rsid w:val="00DD0CD5"/>
    <w:rsid w:val="00DD377F"/>
    <w:rsid w:val="00DD7C38"/>
    <w:rsid w:val="00E25547"/>
    <w:rsid w:val="00E3287E"/>
    <w:rsid w:val="00E36E1D"/>
    <w:rsid w:val="00E413DA"/>
    <w:rsid w:val="00E54D12"/>
    <w:rsid w:val="00E66197"/>
    <w:rsid w:val="00F121A0"/>
    <w:rsid w:val="00F31093"/>
    <w:rsid w:val="00F33AB1"/>
    <w:rsid w:val="00F412AF"/>
    <w:rsid w:val="00F43667"/>
    <w:rsid w:val="00F447A7"/>
    <w:rsid w:val="00F4760B"/>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FootnoteTextChar">
    <w:name w:val="Footnote Text Char"/>
    <w:basedOn w:val="DefaultParagraphFont"/>
    <w:link w:val="FootnoteText"/>
    <w:uiPriority w:val="99"/>
    <w:semiHidden/>
    <w:rsid w:val="00486EFF"/>
    <w:rPr>
      <w:rFonts w:asciiTheme="minorHAnsi" w:eastAsiaTheme="minorEastAsia" w:hAnsiTheme="minorHAnsi" w:cstheme="minorBidi"/>
      <w:lang w:eastAsia="zh-CN"/>
    </w:rPr>
  </w:style>
  <w:style w:type="paragraph" w:styleId="FootnoteText">
    <w:name w:val="footnote text"/>
    <w:basedOn w:val="Normal"/>
    <w:link w:val="FootnoteTextChar"/>
    <w:uiPriority w:val="99"/>
    <w:semiHidden/>
    <w:unhideWhenUsed/>
    <w:rsid w:val="00486EFF"/>
    <w:pPr>
      <w:spacing w:after="0" w:line="240" w:lineRule="auto"/>
    </w:pPr>
    <w:rPr>
      <w:rFonts w:asciiTheme="minorHAnsi" w:eastAsiaTheme="minorEastAsia" w:hAnsiTheme="minorHAnsi" w:cstheme="minorBidi"/>
      <w:sz w:val="20"/>
      <w:szCs w:val="20"/>
      <w:lang w:val="en-MY" w:eastAsia="zh-CN" w:bidi="ar-SA"/>
    </w:rPr>
  </w:style>
  <w:style w:type="character" w:customStyle="1" w:styleId="CommentTextChar">
    <w:name w:val="Comment Text Char"/>
    <w:basedOn w:val="DefaultParagraphFont"/>
    <w:link w:val="CommentText"/>
    <w:uiPriority w:val="99"/>
    <w:semiHidden/>
    <w:rsid w:val="00486EFF"/>
    <w:rPr>
      <w:rFonts w:asciiTheme="minorHAnsi" w:eastAsiaTheme="minorEastAsia" w:hAnsiTheme="minorHAnsi" w:cstheme="minorBidi"/>
      <w:lang w:eastAsia="zh-CN"/>
    </w:rPr>
  </w:style>
  <w:style w:type="paragraph" w:styleId="CommentText">
    <w:name w:val="annotation text"/>
    <w:basedOn w:val="Normal"/>
    <w:link w:val="CommentTextChar"/>
    <w:uiPriority w:val="99"/>
    <w:semiHidden/>
    <w:unhideWhenUsed/>
    <w:rsid w:val="00486EFF"/>
    <w:pPr>
      <w:spacing w:after="160" w:line="240" w:lineRule="auto"/>
    </w:pPr>
    <w:rPr>
      <w:rFonts w:asciiTheme="minorHAnsi" w:eastAsiaTheme="minorEastAsia" w:hAnsiTheme="minorHAnsi" w:cstheme="minorBidi"/>
      <w:sz w:val="20"/>
      <w:szCs w:val="20"/>
      <w:lang w:val="en-MY" w:eastAsia="zh-CN" w:bidi="ar-SA"/>
    </w:rPr>
  </w:style>
  <w:style w:type="character" w:customStyle="1" w:styleId="CommentSubjectChar">
    <w:name w:val="Comment Subject Char"/>
    <w:basedOn w:val="CommentTextChar"/>
    <w:link w:val="CommentSubject"/>
    <w:uiPriority w:val="99"/>
    <w:semiHidden/>
    <w:rsid w:val="00486EFF"/>
    <w:rPr>
      <w:rFonts w:asciiTheme="minorHAnsi" w:eastAsiaTheme="minorEastAsia" w:hAnsiTheme="minorHAnsi" w:cstheme="minorBidi"/>
      <w:b/>
      <w:bCs/>
      <w:lang w:eastAsia="zh-CN"/>
    </w:rPr>
  </w:style>
  <w:style w:type="paragraph" w:styleId="CommentSubject">
    <w:name w:val="annotation subject"/>
    <w:basedOn w:val="CommentText"/>
    <w:next w:val="CommentText"/>
    <w:link w:val="CommentSubjectChar"/>
    <w:uiPriority w:val="99"/>
    <w:semiHidden/>
    <w:unhideWhenUsed/>
    <w:rsid w:val="00486EFF"/>
    <w:rPr>
      <w:b/>
      <w:bCs/>
    </w:rPr>
  </w:style>
  <w:style w:type="character" w:styleId="FootnoteReference">
    <w:name w:val="footnote reference"/>
    <w:basedOn w:val="DefaultParagraphFont"/>
    <w:uiPriority w:val="99"/>
    <w:semiHidden/>
    <w:unhideWhenUsed/>
    <w:rsid w:val="00486EF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FootnoteTextChar">
    <w:name w:val="Footnote Text Char"/>
    <w:basedOn w:val="DefaultParagraphFont"/>
    <w:link w:val="FootnoteText"/>
    <w:uiPriority w:val="99"/>
    <w:semiHidden/>
    <w:rsid w:val="00486EFF"/>
    <w:rPr>
      <w:rFonts w:asciiTheme="minorHAnsi" w:eastAsiaTheme="minorEastAsia" w:hAnsiTheme="minorHAnsi" w:cstheme="minorBidi"/>
      <w:lang w:eastAsia="zh-CN"/>
    </w:rPr>
  </w:style>
  <w:style w:type="paragraph" w:styleId="FootnoteText">
    <w:name w:val="footnote text"/>
    <w:basedOn w:val="Normal"/>
    <w:link w:val="FootnoteTextChar"/>
    <w:uiPriority w:val="99"/>
    <w:semiHidden/>
    <w:unhideWhenUsed/>
    <w:rsid w:val="00486EFF"/>
    <w:pPr>
      <w:spacing w:after="0" w:line="240" w:lineRule="auto"/>
    </w:pPr>
    <w:rPr>
      <w:rFonts w:asciiTheme="minorHAnsi" w:eastAsiaTheme="minorEastAsia" w:hAnsiTheme="minorHAnsi" w:cstheme="minorBidi"/>
      <w:sz w:val="20"/>
      <w:szCs w:val="20"/>
      <w:lang w:val="en-MY" w:eastAsia="zh-CN" w:bidi="ar-SA"/>
    </w:rPr>
  </w:style>
  <w:style w:type="character" w:customStyle="1" w:styleId="CommentTextChar">
    <w:name w:val="Comment Text Char"/>
    <w:basedOn w:val="DefaultParagraphFont"/>
    <w:link w:val="CommentText"/>
    <w:uiPriority w:val="99"/>
    <w:semiHidden/>
    <w:rsid w:val="00486EFF"/>
    <w:rPr>
      <w:rFonts w:asciiTheme="minorHAnsi" w:eastAsiaTheme="minorEastAsia" w:hAnsiTheme="minorHAnsi" w:cstheme="minorBidi"/>
      <w:lang w:eastAsia="zh-CN"/>
    </w:rPr>
  </w:style>
  <w:style w:type="paragraph" w:styleId="CommentText">
    <w:name w:val="annotation text"/>
    <w:basedOn w:val="Normal"/>
    <w:link w:val="CommentTextChar"/>
    <w:uiPriority w:val="99"/>
    <w:semiHidden/>
    <w:unhideWhenUsed/>
    <w:rsid w:val="00486EFF"/>
    <w:pPr>
      <w:spacing w:after="160" w:line="240" w:lineRule="auto"/>
    </w:pPr>
    <w:rPr>
      <w:rFonts w:asciiTheme="minorHAnsi" w:eastAsiaTheme="minorEastAsia" w:hAnsiTheme="minorHAnsi" w:cstheme="minorBidi"/>
      <w:sz w:val="20"/>
      <w:szCs w:val="20"/>
      <w:lang w:val="en-MY" w:eastAsia="zh-CN" w:bidi="ar-SA"/>
    </w:rPr>
  </w:style>
  <w:style w:type="character" w:customStyle="1" w:styleId="CommentSubjectChar">
    <w:name w:val="Comment Subject Char"/>
    <w:basedOn w:val="CommentTextChar"/>
    <w:link w:val="CommentSubject"/>
    <w:uiPriority w:val="99"/>
    <w:semiHidden/>
    <w:rsid w:val="00486EFF"/>
    <w:rPr>
      <w:rFonts w:asciiTheme="minorHAnsi" w:eastAsiaTheme="minorEastAsia" w:hAnsiTheme="minorHAnsi" w:cstheme="minorBidi"/>
      <w:b/>
      <w:bCs/>
      <w:lang w:eastAsia="zh-CN"/>
    </w:rPr>
  </w:style>
  <w:style w:type="paragraph" w:styleId="CommentSubject">
    <w:name w:val="annotation subject"/>
    <w:basedOn w:val="CommentText"/>
    <w:next w:val="CommentText"/>
    <w:link w:val="CommentSubjectChar"/>
    <w:uiPriority w:val="99"/>
    <w:semiHidden/>
    <w:unhideWhenUsed/>
    <w:rsid w:val="00486EFF"/>
    <w:rPr>
      <w:b/>
      <w:bCs/>
    </w:rPr>
  </w:style>
  <w:style w:type="character" w:styleId="FootnoteReference">
    <w:name w:val="footnote reference"/>
    <w:basedOn w:val="DefaultParagraphFont"/>
    <w:uiPriority w:val="99"/>
    <w:semiHidden/>
    <w:unhideWhenUsed/>
    <w:rsid w:val="00486E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9.e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oleObject" Target="embeddings/oleObject3.bin"/><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oleObject" Target="embeddings/oleObject1.bin"/><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0.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oleObject" Target="embeddings/oleObject2.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1.png"/><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94B90-B666-412F-AD85-B0B0660EB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12</Pages>
  <Words>13531</Words>
  <Characters>77539</Characters>
  <Application>Microsoft Office Word</Application>
  <DocSecurity>0</DocSecurity>
  <Lines>1582</Lines>
  <Paragraphs>711</Paragraphs>
  <ScaleCrop>false</ScaleCrop>
  <HeadingPairs>
    <vt:vector size="2" baseType="variant">
      <vt:variant>
        <vt:lpstr>Title</vt:lpstr>
      </vt:variant>
      <vt:variant>
        <vt:i4>1</vt:i4>
      </vt:variant>
    </vt:vector>
  </HeadingPairs>
  <TitlesOfParts>
    <vt:vector size="1" baseType="lpstr">
      <vt:lpstr>MJAS Vol 24 No 2 (2020)</vt:lpstr>
    </vt:vector>
  </TitlesOfParts>
  <Company>UKM</Company>
  <LinksUpToDate>false</LinksUpToDate>
  <CharactersWithSpaces>90359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2 (2020)</dc:title>
  <dc:creator>Harun Hj Hamzah</dc:creator>
  <cp:lastModifiedBy>Harun</cp:lastModifiedBy>
  <cp:revision>11</cp:revision>
  <cp:lastPrinted>2020-03-24T08:03:00Z</cp:lastPrinted>
  <dcterms:created xsi:type="dcterms:W3CDTF">2020-03-24T07:22:00Z</dcterms:created>
  <dcterms:modified xsi:type="dcterms:W3CDTF">2020-03-24T08:10:00Z</dcterms:modified>
</cp:coreProperties>
</file>