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F3E" w:rsidRDefault="001573E3" w:rsidP="001573E3">
      <w:pPr>
        <w:spacing w:after="0" w:line="240" w:lineRule="auto"/>
        <w:rPr>
          <w:rFonts w:ascii="Times New Roman" w:hAnsi="Times New Roman" w:cs="Times New Roman"/>
          <w:sz w:val="24"/>
          <w:szCs w:val="24"/>
        </w:rPr>
      </w:pPr>
      <w:r w:rsidRPr="001573E3">
        <w:rPr>
          <w:rFonts w:ascii="Times New Roman" w:hAnsi="Times New Roman" w:cs="Times New Roman"/>
          <w:sz w:val="24"/>
          <w:szCs w:val="24"/>
        </w:rPr>
        <w:t>Malaysian Journal of</w:t>
      </w:r>
      <w:r w:rsidR="00D04BC8">
        <w:rPr>
          <w:rFonts w:ascii="Times New Roman" w:hAnsi="Times New Roman" w:cs="Times New Roman"/>
          <w:sz w:val="24"/>
          <w:szCs w:val="24"/>
        </w:rPr>
        <w:t xml:space="preserve"> Analytical Sciences Vol 24 No 2</w:t>
      </w:r>
      <w:r w:rsidR="00C72F3E">
        <w:rPr>
          <w:rFonts w:ascii="Times New Roman" w:hAnsi="Times New Roman" w:cs="Times New Roman"/>
          <w:sz w:val="24"/>
          <w:szCs w:val="24"/>
        </w:rPr>
        <w:t xml:space="preserve"> (2020</w:t>
      </w:r>
      <w:r w:rsidRPr="001573E3">
        <w:rPr>
          <w:rFonts w:ascii="Times New Roman" w:hAnsi="Times New Roman" w:cs="Times New Roman"/>
          <w:sz w:val="24"/>
          <w:szCs w:val="24"/>
        </w:rPr>
        <w:t xml:space="preserve">): </w:t>
      </w:r>
      <w:r w:rsidR="00E74455">
        <w:rPr>
          <w:rFonts w:ascii="Times New Roman" w:hAnsi="Times New Roman" w:cs="Times New Roman"/>
          <w:sz w:val="24"/>
          <w:szCs w:val="24"/>
        </w:rPr>
        <w:t>276 - 287</w:t>
      </w:r>
    </w:p>
    <w:p w:rsidR="00E74455" w:rsidRDefault="00E74455" w:rsidP="001573E3">
      <w:pPr>
        <w:spacing w:after="0" w:line="240" w:lineRule="auto"/>
        <w:rPr>
          <w:rFonts w:ascii="Times New Roman" w:hAnsi="Times New Roman" w:cs="Times New Roman"/>
          <w:sz w:val="24"/>
          <w:szCs w:val="24"/>
        </w:rPr>
      </w:pPr>
    </w:p>
    <w:p w:rsidR="00E74455" w:rsidRDefault="00E74455" w:rsidP="001573E3">
      <w:pPr>
        <w:spacing w:after="0" w:line="240" w:lineRule="auto"/>
        <w:rPr>
          <w:rFonts w:ascii="Times New Roman" w:hAnsi="Times New Roman" w:cs="Times New Roman"/>
          <w:sz w:val="24"/>
          <w:szCs w:val="24"/>
        </w:rPr>
      </w:pPr>
    </w:p>
    <w:p w:rsidR="00E74455" w:rsidRDefault="00E74455" w:rsidP="001573E3">
      <w:pPr>
        <w:spacing w:after="0" w:line="240" w:lineRule="auto"/>
        <w:rPr>
          <w:rFonts w:ascii="Times New Roman" w:hAnsi="Times New Roman" w:cs="Times New Roman"/>
          <w:sz w:val="24"/>
          <w:szCs w:val="24"/>
        </w:rPr>
      </w:pPr>
    </w:p>
    <w:p w:rsidR="00E74455" w:rsidRDefault="00E74455" w:rsidP="001573E3">
      <w:pPr>
        <w:spacing w:after="0" w:line="240" w:lineRule="auto"/>
        <w:rPr>
          <w:rFonts w:ascii="Times New Roman" w:hAnsi="Times New Roman" w:cs="Times New Roman"/>
          <w:sz w:val="24"/>
          <w:szCs w:val="24"/>
        </w:rPr>
      </w:pPr>
    </w:p>
    <w:p w:rsidR="00E74455" w:rsidRPr="00987E68" w:rsidRDefault="00E74455" w:rsidP="00E74455">
      <w:pPr>
        <w:spacing w:after="0" w:line="240" w:lineRule="auto"/>
        <w:jc w:val="center"/>
        <w:outlineLvl w:val="0"/>
        <w:rPr>
          <w:rFonts w:ascii="Times New Roman" w:hAnsi="Times New Roman" w:cs="Times New Roman"/>
          <w:sz w:val="28"/>
          <w:szCs w:val="28"/>
        </w:rPr>
      </w:pPr>
      <w:bookmarkStart w:id="0" w:name="_Hlk34833785"/>
      <w:r w:rsidRPr="00987E68">
        <w:rPr>
          <w:rFonts w:ascii="Times New Roman" w:hAnsi="Times New Roman" w:cs="Times New Roman"/>
          <w:sz w:val="28"/>
          <w:szCs w:val="28"/>
        </w:rPr>
        <w:t>SOURCE DETERMI</w:t>
      </w:r>
      <w:r>
        <w:rPr>
          <w:rFonts w:ascii="Times New Roman" w:hAnsi="Times New Roman"/>
          <w:sz w:val="28"/>
          <w:szCs w:val="28"/>
        </w:rPr>
        <w:t xml:space="preserve">NATION OF PSEUDOEPHEDRINE USING </w:t>
      </w:r>
      <w:r w:rsidRPr="00987E68">
        <w:rPr>
          <w:rFonts w:ascii="Times New Roman" w:hAnsi="Times New Roman" w:cs="Times New Roman"/>
          <w:sz w:val="28"/>
          <w:szCs w:val="28"/>
        </w:rPr>
        <w:t>ATTENUATED TOTAL REFLECTANCE FOURIER TRANSFORM</w:t>
      </w:r>
      <w:r>
        <w:rPr>
          <w:rFonts w:ascii="Times New Roman" w:hAnsi="Times New Roman"/>
          <w:sz w:val="28"/>
          <w:szCs w:val="28"/>
        </w:rPr>
        <w:t xml:space="preserve"> </w:t>
      </w:r>
      <w:r w:rsidRPr="00987E68">
        <w:rPr>
          <w:rFonts w:ascii="Times New Roman" w:hAnsi="Times New Roman" w:cs="Times New Roman"/>
          <w:sz w:val="28"/>
          <w:szCs w:val="28"/>
        </w:rPr>
        <w:t>INFRARED SPECTROSCOPY COMBINED WITH</w:t>
      </w:r>
      <w:r>
        <w:rPr>
          <w:rFonts w:ascii="Times New Roman" w:hAnsi="Times New Roman"/>
          <w:sz w:val="28"/>
          <w:szCs w:val="28"/>
        </w:rPr>
        <w:t xml:space="preserve"> </w:t>
      </w:r>
      <w:r w:rsidRPr="00987E68">
        <w:rPr>
          <w:rFonts w:ascii="Times New Roman" w:hAnsi="Times New Roman" w:cs="Times New Roman"/>
          <w:sz w:val="28"/>
          <w:szCs w:val="28"/>
        </w:rPr>
        <w:t>CHEMOMETRIC ANALYSIS</w:t>
      </w:r>
    </w:p>
    <w:bookmarkEnd w:id="0"/>
    <w:p w:rsidR="00E74455" w:rsidRPr="00987E68" w:rsidRDefault="00E74455" w:rsidP="00E74455">
      <w:pPr>
        <w:spacing w:after="0" w:line="240" w:lineRule="auto"/>
        <w:jc w:val="center"/>
        <w:outlineLvl w:val="0"/>
        <w:rPr>
          <w:rFonts w:ascii="Times New Roman" w:hAnsi="Times New Roman" w:cs="Times New Roman"/>
          <w:sz w:val="24"/>
          <w:szCs w:val="24"/>
        </w:rPr>
      </w:pPr>
    </w:p>
    <w:p w:rsidR="00E74455" w:rsidRPr="00987E68" w:rsidRDefault="00E74455" w:rsidP="00E74455">
      <w:pPr>
        <w:spacing w:after="0" w:line="240" w:lineRule="auto"/>
        <w:jc w:val="center"/>
        <w:outlineLvl w:val="0"/>
        <w:rPr>
          <w:rFonts w:ascii="Times New Roman" w:hAnsi="Times New Roman" w:cs="Times New Roman"/>
          <w:noProof/>
          <w:sz w:val="24"/>
        </w:rPr>
      </w:pPr>
      <w:r w:rsidRPr="00987E68">
        <w:rPr>
          <w:rFonts w:ascii="Times New Roman" w:hAnsi="Times New Roman" w:cs="Times New Roman"/>
          <w:noProof/>
          <w:sz w:val="24"/>
        </w:rPr>
        <w:t>(Penentuan Sumber Pseudoephederin Menggunakan S</w:t>
      </w:r>
      <w:r>
        <w:rPr>
          <w:rFonts w:ascii="Times New Roman" w:hAnsi="Times New Roman"/>
          <w:noProof/>
          <w:sz w:val="24"/>
        </w:rPr>
        <w:t xml:space="preserve">pektroskopi Atenuasi Pembalikan </w:t>
      </w:r>
      <w:r w:rsidRPr="00987E68">
        <w:rPr>
          <w:rFonts w:ascii="Times New Roman" w:hAnsi="Times New Roman" w:cs="Times New Roman"/>
          <w:noProof/>
          <w:sz w:val="24"/>
        </w:rPr>
        <w:t>Transformasi Fourier Digabungkan Dengan Analisis Kemometrik)</w:t>
      </w:r>
    </w:p>
    <w:p w:rsidR="00E74455" w:rsidRPr="00987E68" w:rsidRDefault="00E74455" w:rsidP="00E74455">
      <w:pPr>
        <w:spacing w:after="0" w:line="240" w:lineRule="auto"/>
        <w:jc w:val="center"/>
        <w:outlineLvl w:val="0"/>
        <w:rPr>
          <w:rFonts w:ascii="Times New Roman" w:hAnsi="Times New Roman" w:cs="Times New Roman"/>
          <w:b/>
          <w:sz w:val="20"/>
          <w:szCs w:val="20"/>
        </w:rPr>
      </w:pPr>
    </w:p>
    <w:p w:rsidR="00E74455" w:rsidRPr="00987E68" w:rsidRDefault="00E74455" w:rsidP="00E74455">
      <w:pPr>
        <w:spacing w:after="0" w:line="240" w:lineRule="auto"/>
        <w:jc w:val="center"/>
        <w:outlineLvl w:val="0"/>
        <w:rPr>
          <w:rFonts w:ascii="Times New Roman" w:hAnsi="Times New Roman" w:cs="Times New Roman"/>
          <w:noProof/>
          <w:sz w:val="20"/>
          <w:szCs w:val="20"/>
        </w:rPr>
      </w:pPr>
      <w:bookmarkStart w:id="1" w:name="_Hlk34833711"/>
      <w:r w:rsidRPr="00987E68">
        <w:rPr>
          <w:rFonts w:ascii="Times New Roman" w:hAnsi="Times New Roman" w:cs="Times New Roman"/>
          <w:noProof/>
          <w:sz w:val="20"/>
          <w:szCs w:val="20"/>
        </w:rPr>
        <w:t>Ainol Hayah Ahmad Nadzri</w:t>
      </w:r>
      <w:r w:rsidRPr="00987E68">
        <w:rPr>
          <w:rFonts w:ascii="Times New Roman" w:hAnsi="Times New Roman" w:cs="Times New Roman"/>
          <w:noProof/>
          <w:sz w:val="20"/>
          <w:szCs w:val="20"/>
          <w:vertAlign w:val="superscript"/>
        </w:rPr>
        <w:t>1</w:t>
      </w:r>
      <w:r w:rsidRPr="00987E68">
        <w:rPr>
          <w:rFonts w:ascii="Times New Roman" w:hAnsi="Times New Roman" w:cs="Times New Roman"/>
          <w:noProof/>
          <w:sz w:val="20"/>
          <w:szCs w:val="20"/>
        </w:rPr>
        <w:t>, Saravana Kumar Jayaram</w:t>
      </w:r>
      <w:r w:rsidRPr="00987E68">
        <w:rPr>
          <w:rFonts w:ascii="Times New Roman" w:hAnsi="Times New Roman" w:cs="Times New Roman"/>
          <w:noProof/>
          <w:sz w:val="20"/>
          <w:szCs w:val="20"/>
          <w:vertAlign w:val="superscript"/>
        </w:rPr>
        <w:t>2</w:t>
      </w:r>
      <w:r w:rsidRPr="00987E68">
        <w:rPr>
          <w:rFonts w:ascii="Times New Roman" w:hAnsi="Times New Roman" w:cs="Times New Roman"/>
          <w:noProof/>
          <w:sz w:val="20"/>
          <w:szCs w:val="20"/>
        </w:rPr>
        <w:t>, Puteri Nurul Hassanah Anuar</w:t>
      </w:r>
      <w:r w:rsidRPr="00987E68">
        <w:rPr>
          <w:rFonts w:ascii="Times New Roman" w:hAnsi="Times New Roman" w:cs="Times New Roman"/>
          <w:noProof/>
          <w:sz w:val="20"/>
          <w:szCs w:val="20"/>
          <w:vertAlign w:val="superscript"/>
        </w:rPr>
        <w:t>1</w:t>
      </w:r>
      <w:r w:rsidRPr="00987E68">
        <w:rPr>
          <w:rFonts w:ascii="Times New Roman" w:hAnsi="Times New Roman" w:cs="Times New Roman"/>
          <w:noProof/>
          <w:sz w:val="20"/>
          <w:szCs w:val="20"/>
        </w:rPr>
        <w:t xml:space="preserve">, </w:t>
      </w:r>
    </w:p>
    <w:p w:rsidR="00E74455" w:rsidRPr="00987E68" w:rsidRDefault="00E74455" w:rsidP="00E74455">
      <w:pPr>
        <w:spacing w:after="0" w:line="240" w:lineRule="auto"/>
        <w:jc w:val="center"/>
        <w:outlineLvl w:val="0"/>
        <w:rPr>
          <w:rFonts w:ascii="Times New Roman" w:hAnsi="Times New Roman" w:cs="Times New Roman"/>
          <w:noProof/>
          <w:sz w:val="20"/>
          <w:szCs w:val="20"/>
          <w:vertAlign w:val="superscript"/>
        </w:rPr>
      </w:pPr>
      <w:r w:rsidRPr="00987E68">
        <w:rPr>
          <w:rFonts w:ascii="Times New Roman" w:hAnsi="Times New Roman" w:cs="Times New Roman"/>
          <w:noProof/>
          <w:sz w:val="20"/>
          <w:szCs w:val="20"/>
        </w:rPr>
        <w:t>Noor Zuhartini Md Muslim</w:t>
      </w:r>
      <w:r w:rsidRPr="00987E68">
        <w:rPr>
          <w:rFonts w:ascii="Times New Roman" w:hAnsi="Times New Roman" w:cs="Times New Roman"/>
          <w:noProof/>
          <w:sz w:val="20"/>
          <w:szCs w:val="20"/>
          <w:vertAlign w:val="superscript"/>
        </w:rPr>
        <w:t>1</w:t>
      </w:r>
      <w:r w:rsidRPr="00987E68">
        <w:rPr>
          <w:rFonts w:ascii="Times New Roman" w:hAnsi="Times New Roman" w:cs="Times New Roman"/>
          <w:noProof/>
          <w:sz w:val="20"/>
          <w:szCs w:val="20"/>
        </w:rPr>
        <w:t>, Dzulkiflee Ismail</w:t>
      </w:r>
      <w:r w:rsidRPr="00987E68">
        <w:rPr>
          <w:rFonts w:ascii="Times New Roman" w:hAnsi="Times New Roman" w:cs="Times New Roman"/>
          <w:noProof/>
          <w:sz w:val="20"/>
          <w:szCs w:val="20"/>
          <w:vertAlign w:val="superscript"/>
        </w:rPr>
        <w:t>1</w:t>
      </w:r>
      <w:r w:rsidRPr="00987E68">
        <w:rPr>
          <w:rFonts w:ascii="Times New Roman" w:hAnsi="Times New Roman" w:cs="Times New Roman"/>
          <w:noProof/>
          <w:sz w:val="20"/>
          <w:szCs w:val="20"/>
        </w:rPr>
        <w:t>,</w:t>
      </w:r>
      <w:r w:rsidRPr="00987E68">
        <w:rPr>
          <w:rFonts w:ascii="Times New Roman" w:hAnsi="Times New Roman" w:cs="Times New Roman"/>
          <w:noProof/>
          <w:sz w:val="20"/>
          <w:szCs w:val="20"/>
          <w:vertAlign w:val="superscript"/>
        </w:rPr>
        <w:t xml:space="preserve"> </w:t>
      </w:r>
      <w:r w:rsidRPr="00987E68">
        <w:rPr>
          <w:rFonts w:ascii="Times New Roman" w:hAnsi="Times New Roman" w:cs="Times New Roman"/>
          <w:noProof/>
          <w:sz w:val="20"/>
          <w:szCs w:val="20"/>
        </w:rPr>
        <w:t>Wan Nur Syuhaila Mat Desa</w:t>
      </w:r>
      <w:r>
        <w:rPr>
          <w:rFonts w:ascii="Times New Roman" w:hAnsi="Times New Roman"/>
          <w:noProof/>
          <w:sz w:val="20"/>
          <w:szCs w:val="20"/>
          <w:vertAlign w:val="superscript"/>
        </w:rPr>
        <w:t>1</w:t>
      </w:r>
      <w:r w:rsidRPr="00987E68">
        <w:rPr>
          <w:rFonts w:ascii="Times New Roman" w:hAnsi="Times New Roman" w:cs="Times New Roman"/>
          <w:noProof/>
          <w:sz w:val="20"/>
          <w:szCs w:val="20"/>
        </w:rPr>
        <w:t>*</w:t>
      </w:r>
      <w:bookmarkEnd w:id="1"/>
    </w:p>
    <w:p w:rsidR="00E74455" w:rsidRPr="00E74455" w:rsidRDefault="00E74455" w:rsidP="00E74455">
      <w:pPr>
        <w:spacing w:after="0" w:line="240" w:lineRule="auto"/>
        <w:jc w:val="center"/>
        <w:outlineLvl w:val="0"/>
        <w:rPr>
          <w:rFonts w:ascii="Times New Roman" w:hAnsi="Times New Roman" w:cs="Times New Roman"/>
          <w:b/>
          <w:sz w:val="20"/>
          <w:szCs w:val="20"/>
        </w:rPr>
      </w:pPr>
    </w:p>
    <w:p w:rsidR="00E74455" w:rsidRPr="00E74455" w:rsidRDefault="00E74455" w:rsidP="00E74455">
      <w:pPr>
        <w:pStyle w:val="NoSpacing"/>
        <w:jc w:val="center"/>
        <w:rPr>
          <w:rFonts w:ascii="Times New Roman" w:hAnsi="Times New Roman"/>
          <w:i/>
          <w:sz w:val="20"/>
          <w:szCs w:val="20"/>
        </w:rPr>
      </w:pPr>
      <w:r w:rsidRPr="00E74455">
        <w:rPr>
          <w:rFonts w:ascii="Times New Roman" w:hAnsi="Times New Roman"/>
          <w:i/>
          <w:sz w:val="20"/>
          <w:szCs w:val="20"/>
          <w:vertAlign w:val="superscript"/>
        </w:rPr>
        <w:t>1</w:t>
      </w:r>
      <w:r w:rsidRPr="00E74455">
        <w:rPr>
          <w:rFonts w:ascii="Times New Roman" w:hAnsi="Times New Roman"/>
          <w:i/>
          <w:sz w:val="20"/>
          <w:szCs w:val="20"/>
        </w:rPr>
        <w:t xml:space="preserve">Forensic Science Programme, School of Health Sciences, </w:t>
      </w:r>
    </w:p>
    <w:p w:rsidR="00E74455" w:rsidRPr="00E74455" w:rsidRDefault="00E74455" w:rsidP="00E74455">
      <w:pPr>
        <w:pStyle w:val="NoSpacing"/>
        <w:jc w:val="center"/>
        <w:rPr>
          <w:rFonts w:ascii="Times New Roman" w:hAnsi="Times New Roman"/>
          <w:i/>
          <w:sz w:val="20"/>
          <w:szCs w:val="20"/>
        </w:rPr>
      </w:pPr>
      <w:r w:rsidRPr="00E74455">
        <w:rPr>
          <w:rFonts w:ascii="Times New Roman" w:hAnsi="Times New Roman"/>
          <w:i/>
          <w:sz w:val="20"/>
          <w:szCs w:val="20"/>
        </w:rPr>
        <w:t>Universiti Sains Malaysia, 16150 Kubang Kerian, Kelantan, Malaysia</w:t>
      </w:r>
    </w:p>
    <w:p w:rsidR="00E74455" w:rsidRPr="00E74455" w:rsidRDefault="00E74455" w:rsidP="00E74455">
      <w:pPr>
        <w:pStyle w:val="NoSpacing"/>
        <w:jc w:val="center"/>
        <w:rPr>
          <w:rFonts w:ascii="Times New Roman" w:hAnsi="Times New Roman"/>
          <w:i/>
          <w:sz w:val="20"/>
          <w:szCs w:val="20"/>
        </w:rPr>
      </w:pPr>
      <w:r w:rsidRPr="00E74455">
        <w:rPr>
          <w:rFonts w:ascii="Times New Roman" w:hAnsi="Times New Roman"/>
          <w:i/>
          <w:sz w:val="20"/>
          <w:szCs w:val="20"/>
          <w:vertAlign w:val="superscript"/>
        </w:rPr>
        <w:t>2</w:t>
      </w:r>
      <w:r w:rsidRPr="00E74455">
        <w:rPr>
          <w:rFonts w:ascii="Times New Roman" w:hAnsi="Times New Roman"/>
          <w:i/>
          <w:sz w:val="20"/>
          <w:szCs w:val="20"/>
        </w:rPr>
        <w:t xml:space="preserve"> Narcotic Section, Forensic Science Unit, </w:t>
      </w:r>
    </w:p>
    <w:p w:rsidR="00E74455" w:rsidRDefault="00E74455" w:rsidP="00F8633B">
      <w:pPr>
        <w:pStyle w:val="NoSpacing"/>
        <w:jc w:val="center"/>
        <w:rPr>
          <w:rFonts w:ascii="Times New Roman" w:hAnsi="Times New Roman"/>
          <w:i/>
          <w:sz w:val="20"/>
          <w:szCs w:val="20"/>
        </w:rPr>
      </w:pPr>
      <w:r w:rsidRPr="00E74455">
        <w:rPr>
          <w:rFonts w:ascii="Times New Roman" w:hAnsi="Times New Roman"/>
          <w:i/>
          <w:sz w:val="20"/>
          <w:szCs w:val="20"/>
        </w:rPr>
        <w:t>Chemistry Department, Jalan Sultan 46661 Petaling Jaya, Selangor</w:t>
      </w:r>
    </w:p>
    <w:p w:rsidR="00F8633B" w:rsidRPr="00E74455" w:rsidRDefault="00F8633B" w:rsidP="00F8633B">
      <w:pPr>
        <w:pStyle w:val="NoSpacing"/>
        <w:jc w:val="center"/>
        <w:rPr>
          <w:rFonts w:ascii="Times New Roman" w:hAnsi="Times New Roman"/>
          <w:i/>
          <w:sz w:val="20"/>
          <w:szCs w:val="20"/>
        </w:rPr>
      </w:pPr>
      <w:bookmarkStart w:id="2" w:name="_GoBack"/>
      <w:bookmarkEnd w:id="2"/>
    </w:p>
    <w:p w:rsidR="00E74455" w:rsidRPr="00E74455" w:rsidRDefault="00E74455" w:rsidP="00E74455">
      <w:pPr>
        <w:spacing w:after="0" w:line="240" w:lineRule="auto"/>
        <w:jc w:val="center"/>
        <w:outlineLvl w:val="0"/>
        <w:rPr>
          <w:rStyle w:val="Hyperlink"/>
          <w:rFonts w:ascii="Times New Roman" w:hAnsi="Times New Roman" w:cs="Times New Roman"/>
          <w:i/>
          <w:sz w:val="20"/>
          <w:szCs w:val="20"/>
          <w:shd w:val="clear" w:color="auto" w:fill="FFFFFF"/>
        </w:rPr>
      </w:pPr>
      <w:r w:rsidRPr="00E74455">
        <w:rPr>
          <w:rFonts w:ascii="Times New Roman" w:hAnsi="Times New Roman" w:cs="Times New Roman"/>
          <w:i/>
          <w:sz w:val="20"/>
          <w:szCs w:val="20"/>
        </w:rPr>
        <w:t>*Corresponding author:</w:t>
      </w:r>
      <w:r w:rsidRPr="00E74455">
        <w:rPr>
          <w:rStyle w:val="HeaderChar"/>
          <w:rFonts w:ascii="Times New Roman" w:eastAsiaTheme="minorHAnsi" w:hAnsi="Times New Roman"/>
          <w:i/>
          <w:shd w:val="clear" w:color="auto" w:fill="FFFFFF"/>
        </w:rPr>
        <w:t xml:space="preserve"> </w:t>
      </w:r>
      <w:r w:rsidRPr="00E74455">
        <w:rPr>
          <w:rStyle w:val="HeaderChar"/>
          <w:rFonts w:ascii="Times New Roman" w:eastAsiaTheme="minorHAnsi" w:hAnsi="Times New Roman"/>
          <w:shd w:val="clear" w:color="auto" w:fill="FFFFFF"/>
        </w:rPr>
        <w:t xml:space="preserve"> </w:t>
      </w:r>
      <w:r w:rsidRPr="00E74455">
        <w:rPr>
          <w:rFonts w:ascii="Times New Roman" w:hAnsi="Times New Roman"/>
          <w:i/>
          <w:sz w:val="20"/>
          <w:szCs w:val="20"/>
          <w:shd w:val="clear" w:color="auto" w:fill="FFFFFF"/>
        </w:rPr>
        <w:t>wannurs@usm.my</w:t>
      </w:r>
    </w:p>
    <w:p w:rsidR="00E74455" w:rsidRPr="00E74455" w:rsidRDefault="00E74455" w:rsidP="00E74455">
      <w:pPr>
        <w:spacing w:after="0" w:line="240" w:lineRule="auto"/>
        <w:jc w:val="center"/>
        <w:rPr>
          <w:rFonts w:ascii="Times New Roman" w:hAnsi="Times New Roman"/>
          <w:noProof/>
          <w:sz w:val="20"/>
          <w:szCs w:val="20"/>
        </w:rPr>
      </w:pPr>
    </w:p>
    <w:p w:rsidR="00E74455" w:rsidRPr="00E74455" w:rsidRDefault="00E74455" w:rsidP="00E74455">
      <w:pPr>
        <w:spacing w:after="0" w:line="240" w:lineRule="auto"/>
        <w:jc w:val="center"/>
        <w:rPr>
          <w:rFonts w:ascii="Times New Roman" w:hAnsi="Times New Roman"/>
          <w:noProof/>
          <w:sz w:val="20"/>
          <w:szCs w:val="20"/>
        </w:rPr>
      </w:pPr>
    </w:p>
    <w:p w:rsidR="00E74455" w:rsidRPr="00E74455" w:rsidRDefault="00E74455" w:rsidP="00E74455">
      <w:pPr>
        <w:spacing w:after="0" w:line="240" w:lineRule="auto"/>
        <w:jc w:val="center"/>
        <w:rPr>
          <w:rFonts w:ascii="Times New Roman" w:hAnsi="Times New Roman"/>
          <w:noProof/>
          <w:sz w:val="20"/>
          <w:szCs w:val="20"/>
        </w:rPr>
      </w:pPr>
      <w:r w:rsidRPr="00E74455">
        <w:rPr>
          <w:rFonts w:ascii="Times New Roman" w:hAnsi="Times New Roman"/>
          <w:noProof/>
          <w:sz w:val="20"/>
          <w:szCs w:val="20"/>
        </w:rPr>
        <w:t>Received: 20 November 2019; Accepted: 27 March 2020</w:t>
      </w:r>
    </w:p>
    <w:p w:rsidR="00E74455" w:rsidRPr="00E74455" w:rsidRDefault="00E74455" w:rsidP="00E74455">
      <w:pPr>
        <w:spacing w:after="0" w:line="240" w:lineRule="auto"/>
        <w:jc w:val="center"/>
        <w:rPr>
          <w:rFonts w:ascii="Times New Roman" w:hAnsi="Times New Roman"/>
          <w:noProof/>
          <w:sz w:val="20"/>
          <w:szCs w:val="20"/>
        </w:rPr>
      </w:pPr>
    </w:p>
    <w:p w:rsidR="00E74455" w:rsidRPr="00E74455" w:rsidRDefault="00E74455" w:rsidP="00E74455">
      <w:pPr>
        <w:spacing w:after="0" w:line="240" w:lineRule="auto"/>
        <w:jc w:val="center"/>
        <w:rPr>
          <w:rFonts w:ascii="Times New Roman" w:hAnsi="Times New Roman"/>
          <w:noProof/>
          <w:sz w:val="20"/>
          <w:szCs w:val="20"/>
        </w:rPr>
      </w:pPr>
    </w:p>
    <w:p w:rsidR="00E74455" w:rsidRPr="00E74455" w:rsidRDefault="00E74455" w:rsidP="00E74455">
      <w:pPr>
        <w:spacing w:after="0" w:line="240" w:lineRule="auto"/>
        <w:jc w:val="center"/>
        <w:rPr>
          <w:rFonts w:ascii="Times New Roman" w:hAnsi="Times New Roman"/>
          <w:b/>
          <w:noProof/>
          <w:sz w:val="20"/>
          <w:szCs w:val="20"/>
        </w:rPr>
      </w:pPr>
      <w:r w:rsidRPr="00E74455">
        <w:rPr>
          <w:rFonts w:ascii="Times New Roman" w:hAnsi="Times New Roman"/>
          <w:b/>
          <w:noProof/>
          <w:sz w:val="20"/>
          <w:szCs w:val="20"/>
        </w:rPr>
        <w:t>Abstract</w:t>
      </w:r>
    </w:p>
    <w:p w:rsidR="00E74455" w:rsidRPr="00E74455" w:rsidRDefault="00E74455" w:rsidP="00E74455">
      <w:pPr>
        <w:spacing w:after="0" w:line="240" w:lineRule="auto"/>
        <w:jc w:val="both"/>
        <w:rPr>
          <w:rFonts w:ascii="Times New Roman" w:hAnsi="Times New Roman"/>
          <w:sz w:val="20"/>
          <w:szCs w:val="20"/>
        </w:rPr>
      </w:pPr>
      <w:r w:rsidRPr="00E74455">
        <w:rPr>
          <w:rFonts w:ascii="Times New Roman" w:hAnsi="Times New Roman"/>
          <w:sz w:val="20"/>
          <w:szCs w:val="20"/>
        </w:rPr>
        <w:t>Seizures of pseudoephedrine compound pertaining to clandestine drug laboratories were widely reported since it is abused for illicit amphetamine-type stimulant (ATS) production. In small scale clandestine laboratory, a commercial decongestant tablet is always encountered despite having properties claimed to deter pseudoephedrine extraction as pharmaceutical means to prevent the misuse of the compound. This study aims to investigate the feasibility of discriminating extracted pseudoephedrine powder based on its origin. In this study, five different types in varying strengths and sizes of pseudoephedrine-based tablets samples were extracted with direct and acid-base extraction methods. Identification of extracted pseudoephedrine was done by simple attenuated total reflection Fourier transform infrared spectroscopy (ATR-FTIR). In total, 90 spectra were obtained from 15 batches of samples at six repetitive scans. Spectral selection on characteristic fingerprint regions was performed and subsequently subjected to hierarchical cluster analysis (HCA) and principal component analysis (PCA). In HCA, discrimination among samples was evident at around 77-86% similarity while in PCA, discrimination is presented at 80-93% total variation. Groupings and linkages based on their origin were established. A simple and direct method for identification and source determination of chemically processed pseudoephedrine compounds is demonstrated. This information can be a valuable intelligent tool for forensics and law enforcers to understand precursor material sources hence would be beneficial to disrupt the supply of the compound intended for clandestine operations.</w:t>
      </w:r>
    </w:p>
    <w:p w:rsidR="00E74455" w:rsidRPr="00E74455" w:rsidRDefault="00E74455" w:rsidP="00E74455">
      <w:pPr>
        <w:spacing w:after="0" w:line="240" w:lineRule="auto"/>
        <w:jc w:val="both"/>
        <w:rPr>
          <w:rFonts w:ascii="Times New Roman" w:hAnsi="Times New Roman"/>
          <w:sz w:val="20"/>
          <w:szCs w:val="20"/>
        </w:rPr>
      </w:pPr>
    </w:p>
    <w:p w:rsidR="00E74455" w:rsidRPr="00E74455" w:rsidRDefault="00E74455" w:rsidP="00E74455">
      <w:pPr>
        <w:spacing w:after="0" w:line="240" w:lineRule="auto"/>
        <w:jc w:val="both"/>
        <w:rPr>
          <w:rFonts w:ascii="Times New Roman" w:hAnsi="Times New Roman"/>
          <w:sz w:val="20"/>
          <w:szCs w:val="20"/>
        </w:rPr>
      </w:pPr>
      <w:r w:rsidRPr="00E74455">
        <w:rPr>
          <w:rFonts w:ascii="Times New Roman" w:hAnsi="Times New Roman" w:cs="Times New Roman"/>
          <w:b/>
          <w:sz w:val="20"/>
          <w:szCs w:val="20"/>
        </w:rPr>
        <w:t>Keywords</w:t>
      </w:r>
      <w:r w:rsidRPr="00E74455">
        <w:rPr>
          <w:rFonts w:ascii="Times New Roman" w:hAnsi="Times New Roman" w:cs="Times New Roman"/>
          <w:b/>
          <w:bCs/>
          <w:sz w:val="20"/>
          <w:szCs w:val="20"/>
        </w:rPr>
        <w:t>:</w:t>
      </w:r>
      <w:r w:rsidRPr="00E74455">
        <w:rPr>
          <w:rFonts w:ascii="Times New Roman" w:hAnsi="Times New Roman" w:cs="Times New Roman"/>
          <w:sz w:val="20"/>
          <w:szCs w:val="20"/>
        </w:rPr>
        <w:t xml:space="preserve"> </w:t>
      </w:r>
      <w:r w:rsidRPr="00E74455">
        <w:rPr>
          <w:rFonts w:ascii="Times New Roman" w:hAnsi="Times New Roman"/>
          <w:sz w:val="20"/>
          <w:szCs w:val="20"/>
        </w:rPr>
        <w:t xml:space="preserve"> pseudoephedrine, clandestine drug laboratory, forensic intelligence</w:t>
      </w:r>
    </w:p>
    <w:p w:rsidR="00E74455" w:rsidRPr="00E74455" w:rsidRDefault="00E74455" w:rsidP="00E74455">
      <w:pPr>
        <w:spacing w:after="0" w:line="240" w:lineRule="auto"/>
        <w:jc w:val="center"/>
        <w:rPr>
          <w:rFonts w:ascii="Times New Roman" w:hAnsi="Times New Roman"/>
          <w:sz w:val="20"/>
          <w:szCs w:val="20"/>
        </w:rPr>
      </w:pPr>
    </w:p>
    <w:p w:rsidR="00E74455" w:rsidRPr="00E74455" w:rsidRDefault="00E74455" w:rsidP="00E74455">
      <w:pPr>
        <w:spacing w:after="0" w:line="240" w:lineRule="auto"/>
        <w:jc w:val="center"/>
        <w:outlineLvl w:val="0"/>
        <w:rPr>
          <w:rFonts w:ascii="Times New Roman" w:hAnsi="Times New Roman" w:cs="Times New Roman"/>
          <w:b/>
          <w:noProof/>
          <w:sz w:val="20"/>
          <w:szCs w:val="20"/>
          <w:lang w:val="ms-MY"/>
        </w:rPr>
      </w:pPr>
      <w:r w:rsidRPr="00E74455">
        <w:rPr>
          <w:rFonts w:ascii="Times New Roman" w:hAnsi="Times New Roman" w:cs="Times New Roman"/>
          <w:b/>
          <w:noProof/>
          <w:sz w:val="20"/>
          <w:szCs w:val="20"/>
          <w:lang w:val="ms-MY"/>
        </w:rPr>
        <w:t>Abstrak</w:t>
      </w:r>
    </w:p>
    <w:p w:rsidR="00E74455" w:rsidRPr="00E74455" w:rsidRDefault="00E74455" w:rsidP="00E74455">
      <w:pPr>
        <w:spacing w:after="0" w:line="240" w:lineRule="auto"/>
        <w:jc w:val="both"/>
        <w:outlineLvl w:val="0"/>
        <w:rPr>
          <w:rFonts w:ascii="Times New Roman" w:hAnsi="Times New Roman" w:cs="Times New Roman"/>
          <w:noProof/>
          <w:sz w:val="20"/>
          <w:szCs w:val="20"/>
          <w:lang w:val="ms-MY"/>
        </w:rPr>
      </w:pPr>
      <w:bookmarkStart w:id="3" w:name="_Hlk34914100"/>
      <w:r w:rsidRPr="00E74455">
        <w:rPr>
          <w:rFonts w:ascii="Times New Roman" w:hAnsi="Times New Roman" w:cs="Times New Roman"/>
          <w:noProof/>
          <w:sz w:val="20"/>
          <w:szCs w:val="20"/>
          <w:lang w:val="ms-MY"/>
        </w:rPr>
        <w:t xml:space="preserve">Rampasan sebatian pseudoephedrin daripada makmal dadah haram semakin meluas dilaporkan kerana sebatian tersebut telah disalahgunakan dalam menghasilkan dadah perangsang jenis amfetamin (ATS). Dalam makmal dadah haram berskala kecil, pil dekongestan komersial yang mengandungi pseudoephedrin sering ditemui sebagai bahan </w:t>
      </w:r>
      <w:r w:rsidRPr="00E74455">
        <w:rPr>
          <w:rFonts w:ascii="Times New Roman" w:hAnsi="Times New Roman" w:cs="Times New Roman"/>
          <w:noProof/>
          <w:sz w:val="20"/>
          <w:szCs w:val="20"/>
          <w:lang w:val="ms-MY"/>
        </w:rPr>
        <w:lastRenderedPageBreak/>
        <w:t xml:space="preserve">prekursor alternatif walaupun formulasinya telah diubahsuai untuk menghalang proses pengekstrakan pseudoephedrin dan seterusnya mencegah daripada penyalahgunaan sebatian tersebut. </w:t>
      </w:r>
      <w:bookmarkEnd w:id="3"/>
      <w:r w:rsidRPr="00E74455">
        <w:rPr>
          <w:rFonts w:ascii="Times New Roman" w:hAnsi="Times New Roman" w:cs="Times New Roman"/>
          <w:noProof/>
          <w:sz w:val="20"/>
          <w:szCs w:val="20"/>
          <w:lang w:val="ms-MY"/>
        </w:rPr>
        <w:t>Kajian ini bertujuan untuk menyiasat kebolehlaksanaan untuk mendiskriminasi serbuk pseudoephedrin yang diekstrak berdasarkan kepada sumbernya. Dalam kajian ini, lima jenis tablet yang mengandungi pseudoephedrin dengan pelbagai saiz dan kekuatan telah diekstrak melalui kaedah pengekstrakan secara langsung dan asid-bes. Pengenalpastian sebatian pseudoephedrin yang diekstrak telah dilakukan melalui spektroskopi atenuasi pembalikan dan transformasi Fourier (ATR-FTIR). Secara keseluruhan, 90 spektra telah diperolehi daripada 15 kelompok sampel pada enam imbasan berulang. Pengujian spektra pada kawasan tertentu telah dilakukan dan spektra daripada kawasan terpilih kemudiannya tertakluk kepada analisis kluster hierarki (HCA) dan analisis komponen prinsipal (PCA). Dalam HCA, diskriminasi di antara sampel telah dibuktikan pada sekitar 77-86% persamaan manakala di PCA, diskriminasi dibentangkan pada 80-93% jumlah variasi. Kajian ini menunjukkan penggunaan kaedah secara langsung dan mudah dalam pengenalpastian dan penentuan asal-usul sebatian pseudoephedrin yang telah diproses secara kimia. Maklumat yang diperolehi melalui kajian ini adalah sangat bernilai sebagai alat perisikan kepada penguasa perundangan dan forensik untuk memahami sumber bahan prekursor dengan itu dapat memberi manfaat dalam mengganggu bekalan pseudoephedrine untuk operasi haram.</w:t>
      </w:r>
    </w:p>
    <w:p w:rsidR="00E74455" w:rsidRPr="00E74455" w:rsidRDefault="00E74455" w:rsidP="00E74455">
      <w:pPr>
        <w:spacing w:after="0" w:line="240" w:lineRule="auto"/>
        <w:jc w:val="both"/>
        <w:outlineLvl w:val="0"/>
        <w:rPr>
          <w:rFonts w:ascii="Times New Roman" w:hAnsi="Times New Roman" w:cs="Times New Roman"/>
          <w:noProof/>
          <w:sz w:val="20"/>
          <w:szCs w:val="20"/>
          <w:lang w:val="ms-MY"/>
        </w:rPr>
      </w:pPr>
    </w:p>
    <w:p w:rsidR="00E74455" w:rsidRDefault="00E74455" w:rsidP="00E74455">
      <w:pPr>
        <w:spacing w:after="0" w:line="240" w:lineRule="auto"/>
        <w:jc w:val="both"/>
        <w:outlineLvl w:val="0"/>
        <w:rPr>
          <w:rFonts w:ascii="Times New Roman" w:hAnsi="Times New Roman"/>
          <w:noProof/>
          <w:sz w:val="20"/>
          <w:szCs w:val="20"/>
          <w:lang w:val="ms-MY"/>
        </w:rPr>
      </w:pPr>
      <w:r w:rsidRPr="00E74455">
        <w:rPr>
          <w:rFonts w:ascii="Times New Roman" w:hAnsi="Times New Roman" w:cs="Times New Roman"/>
          <w:b/>
          <w:noProof/>
          <w:sz w:val="20"/>
          <w:szCs w:val="20"/>
          <w:lang w:val="ms-MY"/>
        </w:rPr>
        <w:t xml:space="preserve">Kata kunci: </w:t>
      </w:r>
      <w:r w:rsidRPr="00E74455">
        <w:rPr>
          <w:rFonts w:ascii="Times New Roman" w:hAnsi="Times New Roman"/>
          <w:b/>
          <w:noProof/>
          <w:sz w:val="20"/>
          <w:szCs w:val="20"/>
          <w:lang w:val="ms-MY"/>
        </w:rPr>
        <w:t xml:space="preserve"> </w:t>
      </w:r>
      <w:r w:rsidRPr="00E74455">
        <w:rPr>
          <w:rFonts w:ascii="Times New Roman" w:hAnsi="Times New Roman"/>
          <w:noProof/>
          <w:sz w:val="20"/>
          <w:szCs w:val="20"/>
          <w:lang w:val="ms-MY"/>
        </w:rPr>
        <w:t>pseudoephedrine, makmal dadah haram, perisikan forensik</w:t>
      </w:r>
    </w:p>
    <w:p w:rsidR="00E74455" w:rsidRDefault="00E74455" w:rsidP="00E74455">
      <w:pPr>
        <w:spacing w:after="0" w:line="240" w:lineRule="auto"/>
        <w:jc w:val="both"/>
        <w:outlineLvl w:val="0"/>
        <w:rPr>
          <w:rFonts w:ascii="Times New Roman" w:hAnsi="Times New Roman"/>
          <w:noProof/>
          <w:sz w:val="20"/>
          <w:szCs w:val="20"/>
          <w:lang w:val="ms-MY"/>
        </w:rPr>
      </w:pPr>
    </w:p>
    <w:p w:rsidR="00E74455" w:rsidRPr="00F447A7" w:rsidRDefault="00E74455" w:rsidP="00E74455">
      <w:pPr>
        <w:spacing w:after="0" w:line="240" w:lineRule="auto"/>
        <w:jc w:val="center"/>
        <w:rPr>
          <w:rFonts w:ascii="Times New Roman" w:hAnsi="Times New Roman"/>
          <w:b/>
          <w:noProof/>
          <w:sz w:val="20"/>
          <w:szCs w:val="20"/>
        </w:rPr>
      </w:pPr>
      <w:r w:rsidRPr="00F447A7">
        <w:rPr>
          <w:rFonts w:ascii="Times New Roman" w:hAnsi="Times New Roman"/>
          <w:b/>
          <w:noProof/>
          <w:sz w:val="20"/>
          <w:szCs w:val="20"/>
        </w:rPr>
        <w:t>References</w:t>
      </w:r>
    </w:p>
    <w:p w:rsidR="00E74455"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Bryan, J. (2012). Pseudoephedrine is a though product to challenge as a nasal decongestant. https://www.pharmaceutical-journal.com. [Access online 01 July 2019]. </w:t>
      </w:r>
    </w:p>
    <w:p w:rsidR="00E74455" w:rsidRPr="00801B6F"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Silverman, B. (2018). Method and formulation for cold treatment in adults and children with increase safety.</w:t>
      </w:r>
      <w:r w:rsidRPr="00801B6F">
        <w:rPr>
          <w:rFonts w:ascii="Times New Roman" w:hAnsi="Times New Roman"/>
          <w:sz w:val="20"/>
          <w:szCs w:val="20"/>
          <w:shd w:val="clear" w:color="auto" w:fill="FFFFFF"/>
        </w:rPr>
        <w:t xml:space="preserve"> </w:t>
      </w:r>
      <w:r w:rsidRPr="00801B6F">
        <w:rPr>
          <w:rFonts w:ascii="Times New Roman" w:hAnsi="Times New Roman"/>
          <w:i/>
          <w:sz w:val="20"/>
          <w:szCs w:val="20"/>
          <w:shd w:val="clear" w:color="auto" w:fill="FFFFFF"/>
        </w:rPr>
        <w:t>US Patent App.</w:t>
      </w:r>
      <w:r w:rsidRPr="00801B6F">
        <w:rPr>
          <w:rFonts w:ascii="Times New Roman" w:hAnsi="Times New Roman"/>
          <w:sz w:val="20"/>
          <w:szCs w:val="20"/>
          <w:shd w:val="clear" w:color="auto" w:fill="FFFFFF"/>
        </w:rPr>
        <w:t xml:space="preserve"> 10(046): 052. </w:t>
      </w:r>
    </w:p>
    <w:p w:rsidR="00E74455"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International Narcotic Control Board (2015). Precursors and chemicals frequently used in the illicit manufacture of narcotic drugs and psychotropic substances. United Nation, New York: pp. 1-120.</w:t>
      </w:r>
    </w:p>
    <w:p w:rsidR="00E74455"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Brzeczko, A. W., Leech, R. and Stark, J. G. (2013). The advent of a new pseudoephedrine product to combat methamphetamine abuse</w:t>
      </w:r>
      <w:r w:rsidRPr="00801B6F">
        <w:rPr>
          <w:rFonts w:ascii="Times New Roman" w:hAnsi="Times New Roman"/>
          <w:i/>
          <w:sz w:val="20"/>
          <w:szCs w:val="20"/>
        </w:rPr>
        <w:t>. The American Journal of Drug and Alcohol Abuse</w:t>
      </w:r>
      <w:r w:rsidRPr="00801B6F">
        <w:rPr>
          <w:rFonts w:ascii="Times New Roman" w:hAnsi="Times New Roman"/>
          <w:sz w:val="20"/>
          <w:szCs w:val="20"/>
        </w:rPr>
        <w:t>, 39(5): 284-290.</w:t>
      </w:r>
    </w:p>
    <w:p w:rsidR="00E74455"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Maheux, C. R. and Copeland, C. R. (2010). Characterization of three methcathinone analogs: 4 methylmethcathinone, methylone, and bk-MBDB. </w:t>
      </w:r>
      <w:r w:rsidRPr="00801B6F">
        <w:rPr>
          <w:rFonts w:ascii="Times New Roman" w:hAnsi="Times New Roman"/>
          <w:i/>
          <w:sz w:val="20"/>
          <w:szCs w:val="20"/>
        </w:rPr>
        <w:t>Microgram Journal</w:t>
      </w:r>
      <w:r w:rsidRPr="00801B6F">
        <w:rPr>
          <w:rFonts w:ascii="Times New Roman" w:hAnsi="Times New Roman"/>
          <w:sz w:val="20"/>
          <w:szCs w:val="20"/>
        </w:rPr>
        <w:t>, 7(2): 42-49.</w:t>
      </w:r>
    </w:p>
    <w:p w:rsidR="00E74455"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Roggo, Y., Chalus, P., Maurer, L., Lema-Martinez, C., Edmond, A. and Jent, N. (2007). A review of infrared spectroscopy and chemometrics in pharmaceutical technologies. </w:t>
      </w:r>
      <w:r w:rsidRPr="00801B6F">
        <w:rPr>
          <w:rFonts w:ascii="Times New Roman" w:hAnsi="Times New Roman"/>
          <w:i/>
          <w:sz w:val="20"/>
          <w:szCs w:val="20"/>
        </w:rPr>
        <w:t>Journal of Pharmaceutical and Biomedical Analysis</w:t>
      </w:r>
      <w:r w:rsidRPr="00801B6F">
        <w:rPr>
          <w:rFonts w:ascii="Times New Roman" w:hAnsi="Times New Roman"/>
          <w:sz w:val="20"/>
          <w:szCs w:val="20"/>
        </w:rPr>
        <w:t>, 44(3): 683-700.</w:t>
      </w:r>
    </w:p>
    <w:p w:rsidR="00E74455"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Deisingh, A. K. (2005). Pharmaceutical counterfeiting. </w:t>
      </w:r>
      <w:r w:rsidRPr="00801B6F">
        <w:rPr>
          <w:rFonts w:ascii="Times New Roman" w:hAnsi="Times New Roman"/>
          <w:i/>
          <w:sz w:val="20"/>
          <w:szCs w:val="20"/>
        </w:rPr>
        <w:t>Analyst</w:t>
      </w:r>
      <w:r w:rsidRPr="00801B6F">
        <w:rPr>
          <w:rFonts w:ascii="Times New Roman" w:hAnsi="Times New Roman"/>
          <w:sz w:val="20"/>
          <w:szCs w:val="20"/>
        </w:rPr>
        <w:t>, 130(1): 271-279.</w:t>
      </w:r>
    </w:p>
    <w:p w:rsidR="00E74455"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Hodges, C. M. and Akhavan, J. (1990). The use of Fourier transform Raman spectroscopy in the forensic identification of illicit drugs and explosives. </w:t>
      </w:r>
      <w:r w:rsidRPr="00801B6F">
        <w:rPr>
          <w:rFonts w:ascii="Times New Roman" w:hAnsi="Times New Roman"/>
          <w:i/>
          <w:sz w:val="20"/>
          <w:szCs w:val="20"/>
        </w:rPr>
        <w:t>Spectrocimica Act,</w:t>
      </w:r>
      <w:r w:rsidRPr="00801B6F">
        <w:rPr>
          <w:rFonts w:ascii="Times New Roman" w:hAnsi="Times New Roman"/>
          <w:sz w:val="20"/>
          <w:szCs w:val="20"/>
        </w:rPr>
        <w:t xml:space="preserve"> 46(2): 303-307. </w:t>
      </w:r>
    </w:p>
    <w:p w:rsidR="00E74455"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Baran, O. (2005). Determination of narcotic and psychotropic substance by using infrared spectroscopy. Thesis of Master of Science, Middle East Technical University, Turkey.</w:t>
      </w:r>
    </w:p>
    <w:p w:rsidR="00E74455"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Goh, C. Y., Van Bronswijk, W. and Priddis, C. (2008). Rapid non-destructive on-site screening of methylamphetamine seizures by attenuated total reflection Fourier transform infrared spectroscopy. </w:t>
      </w:r>
      <w:r w:rsidRPr="00801B6F">
        <w:rPr>
          <w:rFonts w:ascii="Times New Roman" w:hAnsi="Times New Roman"/>
          <w:i/>
          <w:iCs/>
          <w:sz w:val="20"/>
          <w:szCs w:val="20"/>
        </w:rPr>
        <w:t xml:space="preserve">Applied Spectroscopic, </w:t>
      </w:r>
      <w:r w:rsidRPr="00801B6F">
        <w:rPr>
          <w:rFonts w:ascii="Times New Roman" w:hAnsi="Times New Roman"/>
          <w:iCs/>
          <w:sz w:val="20"/>
          <w:szCs w:val="20"/>
        </w:rPr>
        <w:t>62(6)</w:t>
      </w:r>
      <w:r w:rsidRPr="00801B6F">
        <w:rPr>
          <w:rFonts w:ascii="Times New Roman" w:hAnsi="Times New Roman"/>
          <w:sz w:val="20"/>
          <w:szCs w:val="20"/>
        </w:rPr>
        <w:t xml:space="preserve">: 640-648. </w:t>
      </w:r>
    </w:p>
    <w:p w:rsidR="00E74455"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Melucci, D., Monti, D., D’Elia, M. and Luciano, G. (2012). Rapid in situ repeatable analysis of drugs in powder form using reflectance near-infrared spectroscopy and multivariate calibration. </w:t>
      </w:r>
      <w:r w:rsidRPr="00801B6F">
        <w:rPr>
          <w:rFonts w:ascii="Times New Roman" w:hAnsi="Times New Roman"/>
          <w:i/>
          <w:iCs/>
          <w:sz w:val="20"/>
          <w:szCs w:val="20"/>
        </w:rPr>
        <w:t xml:space="preserve">Journal of Forensic Science, </w:t>
      </w:r>
      <w:r w:rsidRPr="00801B6F">
        <w:rPr>
          <w:rFonts w:ascii="Times New Roman" w:hAnsi="Times New Roman"/>
          <w:iCs/>
          <w:sz w:val="20"/>
          <w:szCs w:val="20"/>
        </w:rPr>
        <w:t>57(1)</w:t>
      </w:r>
      <w:r w:rsidRPr="00801B6F">
        <w:rPr>
          <w:rFonts w:ascii="Times New Roman" w:hAnsi="Times New Roman"/>
          <w:sz w:val="20"/>
          <w:szCs w:val="20"/>
        </w:rPr>
        <w:t>: 86-92.</w:t>
      </w:r>
    </w:p>
    <w:p w:rsidR="00E74455" w:rsidRPr="00801B6F" w:rsidRDefault="00E74455" w:rsidP="00E74455">
      <w:pPr>
        <w:pStyle w:val="ListParagraph"/>
        <w:numPr>
          <w:ilvl w:val="0"/>
          <w:numId w:val="5"/>
        </w:numPr>
        <w:spacing w:after="0" w:line="240" w:lineRule="auto"/>
        <w:ind w:left="360"/>
        <w:contextualSpacing w:val="0"/>
        <w:jc w:val="both"/>
        <w:rPr>
          <w:rStyle w:val="A1"/>
          <w:rFonts w:ascii="Times New Roman" w:hAnsi="Times New Roman"/>
          <w:color w:val="auto"/>
          <w:sz w:val="20"/>
          <w:szCs w:val="20"/>
        </w:rPr>
      </w:pPr>
      <w:r w:rsidRPr="00801B6F">
        <w:rPr>
          <w:rFonts w:ascii="Times New Roman" w:hAnsi="Times New Roman"/>
          <w:sz w:val="20"/>
          <w:szCs w:val="20"/>
        </w:rPr>
        <w:t xml:space="preserve">Rodrigues, N. V. S., Cardoso, E. M., Andrade, M. V. O., Donnici, C. L. and Sena, M. M. (2013). Analysis of seized cocaine samples by using chemometric method and FTIR spectroscopy. </w:t>
      </w:r>
      <w:r w:rsidRPr="00801B6F">
        <w:rPr>
          <w:rStyle w:val="A1"/>
          <w:rFonts w:ascii="Times New Roman" w:hAnsi="Times New Roman" w:cs="Times New Roman"/>
          <w:i/>
          <w:iCs/>
          <w:sz w:val="20"/>
          <w:szCs w:val="20"/>
        </w:rPr>
        <w:t>Journal of the Brazilian Chemical Society,</w:t>
      </w:r>
      <w:r w:rsidRPr="00801B6F">
        <w:rPr>
          <w:rStyle w:val="A1"/>
          <w:rFonts w:ascii="Times New Roman" w:hAnsi="Times New Roman" w:cs="Times New Roman"/>
          <w:sz w:val="20"/>
          <w:szCs w:val="20"/>
        </w:rPr>
        <w:t xml:space="preserve"> 24(3): 507-517.</w:t>
      </w:r>
    </w:p>
    <w:p w:rsidR="00E74455"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Pereira, L. S. A., Lisboa, F. L. C., Neto, J. C., Valladao, F. N. and Sena, M. M. (2017). Direct classification of new psychoactive substances in seized blotter papers by ATR-FTIR and multivariate discriminant analysis. </w:t>
      </w:r>
      <w:r w:rsidRPr="00801B6F">
        <w:rPr>
          <w:rFonts w:ascii="Times New Roman" w:hAnsi="Times New Roman"/>
          <w:i/>
          <w:sz w:val="20"/>
          <w:szCs w:val="20"/>
        </w:rPr>
        <w:t>Microchemical Journal</w:t>
      </w:r>
      <w:r w:rsidRPr="00801B6F">
        <w:rPr>
          <w:rFonts w:ascii="Times New Roman" w:hAnsi="Times New Roman"/>
          <w:sz w:val="20"/>
          <w:szCs w:val="20"/>
        </w:rPr>
        <w:t>, 133(1): 96-103.</w:t>
      </w:r>
    </w:p>
    <w:p w:rsidR="00E74455"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Calvo, N. L., Kaufman, T. S. and Maggio, R. M. (2015). A PCA-based chemometrics-assisted ATR-FTIR approach for the classification of polymorphs of cimetidine: Application to physical mixtures and tablets. </w:t>
      </w:r>
      <w:r w:rsidRPr="00801B6F">
        <w:rPr>
          <w:rFonts w:ascii="Times New Roman" w:hAnsi="Times New Roman"/>
          <w:i/>
          <w:sz w:val="20"/>
          <w:szCs w:val="20"/>
        </w:rPr>
        <w:t>Journal of Pharmaceutical and Biomedical</w:t>
      </w:r>
      <w:r w:rsidRPr="00801B6F">
        <w:rPr>
          <w:rFonts w:ascii="Times New Roman" w:hAnsi="Times New Roman"/>
          <w:sz w:val="20"/>
          <w:szCs w:val="20"/>
        </w:rPr>
        <w:t xml:space="preserve"> </w:t>
      </w:r>
      <w:r w:rsidRPr="00801B6F">
        <w:rPr>
          <w:rFonts w:ascii="Times New Roman" w:hAnsi="Times New Roman"/>
          <w:i/>
          <w:sz w:val="20"/>
          <w:szCs w:val="20"/>
        </w:rPr>
        <w:t>Analysis</w:t>
      </w:r>
      <w:r w:rsidRPr="00801B6F">
        <w:rPr>
          <w:rFonts w:ascii="Times New Roman" w:hAnsi="Times New Roman"/>
          <w:sz w:val="20"/>
          <w:szCs w:val="20"/>
        </w:rPr>
        <w:t>, 107(1): 419-425.</w:t>
      </w:r>
    </w:p>
    <w:p w:rsidR="00E74455"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lastRenderedPageBreak/>
        <w:t xml:space="preserve">Mohamad Asri, M. N., Mat Desa, W. N. S. and Ismail, D. (2017). Raman spectroscopy of ballpoint-pen inks using chemometric techniques. </w:t>
      </w:r>
      <w:r w:rsidRPr="00801B6F">
        <w:rPr>
          <w:rFonts w:ascii="Times New Roman" w:hAnsi="Times New Roman"/>
          <w:i/>
          <w:iCs/>
          <w:sz w:val="20"/>
          <w:szCs w:val="20"/>
        </w:rPr>
        <w:t xml:space="preserve">Australian Journal of Forensic Science, </w:t>
      </w:r>
      <w:r w:rsidRPr="00801B6F">
        <w:rPr>
          <w:rFonts w:ascii="Times New Roman" w:hAnsi="Times New Roman"/>
          <w:sz w:val="20"/>
          <w:szCs w:val="20"/>
        </w:rPr>
        <w:t xml:space="preserve">49(2): 175-185. </w:t>
      </w:r>
    </w:p>
    <w:p w:rsidR="00E74455"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Ismail, D., Austada, Z. and Mat Desa, W. N. S. (2014). Ultra-violet and visible (UV-VIS) spectroscopy and chemometrics techniques for forensic analysis of ballpoint pen inks: A preliminary study. </w:t>
      </w:r>
      <w:r w:rsidRPr="00801B6F">
        <w:rPr>
          <w:rFonts w:ascii="Times New Roman" w:hAnsi="Times New Roman"/>
          <w:i/>
          <w:iCs/>
          <w:sz w:val="20"/>
          <w:szCs w:val="20"/>
        </w:rPr>
        <w:t>Malaysian Journal of Forensic Science</w:t>
      </w:r>
      <w:r w:rsidRPr="00801B6F">
        <w:rPr>
          <w:rFonts w:ascii="Times New Roman" w:hAnsi="Times New Roman"/>
          <w:sz w:val="20"/>
          <w:szCs w:val="20"/>
        </w:rPr>
        <w:t>, 5(1): 47-52.</w:t>
      </w:r>
    </w:p>
    <w:p w:rsidR="00E74455"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Sondermann, N. and Kovar, K. A. (1999). Screening experiments of ecstasy street samples using near-infrared spectroscopy. </w:t>
      </w:r>
      <w:r w:rsidRPr="00801B6F">
        <w:rPr>
          <w:rFonts w:ascii="Times New Roman" w:hAnsi="Times New Roman"/>
          <w:i/>
          <w:iCs/>
          <w:sz w:val="20"/>
          <w:szCs w:val="20"/>
        </w:rPr>
        <w:t xml:space="preserve">Forensic Science International, </w:t>
      </w:r>
      <w:r w:rsidRPr="00801B6F">
        <w:rPr>
          <w:rFonts w:ascii="Times New Roman" w:hAnsi="Times New Roman"/>
          <w:iCs/>
          <w:sz w:val="20"/>
          <w:szCs w:val="20"/>
        </w:rPr>
        <w:t>106(3)</w:t>
      </w:r>
      <w:r w:rsidRPr="00801B6F">
        <w:rPr>
          <w:rFonts w:ascii="Times New Roman" w:hAnsi="Times New Roman"/>
          <w:sz w:val="20"/>
          <w:szCs w:val="20"/>
        </w:rPr>
        <w:t xml:space="preserve">: 147-156. </w:t>
      </w:r>
    </w:p>
    <w:p w:rsidR="00E74455"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Moros, J., Galipienso, N., Vilches, R., Garrigues, M. and De La Guardia, S. (2008). Nondestructive direct determination of heroin in seized illicit street drugs by diffuse reflectance near-infrared spectroscopy. </w:t>
      </w:r>
      <w:r w:rsidRPr="00801B6F">
        <w:rPr>
          <w:rFonts w:ascii="Times New Roman" w:hAnsi="Times New Roman"/>
          <w:i/>
          <w:iCs/>
          <w:sz w:val="20"/>
          <w:szCs w:val="20"/>
        </w:rPr>
        <w:t>Analytical Chemistry</w:t>
      </w:r>
      <w:r w:rsidRPr="00801B6F">
        <w:rPr>
          <w:rFonts w:ascii="Times New Roman" w:hAnsi="Times New Roman"/>
          <w:sz w:val="20"/>
          <w:szCs w:val="20"/>
        </w:rPr>
        <w:t xml:space="preserve">, </w:t>
      </w:r>
      <w:r w:rsidRPr="00801B6F">
        <w:rPr>
          <w:rFonts w:ascii="Times New Roman" w:hAnsi="Times New Roman"/>
          <w:iCs/>
          <w:sz w:val="20"/>
          <w:szCs w:val="20"/>
        </w:rPr>
        <w:t>80(19</w:t>
      </w:r>
      <w:r w:rsidRPr="00801B6F">
        <w:rPr>
          <w:rFonts w:ascii="Times New Roman" w:hAnsi="Times New Roman"/>
          <w:sz w:val="20"/>
          <w:szCs w:val="20"/>
        </w:rPr>
        <w:t>): 7257-7265.</w:t>
      </w:r>
    </w:p>
    <w:p w:rsidR="00E74455"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Graf, W. F., Pearson, J. R., Appadoo, D. R.T., Robertson, E. G. and Ennis, C. (2020). The prediction of far-infrared spectra for molecular crystals of forensic interest- Phenylethylamine, ephedrine and pseudoephedrine. </w:t>
      </w:r>
      <w:r w:rsidRPr="00801B6F">
        <w:rPr>
          <w:rFonts w:ascii="Times New Roman" w:hAnsi="Times New Roman"/>
          <w:i/>
          <w:sz w:val="20"/>
          <w:szCs w:val="20"/>
        </w:rPr>
        <w:t>Forensic Chemistry</w:t>
      </w:r>
      <w:r w:rsidRPr="00801B6F">
        <w:rPr>
          <w:rFonts w:ascii="Times New Roman" w:hAnsi="Times New Roman"/>
          <w:sz w:val="20"/>
          <w:szCs w:val="20"/>
        </w:rPr>
        <w:t>, 17(1): 1-11.</w:t>
      </w:r>
    </w:p>
    <w:p w:rsidR="00E74455" w:rsidRPr="00801B6F"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eastAsiaTheme="minorHAnsi" w:hAnsi="Times New Roman"/>
          <w:sz w:val="20"/>
          <w:szCs w:val="20"/>
          <w:lang w:val="en-MY"/>
        </w:rPr>
        <w:t>Formula, C. and Weight, M. (2005). Scientific working group for the analysis of seized drugs (SWGDRUG. Access from http://forensics.org.my/pdf/fssmVol.6No.1/Article 04.pdf. [Access online 02 July 19].</w:t>
      </w:r>
    </w:p>
    <w:p w:rsidR="00E74455" w:rsidRPr="00801B6F"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eastAsiaTheme="minorHAnsi" w:hAnsi="Times New Roman"/>
          <w:sz w:val="20"/>
          <w:szCs w:val="20"/>
          <w:lang w:val="en-MY"/>
        </w:rPr>
        <w:t xml:space="preserve">Miao, L., Liu, Y., Li, H., Qi, Y. and Lu, F. (2017). Two-dimensional correlation infrared spectroscopy applied to the identification of ephedrine and pseudoephedrine in illegally adulterated slimming herbal products. </w:t>
      </w:r>
      <w:r w:rsidRPr="00801B6F">
        <w:rPr>
          <w:rFonts w:ascii="Times New Roman" w:eastAsiaTheme="minorHAnsi" w:hAnsi="Times New Roman"/>
          <w:i/>
          <w:sz w:val="20"/>
          <w:szCs w:val="20"/>
          <w:lang w:val="en-MY"/>
        </w:rPr>
        <w:t>Drug Testing and Analysis</w:t>
      </w:r>
      <w:r w:rsidRPr="00801B6F">
        <w:rPr>
          <w:rFonts w:ascii="Times New Roman" w:eastAsiaTheme="minorHAnsi" w:hAnsi="Times New Roman"/>
          <w:sz w:val="20"/>
          <w:szCs w:val="20"/>
          <w:lang w:val="en-MY"/>
        </w:rPr>
        <w:t>, 9 (2): 221-229.</w:t>
      </w:r>
    </w:p>
    <w:p w:rsidR="00E74455" w:rsidRPr="00801B6F"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eastAsiaTheme="minorHAnsi" w:hAnsi="Times New Roman"/>
          <w:sz w:val="20"/>
          <w:szCs w:val="20"/>
          <w:lang w:val="en-MY"/>
        </w:rPr>
        <w:t xml:space="preserve">Hughes, J., Ayoko, G., Collett, S. and Golding, G. (2013). Rapid quantification of methamphetamine:     Using attenuated total reflectance Fourier transform infrared spectroscopy (ATR-FTIR) and Chemometrics. </w:t>
      </w:r>
      <w:r w:rsidRPr="00801B6F">
        <w:rPr>
          <w:rFonts w:ascii="Times New Roman" w:eastAsiaTheme="minorHAnsi" w:hAnsi="Times New Roman"/>
          <w:i/>
          <w:sz w:val="20"/>
          <w:szCs w:val="20"/>
          <w:lang w:val="en-MY"/>
        </w:rPr>
        <w:t>PLoS ONE</w:t>
      </w:r>
      <w:r w:rsidRPr="00801B6F">
        <w:rPr>
          <w:rFonts w:ascii="Times New Roman" w:eastAsiaTheme="minorHAnsi" w:hAnsi="Times New Roman"/>
          <w:sz w:val="20"/>
          <w:szCs w:val="20"/>
          <w:lang w:val="en-MY"/>
        </w:rPr>
        <w:t xml:space="preserve">, 8(7): e69609. </w:t>
      </w:r>
    </w:p>
    <w:p w:rsidR="00E74455" w:rsidRPr="00801B6F"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eastAsiaTheme="minorHAnsi" w:hAnsi="Times New Roman"/>
          <w:sz w:val="20"/>
          <w:szCs w:val="20"/>
          <w:lang w:val="en-MY"/>
        </w:rPr>
        <w:t xml:space="preserve">Nic Daeid, N. and Waddell, R. J. H. (2005). The analytical and chemometrics procedures used to profile illicit drug seizures. </w:t>
      </w:r>
      <w:r w:rsidRPr="00801B6F">
        <w:rPr>
          <w:rFonts w:ascii="Times New Roman" w:eastAsiaTheme="minorHAnsi" w:hAnsi="Times New Roman"/>
          <w:i/>
          <w:sz w:val="20"/>
          <w:szCs w:val="20"/>
          <w:lang w:val="en-MY"/>
        </w:rPr>
        <w:t>Talanta</w:t>
      </w:r>
      <w:r w:rsidRPr="00801B6F">
        <w:rPr>
          <w:rFonts w:ascii="Times New Roman" w:eastAsiaTheme="minorHAnsi" w:hAnsi="Times New Roman"/>
          <w:sz w:val="20"/>
          <w:szCs w:val="20"/>
          <w:lang w:val="en-MY"/>
        </w:rPr>
        <w:t xml:space="preserve"> 67(2): 280-285.</w:t>
      </w:r>
    </w:p>
    <w:p w:rsidR="00E74455"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Mat Desa, W. N. S., Nic Daeid, N., Dzulkiflee I. and Savage, K. (2020).</w:t>
      </w:r>
      <w:r w:rsidR="00C749BE">
        <w:rPr>
          <w:rFonts w:ascii="Times New Roman" w:hAnsi="Times New Roman"/>
          <w:sz w:val="20"/>
          <w:szCs w:val="20"/>
        </w:rPr>
        <w:t xml:space="preserve"> Application of unsupervised </w:t>
      </w:r>
      <w:r w:rsidRPr="00801B6F">
        <w:rPr>
          <w:rFonts w:ascii="Times New Roman" w:hAnsi="Times New Roman"/>
          <w:sz w:val="20"/>
          <w:szCs w:val="20"/>
        </w:rPr>
        <w:t xml:space="preserve">chemometric analysis and self-organizing feature map (SOFM) for the classification of lighter fuels. </w:t>
      </w:r>
      <w:r w:rsidRPr="00801B6F">
        <w:rPr>
          <w:rFonts w:ascii="Times New Roman" w:hAnsi="Times New Roman"/>
          <w:i/>
          <w:sz w:val="20"/>
          <w:szCs w:val="20"/>
        </w:rPr>
        <w:t>Analytical Chemistry</w:t>
      </w:r>
      <w:r w:rsidRPr="00801B6F">
        <w:rPr>
          <w:rFonts w:ascii="Times New Roman" w:hAnsi="Times New Roman"/>
          <w:sz w:val="20"/>
          <w:szCs w:val="20"/>
        </w:rPr>
        <w:t xml:space="preserve"> 82(1): 6395-6640.</w:t>
      </w:r>
    </w:p>
    <w:p w:rsidR="00E74455" w:rsidRPr="00801B6F" w:rsidRDefault="00E74455" w:rsidP="00E74455">
      <w:pPr>
        <w:pStyle w:val="ListParagraph"/>
        <w:numPr>
          <w:ilvl w:val="0"/>
          <w:numId w:val="5"/>
        </w:numPr>
        <w:spacing w:after="0" w:line="240" w:lineRule="auto"/>
        <w:ind w:left="360"/>
        <w:contextualSpacing w:val="0"/>
        <w:jc w:val="both"/>
        <w:rPr>
          <w:rFonts w:ascii="Times New Roman" w:hAnsi="Times New Roman"/>
          <w:sz w:val="20"/>
          <w:szCs w:val="20"/>
        </w:rPr>
      </w:pPr>
      <w:r w:rsidRPr="00801B6F">
        <w:rPr>
          <w:rFonts w:ascii="Times New Roman" w:hAnsi="Times New Roman"/>
          <w:sz w:val="20"/>
          <w:szCs w:val="20"/>
        </w:rPr>
        <w:t xml:space="preserve">Mat Desa, W. N. S., Ismail, D. and Nic Daeid, N. (2011). Classification and source determination of medium petroleum distillates by chemometric and artificial neural networks: A self-organizing feature approach. </w:t>
      </w:r>
      <w:r w:rsidRPr="00801B6F">
        <w:rPr>
          <w:rFonts w:ascii="Times New Roman" w:hAnsi="Times New Roman"/>
          <w:i/>
          <w:sz w:val="20"/>
          <w:szCs w:val="20"/>
        </w:rPr>
        <w:t>Analytical Chemistry</w:t>
      </w:r>
      <w:r w:rsidRPr="00801B6F">
        <w:rPr>
          <w:rFonts w:ascii="Times New Roman" w:hAnsi="Times New Roman"/>
          <w:sz w:val="20"/>
          <w:szCs w:val="20"/>
        </w:rPr>
        <w:t xml:space="preserve"> 83(2): 7745-7754. </w:t>
      </w:r>
    </w:p>
    <w:p w:rsidR="00E74455" w:rsidRPr="00E74455" w:rsidRDefault="00E74455" w:rsidP="00E74455">
      <w:pPr>
        <w:spacing w:after="0" w:line="240" w:lineRule="auto"/>
        <w:jc w:val="both"/>
        <w:outlineLvl w:val="0"/>
        <w:rPr>
          <w:rFonts w:ascii="Times New Roman" w:hAnsi="Times New Roman" w:cs="Times New Roman"/>
          <w:b/>
          <w:noProof/>
          <w:sz w:val="20"/>
          <w:szCs w:val="20"/>
          <w:lang w:val="ms-MY"/>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sectPr w:rsidR="00095557" w:rsidSect="001573E3">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w:altName w:val="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CA544A"/>
    <w:multiLevelType w:val="singleLevel"/>
    <w:tmpl w:val="DD2A490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0"/>
        <w:szCs w:val="16"/>
      </w:rPr>
    </w:lvl>
  </w:abstractNum>
  <w:abstractNum w:abstractNumId="1">
    <w:nsid w:val="5ED14A96"/>
    <w:multiLevelType w:val="hybridMultilevel"/>
    <w:tmpl w:val="4386C3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62936346"/>
    <w:multiLevelType w:val="hybridMultilevel"/>
    <w:tmpl w:val="FB628FC6"/>
    <w:lvl w:ilvl="0" w:tplc="5DB2ECDA">
      <w:start w:val="1"/>
      <w:numFmt w:val="decimal"/>
      <w:lvlText w:val="%1."/>
      <w:lvlJc w:val="left"/>
      <w:pPr>
        <w:ind w:left="720" w:hanging="360"/>
      </w:pPr>
      <w:rPr>
        <w:rFonts w:hint="default"/>
        <w:sz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638E791D"/>
    <w:multiLevelType w:val="hybridMultilevel"/>
    <w:tmpl w:val="374244B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3E3"/>
    <w:rsid w:val="00095557"/>
    <w:rsid w:val="001573E3"/>
    <w:rsid w:val="002F626B"/>
    <w:rsid w:val="0044292C"/>
    <w:rsid w:val="00487993"/>
    <w:rsid w:val="005F401D"/>
    <w:rsid w:val="007D0E7F"/>
    <w:rsid w:val="00832F59"/>
    <w:rsid w:val="00834CDE"/>
    <w:rsid w:val="00900BAC"/>
    <w:rsid w:val="00975E1A"/>
    <w:rsid w:val="00AC72D0"/>
    <w:rsid w:val="00C71438"/>
    <w:rsid w:val="00C72F3E"/>
    <w:rsid w:val="00C73A4A"/>
    <w:rsid w:val="00C749BE"/>
    <w:rsid w:val="00D04BC8"/>
    <w:rsid w:val="00D0718B"/>
    <w:rsid w:val="00D40B1F"/>
    <w:rsid w:val="00E74455"/>
    <w:rsid w:val="00F8633B"/>
    <w:rsid w:val="00FF4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 w:type="paragraph" w:styleId="NoSpacing">
    <w:name w:val="No Spacing"/>
    <w:basedOn w:val="Normal"/>
    <w:uiPriority w:val="1"/>
    <w:qFormat/>
    <w:rsid w:val="00E74455"/>
    <w:pPr>
      <w:spacing w:after="0" w:line="240" w:lineRule="auto"/>
    </w:pPr>
    <w:rPr>
      <w:rFonts w:ascii="Cambria" w:eastAsia="Times New Roman" w:hAnsi="Cambria" w:cs="Times New Roman"/>
      <w:lang w:bidi="en-US"/>
    </w:rPr>
  </w:style>
  <w:style w:type="paragraph" w:styleId="Header">
    <w:name w:val="header"/>
    <w:basedOn w:val="Normal"/>
    <w:link w:val="HeaderChar"/>
    <w:uiPriority w:val="99"/>
    <w:unhideWhenUsed/>
    <w:rsid w:val="00E74455"/>
    <w:pPr>
      <w:tabs>
        <w:tab w:val="center" w:pos="4680"/>
        <w:tab w:val="right" w:pos="9360"/>
      </w:tabs>
      <w:spacing w:after="0" w:line="240" w:lineRule="auto"/>
    </w:pPr>
    <w:rPr>
      <w:rFonts w:ascii="Cambria" w:eastAsia="Times New Roman" w:hAnsi="Cambria" w:cs="Times New Roman"/>
      <w:sz w:val="20"/>
      <w:szCs w:val="20"/>
      <w:lang w:val="x-none" w:eastAsia="x-none" w:bidi="en-US"/>
    </w:rPr>
  </w:style>
  <w:style w:type="character" w:customStyle="1" w:styleId="HeaderChar">
    <w:name w:val="Header Char"/>
    <w:basedOn w:val="DefaultParagraphFont"/>
    <w:link w:val="Header"/>
    <w:uiPriority w:val="99"/>
    <w:rsid w:val="00E74455"/>
    <w:rPr>
      <w:rFonts w:ascii="Cambria" w:eastAsia="Times New Roman" w:hAnsi="Cambria" w:cs="Times New Roman"/>
      <w:sz w:val="20"/>
      <w:szCs w:val="20"/>
      <w:lang w:val="x-none" w:eastAsia="x-none" w:bidi="en-US"/>
    </w:rPr>
  </w:style>
  <w:style w:type="character" w:styleId="Hyperlink">
    <w:name w:val="Hyperlink"/>
    <w:basedOn w:val="DefaultParagraphFont"/>
    <w:uiPriority w:val="99"/>
    <w:unhideWhenUsed/>
    <w:rsid w:val="00E74455"/>
    <w:rPr>
      <w:color w:val="0000FF" w:themeColor="hyperlink"/>
      <w:u w:val="single"/>
    </w:rPr>
  </w:style>
  <w:style w:type="character" w:customStyle="1" w:styleId="A1">
    <w:name w:val="A1"/>
    <w:uiPriority w:val="99"/>
    <w:rsid w:val="00E74455"/>
    <w:rPr>
      <w:rFonts w:cs="Times"/>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 w:type="paragraph" w:styleId="NoSpacing">
    <w:name w:val="No Spacing"/>
    <w:basedOn w:val="Normal"/>
    <w:uiPriority w:val="1"/>
    <w:qFormat/>
    <w:rsid w:val="00E74455"/>
    <w:pPr>
      <w:spacing w:after="0" w:line="240" w:lineRule="auto"/>
    </w:pPr>
    <w:rPr>
      <w:rFonts w:ascii="Cambria" w:eastAsia="Times New Roman" w:hAnsi="Cambria" w:cs="Times New Roman"/>
      <w:lang w:bidi="en-US"/>
    </w:rPr>
  </w:style>
  <w:style w:type="paragraph" w:styleId="Header">
    <w:name w:val="header"/>
    <w:basedOn w:val="Normal"/>
    <w:link w:val="HeaderChar"/>
    <w:uiPriority w:val="99"/>
    <w:unhideWhenUsed/>
    <w:rsid w:val="00E74455"/>
    <w:pPr>
      <w:tabs>
        <w:tab w:val="center" w:pos="4680"/>
        <w:tab w:val="right" w:pos="9360"/>
      </w:tabs>
      <w:spacing w:after="0" w:line="240" w:lineRule="auto"/>
    </w:pPr>
    <w:rPr>
      <w:rFonts w:ascii="Cambria" w:eastAsia="Times New Roman" w:hAnsi="Cambria" w:cs="Times New Roman"/>
      <w:sz w:val="20"/>
      <w:szCs w:val="20"/>
      <w:lang w:val="x-none" w:eastAsia="x-none" w:bidi="en-US"/>
    </w:rPr>
  </w:style>
  <w:style w:type="character" w:customStyle="1" w:styleId="HeaderChar">
    <w:name w:val="Header Char"/>
    <w:basedOn w:val="DefaultParagraphFont"/>
    <w:link w:val="Header"/>
    <w:uiPriority w:val="99"/>
    <w:rsid w:val="00E74455"/>
    <w:rPr>
      <w:rFonts w:ascii="Cambria" w:eastAsia="Times New Roman" w:hAnsi="Cambria" w:cs="Times New Roman"/>
      <w:sz w:val="20"/>
      <w:szCs w:val="20"/>
      <w:lang w:val="x-none" w:eastAsia="x-none" w:bidi="en-US"/>
    </w:rPr>
  </w:style>
  <w:style w:type="character" w:styleId="Hyperlink">
    <w:name w:val="Hyperlink"/>
    <w:basedOn w:val="DefaultParagraphFont"/>
    <w:uiPriority w:val="99"/>
    <w:unhideWhenUsed/>
    <w:rsid w:val="00E74455"/>
    <w:rPr>
      <w:color w:val="0000FF" w:themeColor="hyperlink"/>
      <w:u w:val="single"/>
    </w:rPr>
  </w:style>
  <w:style w:type="character" w:customStyle="1" w:styleId="A1">
    <w:name w:val="A1"/>
    <w:uiPriority w:val="99"/>
    <w:rsid w:val="00E74455"/>
    <w:rPr>
      <w:rFonts w:cs="Times"/>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1463</Words>
  <Characters>8342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cp:lastModifiedBy>
  <cp:revision>4</cp:revision>
  <dcterms:created xsi:type="dcterms:W3CDTF">2020-03-30T10:53:00Z</dcterms:created>
  <dcterms:modified xsi:type="dcterms:W3CDTF">2020-03-31T03:26:00Z</dcterms:modified>
</cp:coreProperties>
</file>