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F66E86">
        <w:rPr>
          <w:rFonts w:ascii="Times New Roman" w:hAnsi="Times New Roman" w:cs="Times New Roman"/>
          <w:sz w:val="24"/>
          <w:szCs w:val="24"/>
        </w:rPr>
        <w:t>288 - 299</w:t>
      </w:r>
      <w:bookmarkStart w:id="0" w:name="_GoBack"/>
      <w:bookmarkEnd w:id="0"/>
    </w:p>
    <w:p w:rsidR="00F66E86" w:rsidRDefault="00F66E86" w:rsidP="001573E3">
      <w:pPr>
        <w:spacing w:after="0" w:line="240" w:lineRule="auto"/>
        <w:rPr>
          <w:rFonts w:ascii="Times New Roman" w:hAnsi="Times New Roman" w:cs="Times New Roman"/>
          <w:sz w:val="24"/>
          <w:szCs w:val="24"/>
        </w:rPr>
      </w:pPr>
    </w:p>
    <w:p w:rsidR="00F66E86" w:rsidRDefault="00F66E86" w:rsidP="001573E3">
      <w:pPr>
        <w:spacing w:after="0" w:line="240" w:lineRule="auto"/>
        <w:rPr>
          <w:rFonts w:ascii="Times New Roman" w:hAnsi="Times New Roman" w:cs="Times New Roman"/>
          <w:sz w:val="24"/>
          <w:szCs w:val="24"/>
        </w:rPr>
      </w:pPr>
    </w:p>
    <w:p w:rsidR="00F66E86" w:rsidRDefault="00F66E86" w:rsidP="001573E3">
      <w:pPr>
        <w:spacing w:after="0" w:line="240" w:lineRule="auto"/>
        <w:rPr>
          <w:rFonts w:ascii="Times New Roman" w:hAnsi="Times New Roman" w:cs="Times New Roman"/>
          <w:sz w:val="24"/>
          <w:szCs w:val="24"/>
        </w:rPr>
      </w:pPr>
    </w:p>
    <w:p w:rsidR="00F66E86" w:rsidRDefault="00F66E86" w:rsidP="001573E3">
      <w:pPr>
        <w:spacing w:after="0" w:line="240" w:lineRule="auto"/>
        <w:rPr>
          <w:rFonts w:ascii="Times New Roman" w:hAnsi="Times New Roman" w:cs="Times New Roman"/>
          <w:sz w:val="24"/>
          <w:szCs w:val="24"/>
        </w:rPr>
      </w:pPr>
    </w:p>
    <w:p w:rsidR="00F66E86" w:rsidRPr="001D0EDA" w:rsidRDefault="00F66E86" w:rsidP="00F66E86">
      <w:pPr>
        <w:spacing w:after="0" w:line="240" w:lineRule="auto"/>
        <w:jc w:val="center"/>
        <w:outlineLvl w:val="0"/>
        <w:rPr>
          <w:rFonts w:ascii="Times New Roman" w:hAnsi="Times New Roman"/>
          <w:bCs/>
          <w:sz w:val="28"/>
          <w:szCs w:val="28"/>
          <w:lang w:val="en-GB"/>
        </w:rPr>
      </w:pPr>
      <w:r w:rsidRPr="001D0EDA">
        <w:rPr>
          <w:rFonts w:ascii="Times New Roman" w:hAnsi="Times New Roman"/>
          <w:bCs/>
          <w:sz w:val="28"/>
          <w:szCs w:val="28"/>
          <w:lang w:val="en-GB"/>
        </w:rPr>
        <w:t>SCREENING OF NATURAL COLOURS FROM VARIOUS NATURAL RESOURCES AS POTENTIAL REUSABLE VISUAL INDICATORS FOR MONITORING FOOD FRESHNESS</w:t>
      </w:r>
    </w:p>
    <w:p w:rsidR="00F66E86" w:rsidRPr="00982752" w:rsidRDefault="00F66E86" w:rsidP="00F66E86">
      <w:pPr>
        <w:spacing w:after="0" w:line="240" w:lineRule="auto"/>
        <w:jc w:val="center"/>
        <w:outlineLvl w:val="0"/>
        <w:rPr>
          <w:rFonts w:ascii="Times New Roman" w:hAnsi="Times New Roman"/>
          <w:b/>
          <w:sz w:val="24"/>
          <w:szCs w:val="24"/>
          <w:lang w:val="en-GB"/>
        </w:rPr>
      </w:pPr>
    </w:p>
    <w:p w:rsidR="00F66E86" w:rsidRPr="00982752" w:rsidRDefault="00F66E86" w:rsidP="00F66E86">
      <w:pPr>
        <w:spacing w:after="0" w:line="240" w:lineRule="auto"/>
        <w:jc w:val="center"/>
        <w:outlineLvl w:val="0"/>
        <w:rPr>
          <w:rFonts w:ascii="Times New Roman" w:hAnsi="Times New Roman"/>
          <w:sz w:val="24"/>
          <w:szCs w:val="28"/>
          <w:lang w:val="ms-MY"/>
        </w:rPr>
      </w:pPr>
      <w:r w:rsidRPr="00C80E67">
        <w:rPr>
          <w:rFonts w:ascii="Times New Roman" w:hAnsi="Times New Roman"/>
          <w:sz w:val="24"/>
          <w:szCs w:val="28"/>
          <w:lang w:val="en-GB"/>
        </w:rPr>
        <w:t>(</w:t>
      </w:r>
      <w:r w:rsidRPr="00C80E67">
        <w:rPr>
          <w:rFonts w:ascii="Times New Roman" w:hAnsi="Times New Roman"/>
          <w:sz w:val="24"/>
          <w:szCs w:val="28"/>
          <w:lang w:val="ms-MY"/>
        </w:rPr>
        <w:t>Saringan Pewarna Semula Jadi Daripada Pelbagai Sumber Semula Jadi Sebagai Indikator Visual Guna-Semula Untuk Pemantauan Kesegaran Makanan</w:t>
      </w:r>
      <w:r w:rsidRPr="00C80E67">
        <w:rPr>
          <w:rFonts w:ascii="Times New Roman" w:hAnsi="Times New Roman"/>
          <w:sz w:val="24"/>
          <w:szCs w:val="28"/>
          <w:lang w:val="en-GB"/>
        </w:rPr>
        <w:t>)</w:t>
      </w:r>
    </w:p>
    <w:p w:rsidR="00F66E86" w:rsidRPr="00982752" w:rsidRDefault="00F66E86" w:rsidP="00F66E86">
      <w:pPr>
        <w:spacing w:after="0" w:line="240" w:lineRule="auto"/>
        <w:jc w:val="center"/>
        <w:outlineLvl w:val="0"/>
        <w:rPr>
          <w:rFonts w:ascii="Times New Roman" w:hAnsi="Times New Roman"/>
          <w:sz w:val="20"/>
          <w:szCs w:val="20"/>
          <w:lang w:val="en-GB"/>
        </w:rPr>
      </w:pPr>
    </w:p>
    <w:p w:rsidR="00F66E86" w:rsidRDefault="00F66E86" w:rsidP="00F66E86">
      <w:pPr>
        <w:spacing w:after="0" w:line="240" w:lineRule="auto"/>
        <w:jc w:val="center"/>
        <w:outlineLvl w:val="0"/>
        <w:rPr>
          <w:rFonts w:ascii="Times New Roman" w:hAnsi="Times New Roman"/>
          <w:noProof/>
          <w:sz w:val="20"/>
          <w:szCs w:val="20"/>
          <w:lang w:val="ms-MY"/>
        </w:rPr>
      </w:pPr>
      <w:r w:rsidRPr="00982752">
        <w:rPr>
          <w:rFonts w:ascii="Times New Roman" w:hAnsi="Times New Roman"/>
          <w:noProof/>
          <w:sz w:val="20"/>
          <w:szCs w:val="20"/>
          <w:lang w:val="ms-MY"/>
        </w:rPr>
        <w:t>Mohd. Zulkhairi Abdul Rahim</w:t>
      </w:r>
      <w:r w:rsidRPr="00982752">
        <w:rPr>
          <w:rFonts w:ascii="Times New Roman" w:hAnsi="Times New Roman"/>
          <w:noProof/>
          <w:sz w:val="20"/>
          <w:szCs w:val="20"/>
          <w:vertAlign w:val="superscript"/>
          <w:lang w:val="ms-MY"/>
        </w:rPr>
        <w:t>1</w:t>
      </w:r>
      <w:r w:rsidRPr="00982752">
        <w:rPr>
          <w:rFonts w:ascii="Times New Roman" w:hAnsi="Times New Roman"/>
          <w:noProof/>
          <w:sz w:val="20"/>
          <w:szCs w:val="20"/>
          <w:lang w:val="ms-MY"/>
        </w:rPr>
        <w:t>*, Nurdiyana Husin</w:t>
      </w:r>
      <w:r w:rsidRPr="00982752">
        <w:rPr>
          <w:rFonts w:ascii="Times New Roman" w:hAnsi="Times New Roman"/>
          <w:noProof/>
          <w:sz w:val="20"/>
          <w:szCs w:val="20"/>
          <w:vertAlign w:val="superscript"/>
          <w:lang w:val="ms-MY"/>
        </w:rPr>
        <w:t>2</w:t>
      </w:r>
      <w:r w:rsidRPr="00982752">
        <w:rPr>
          <w:rFonts w:ascii="Times New Roman" w:hAnsi="Times New Roman"/>
          <w:noProof/>
          <w:sz w:val="20"/>
          <w:szCs w:val="20"/>
          <w:lang w:val="ms-MY"/>
        </w:rPr>
        <w:t>, Mohd. Azizan Mohd Noor</w:t>
      </w:r>
      <w:r w:rsidRPr="00982752">
        <w:rPr>
          <w:rFonts w:ascii="Times New Roman" w:hAnsi="Times New Roman"/>
          <w:noProof/>
          <w:sz w:val="20"/>
          <w:szCs w:val="20"/>
          <w:vertAlign w:val="superscript"/>
          <w:lang w:val="ms-MY"/>
        </w:rPr>
        <w:t>2</w:t>
      </w:r>
      <w:r w:rsidRPr="00982752">
        <w:rPr>
          <w:rFonts w:ascii="Times New Roman" w:hAnsi="Times New Roman"/>
          <w:noProof/>
          <w:sz w:val="20"/>
          <w:szCs w:val="20"/>
          <w:lang w:val="ms-MY"/>
        </w:rPr>
        <w:t>, Zaida Rahayu Yet</w:t>
      </w:r>
      <w:r w:rsidRPr="00982752">
        <w:rPr>
          <w:rFonts w:ascii="Times New Roman" w:hAnsi="Times New Roman"/>
          <w:noProof/>
          <w:sz w:val="20"/>
          <w:szCs w:val="20"/>
          <w:vertAlign w:val="superscript"/>
          <w:lang w:val="ms-MY"/>
        </w:rPr>
        <w:t>1</w:t>
      </w:r>
      <w:r w:rsidRPr="00982752">
        <w:rPr>
          <w:rFonts w:ascii="Times New Roman" w:hAnsi="Times New Roman"/>
          <w:noProof/>
          <w:sz w:val="20"/>
          <w:szCs w:val="20"/>
          <w:lang w:val="ms-MY"/>
        </w:rPr>
        <w:t>,</w:t>
      </w:r>
    </w:p>
    <w:p w:rsidR="00F66E86" w:rsidRPr="00982752" w:rsidRDefault="00F66E86" w:rsidP="00F66E86">
      <w:pPr>
        <w:spacing w:after="0" w:line="240" w:lineRule="auto"/>
        <w:jc w:val="center"/>
        <w:outlineLvl w:val="0"/>
        <w:rPr>
          <w:rFonts w:ascii="Times New Roman" w:hAnsi="Times New Roman"/>
          <w:noProof/>
          <w:sz w:val="20"/>
          <w:szCs w:val="20"/>
          <w:lang w:val="ms-MY"/>
        </w:rPr>
      </w:pPr>
      <w:r w:rsidRPr="00982752">
        <w:rPr>
          <w:rFonts w:ascii="Times New Roman" w:hAnsi="Times New Roman"/>
          <w:noProof/>
          <w:sz w:val="20"/>
          <w:szCs w:val="20"/>
          <w:lang w:val="ms-MY"/>
        </w:rPr>
        <w:t xml:space="preserve"> Mohammad Rashedi Ismail-Fitry</w:t>
      </w:r>
      <w:r w:rsidRPr="00982752">
        <w:rPr>
          <w:rFonts w:ascii="Times New Roman" w:hAnsi="Times New Roman"/>
          <w:noProof/>
          <w:sz w:val="20"/>
          <w:szCs w:val="20"/>
          <w:vertAlign w:val="superscript"/>
          <w:lang w:val="ms-MY"/>
        </w:rPr>
        <w:t xml:space="preserve">3 </w:t>
      </w:r>
    </w:p>
    <w:p w:rsidR="00F66E86" w:rsidRPr="00F66E86" w:rsidRDefault="00F66E86" w:rsidP="00F66E86">
      <w:pPr>
        <w:spacing w:after="0" w:line="240" w:lineRule="auto"/>
        <w:jc w:val="center"/>
        <w:outlineLvl w:val="0"/>
        <w:rPr>
          <w:rFonts w:ascii="Times New Roman" w:hAnsi="Times New Roman" w:cs="Times New Roman"/>
          <w:b/>
          <w:sz w:val="20"/>
          <w:szCs w:val="20"/>
          <w:lang w:val="en-GB"/>
        </w:rPr>
      </w:pPr>
    </w:p>
    <w:p w:rsidR="00F66E86" w:rsidRPr="00F66E86" w:rsidRDefault="00F66E86" w:rsidP="00F66E86">
      <w:pPr>
        <w:spacing w:after="0" w:line="240" w:lineRule="auto"/>
        <w:jc w:val="center"/>
        <w:outlineLvl w:val="0"/>
        <w:rPr>
          <w:rFonts w:ascii="Times New Roman" w:hAnsi="Times New Roman"/>
          <w:i/>
          <w:iCs/>
          <w:sz w:val="20"/>
          <w:szCs w:val="20"/>
          <w:lang w:val="en-GB"/>
        </w:rPr>
      </w:pPr>
      <w:r w:rsidRPr="00F66E86">
        <w:rPr>
          <w:rFonts w:ascii="Times New Roman" w:hAnsi="Times New Roman"/>
          <w:i/>
          <w:iCs/>
          <w:sz w:val="20"/>
          <w:szCs w:val="20"/>
          <w:vertAlign w:val="superscript"/>
          <w:lang w:val="en-GB"/>
        </w:rPr>
        <w:t>1</w:t>
      </w:r>
      <w:r w:rsidRPr="00F66E86">
        <w:rPr>
          <w:rFonts w:ascii="Times New Roman" w:hAnsi="Times New Roman"/>
          <w:i/>
          <w:iCs/>
          <w:sz w:val="20"/>
          <w:szCs w:val="20"/>
          <w:lang w:val="en-GB"/>
        </w:rPr>
        <w:t xml:space="preserve">Section of Technical Foundation </w:t>
      </w:r>
    </w:p>
    <w:p w:rsidR="00F66E86" w:rsidRPr="00F66E86" w:rsidRDefault="00F66E86" w:rsidP="00F66E86">
      <w:pPr>
        <w:spacing w:after="0" w:line="240" w:lineRule="auto"/>
        <w:jc w:val="center"/>
        <w:outlineLvl w:val="0"/>
        <w:rPr>
          <w:rFonts w:ascii="Times New Roman" w:hAnsi="Times New Roman"/>
          <w:i/>
          <w:iCs/>
          <w:sz w:val="20"/>
          <w:szCs w:val="20"/>
          <w:lang w:val="en-GB"/>
        </w:rPr>
      </w:pPr>
      <w:r w:rsidRPr="00F66E86">
        <w:rPr>
          <w:rFonts w:ascii="Times New Roman" w:hAnsi="Times New Roman"/>
          <w:i/>
          <w:iCs/>
          <w:sz w:val="20"/>
          <w:szCs w:val="20"/>
          <w:vertAlign w:val="superscript"/>
          <w:lang w:val="en-GB"/>
        </w:rPr>
        <w:t>2</w:t>
      </w:r>
      <w:r w:rsidRPr="00F66E86">
        <w:rPr>
          <w:rFonts w:ascii="Times New Roman" w:hAnsi="Times New Roman"/>
          <w:i/>
          <w:iCs/>
          <w:sz w:val="20"/>
          <w:szCs w:val="20"/>
          <w:lang w:val="en-GB"/>
        </w:rPr>
        <w:t xml:space="preserve">Section of Bioengineering Technology </w:t>
      </w:r>
    </w:p>
    <w:p w:rsidR="00F66E86" w:rsidRPr="00F66E86" w:rsidRDefault="00F66E86" w:rsidP="00F66E86">
      <w:pPr>
        <w:spacing w:after="0" w:line="240" w:lineRule="auto"/>
        <w:jc w:val="center"/>
        <w:outlineLvl w:val="0"/>
        <w:rPr>
          <w:rFonts w:ascii="Times New Roman" w:hAnsi="Times New Roman"/>
          <w:i/>
          <w:iCs/>
          <w:sz w:val="20"/>
          <w:szCs w:val="20"/>
          <w:lang w:val="en-GB"/>
        </w:rPr>
      </w:pPr>
      <w:r w:rsidRPr="00F66E86">
        <w:rPr>
          <w:rFonts w:ascii="Times New Roman" w:hAnsi="Times New Roman"/>
          <w:i/>
          <w:iCs/>
          <w:sz w:val="20"/>
          <w:szCs w:val="20"/>
          <w:lang w:val="en-GB"/>
        </w:rPr>
        <w:t xml:space="preserve">Universiti Kuala Lumpur Malaysian Institute of Chemical &amp; Bioengineering Technology, Lot 1988, Bandar Vendor, </w:t>
      </w:r>
    </w:p>
    <w:p w:rsidR="00F66E86" w:rsidRPr="00F66E86" w:rsidRDefault="00F66E86" w:rsidP="00F66E86">
      <w:pPr>
        <w:spacing w:after="0" w:line="240" w:lineRule="auto"/>
        <w:jc w:val="center"/>
        <w:outlineLvl w:val="0"/>
        <w:rPr>
          <w:rFonts w:ascii="Times New Roman" w:hAnsi="Times New Roman"/>
          <w:i/>
          <w:iCs/>
          <w:sz w:val="20"/>
          <w:szCs w:val="20"/>
          <w:lang w:val="en-GB"/>
        </w:rPr>
      </w:pPr>
      <w:r w:rsidRPr="00F66E86">
        <w:rPr>
          <w:rFonts w:ascii="Times New Roman" w:hAnsi="Times New Roman"/>
          <w:i/>
          <w:iCs/>
          <w:sz w:val="20"/>
          <w:szCs w:val="20"/>
          <w:lang w:val="en-GB"/>
        </w:rPr>
        <w:t>78000 Alor Gajah, Malacca, Malaysia</w:t>
      </w:r>
    </w:p>
    <w:p w:rsidR="00F66E86" w:rsidRPr="00F66E86" w:rsidRDefault="00F66E86" w:rsidP="00F66E86">
      <w:pPr>
        <w:spacing w:after="0" w:line="240" w:lineRule="auto"/>
        <w:jc w:val="center"/>
        <w:outlineLvl w:val="0"/>
        <w:rPr>
          <w:rFonts w:ascii="Times New Roman" w:hAnsi="Times New Roman"/>
          <w:i/>
          <w:iCs/>
          <w:sz w:val="20"/>
          <w:szCs w:val="20"/>
          <w:lang w:val="en-GB"/>
        </w:rPr>
      </w:pPr>
      <w:r w:rsidRPr="00F66E86">
        <w:rPr>
          <w:rFonts w:ascii="Times New Roman" w:hAnsi="Times New Roman"/>
          <w:i/>
          <w:iCs/>
          <w:sz w:val="20"/>
          <w:szCs w:val="20"/>
          <w:vertAlign w:val="superscript"/>
          <w:lang w:val="en-GB"/>
        </w:rPr>
        <w:t>3</w:t>
      </w:r>
      <w:r w:rsidRPr="00F66E86">
        <w:rPr>
          <w:rFonts w:ascii="Times New Roman" w:hAnsi="Times New Roman"/>
          <w:i/>
          <w:iCs/>
          <w:sz w:val="20"/>
          <w:szCs w:val="20"/>
          <w:lang w:val="en-GB"/>
        </w:rPr>
        <w:t>Faculty of Science and Food Technology,</w:t>
      </w:r>
    </w:p>
    <w:p w:rsidR="00F66E86" w:rsidRPr="00F66E86" w:rsidRDefault="00F66E86" w:rsidP="00F66E86">
      <w:pPr>
        <w:spacing w:after="0" w:line="240" w:lineRule="auto"/>
        <w:jc w:val="center"/>
        <w:outlineLvl w:val="0"/>
        <w:rPr>
          <w:rFonts w:ascii="Times New Roman" w:hAnsi="Times New Roman"/>
          <w:i/>
          <w:iCs/>
          <w:sz w:val="20"/>
          <w:szCs w:val="20"/>
          <w:vertAlign w:val="superscript"/>
          <w:lang w:val="en-GB"/>
        </w:rPr>
      </w:pPr>
      <w:r w:rsidRPr="00F66E86">
        <w:rPr>
          <w:rFonts w:ascii="Times New Roman" w:hAnsi="Times New Roman"/>
          <w:i/>
          <w:iCs/>
          <w:sz w:val="20"/>
          <w:szCs w:val="20"/>
          <w:lang w:val="en-GB"/>
        </w:rPr>
        <w:t>Universiti Putra Malaysia, Serdang, 43400 Seri Kembangan, Selangor, Malaysia</w:t>
      </w:r>
    </w:p>
    <w:p w:rsidR="00F66E86" w:rsidRPr="00F66E86" w:rsidRDefault="00F66E86" w:rsidP="00F66E86">
      <w:pPr>
        <w:spacing w:after="0" w:line="240" w:lineRule="auto"/>
        <w:jc w:val="center"/>
        <w:outlineLvl w:val="0"/>
        <w:rPr>
          <w:rFonts w:ascii="Times New Roman" w:hAnsi="Times New Roman" w:cs="Times New Roman"/>
          <w:b/>
          <w:sz w:val="20"/>
          <w:szCs w:val="20"/>
          <w:lang w:val="en-GB"/>
        </w:rPr>
      </w:pPr>
    </w:p>
    <w:p w:rsidR="00F66E86" w:rsidRPr="00F66E86" w:rsidRDefault="00F66E86" w:rsidP="00F66E86">
      <w:pPr>
        <w:spacing w:after="0" w:line="240" w:lineRule="auto"/>
        <w:jc w:val="center"/>
        <w:outlineLvl w:val="0"/>
        <w:rPr>
          <w:rFonts w:ascii="Times New Roman" w:hAnsi="Times New Roman" w:cs="Times New Roman"/>
          <w:i/>
          <w:sz w:val="20"/>
          <w:szCs w:val="20"/>
          <w:lang w:val="en-GB"/>
        </w:rPr>
      </w:pPr>
      <w:r w:rsidRPr="00F66E86">
        <w:rPr>
          <w:rFonts w:ascii="Times New Roman" w:hAnsi="Times New Roman" w:cs="Times New Roman"/>
          <w:i/>
          <w:sz w:val="20"/>
          <w:szCs w:val="20"/>
          <w:lang w:val="en-GB"/>
        </w:rPr>
        <w:t xml:space="preserve">*Corresponding author: </w:t>
      </w:r>
      <w:r w:rsidRPr="00F66E86">
        <w:rPr>
          <w:rFonts w:ascii="Times New Roman" w:hAnsi="Times New Roman"/>
          <w:i/>
          <w:sz w:val="20"/>
          <w:szCs w:val="20"/>
          <w:lang w:val="en-GB"/>
        </w:rPr>
        <w:t xml:space="preserve"> mohd.zulkhairi@unikl.edu.my</w:t>
      </w:r>
      <w:r w:rsidRPr="00F66E86">
        <w:rPr>
          <w:rFonts w:ascii="Times New Roman" w:hAnsi="Times New Roman"/>
          <w:b/>
          <w:i/>
          <w:sz w:val="20"/>
          <w:szCs w:val="20"/>
          <w:lang w:val="en-GB"/>
        </w:rPr>
        <w:t xml:space="preserve"> </w:t>
      </w:r>
    </w:p>
    <w:p w:rsidR="00F66E86" w:rsidRPr="00F66E86" w:rsidRDefault="00F66E86" w:rsidP="00F66E86">
      <w:pPr>
        <w:spacing w:after="0" w:line="240" w:lineRule="auto"/>
        <w:jc w:val="center"/>
        <w:rPr>
          <w:rFonts w:ascii="Times New Roman" w:hAnsi="Times New Roman"/>
          <w:noProof/>
          <w:sz w:val="20"/>
          <w:szCs w:val="20"/>
        </w:rPr>
      </w:pPr>
    </w:p>
    <w:p w:rsidR="00F66E86" w:rsidRPr="00F66E86" w:rsidRDefault="00F66E86" w:rsidP="00F66E86">
      <w:pPr>
        <w:spacing w:after="0" w:line="240" w:lineRule="auto"/>
        <w:jc w:val="center"/>
        <w:rPr>
          <w:rFonts w:ascii="Times New Roman" w:hAnsi="Times New Roman"/>
          <w:noProof/>
          <w:sz w:val="20"/>
          <w:szCs w:val="20"/>
        </w:rPr>
      </w:pPr>
    </w:p>
    <w:p w:rsidR="00F66E86" w:rsidRPr="00F66E86" w:rsidRDefault="00F66E86" w:rsidP="00F66E86">
      <w:pPr>
        <w:spacing w:after="0" w:line="240" w:lineRule="auto"/>
        <w:jc w:val="center"/>
        <w:rPr>
          <w:rFonts w:ascii="Times New Roman" w:hAnsi="Times New Roman"/>
          <w:noProof/>
          <w:sz w:val="20"/>
          <w:szCs w:val="20"/>
        </w:rPr>
      </w:pPr>
      <w:r w:rsidRPr="00F66E86">
        <w:rPr>
          <w:rFonts w:ascii="Times New Roman" w:hAnsi="Times New Roman"/>
          <w:noProof/>
          <w:sz w:val="20"/>
          <w:szCs w:val="20"/>
        </w:rPr>
        <w:t>Received: 20 November 2019; Accepted: 20 March 2020</w:t>
      </w:r>
    </w:p>
    <w:p w:rsidR="00F66E86" w:rsidRPr="00F66E86" w:rsidRDefault="00F66E86" w:rsidP="00F66E86">
      <w:pPr>
        <w:spacing w:after="0" w:line="240" w:lineRule="auto"/>
        <w:jc w:val="center"/>
        <w:rPr>
          <w:rFonts w:ascii="Times New Roman" w:hAnsi="Times New Roman"/>
          <w:noProof/>
          <w:sz w:val="20"/>
          <w:szCs w:val="20"/>
        </w:rPr>
      </w:pPr>
    </w:p>
    <w:p w:rsidR="00F66E86" w:rsidRPr="00F66E86" w:rsidRDefault="00F66E86" w:rsidP="00F66E86">
      <w:pPr>
        <w:spacing w:after="0" w:line="240" w:lineRule="auto"/>
        <w:jc w:val="center"/>
        <w:rPr>
          <w:rFonts w:ascii="Times New Roman" w:hAnsi="Times New Roman"/>
          <w:noProof/>
          <w:sz w:val="20"/>
          <w:szCs w:val="20"/>
        </w:rPr>
      </w:pPr>
    </w:p>
    <w:p w:rsidR="00F66E86" w:rsidRPr="00F66E86" w:rsidRDefault="00F66E86" w:rsidP="00F66E86">
      <w:pPr>
        <w:spacing w:after="0" w:line="240" w:lineRule="auto"/>
        <w:jc w:val="center"/>
        <w:rPr>
          <w:rFonts w:ascii="Times New Roman" w:hAnsi="Times New Roman"/>
          <w:b/>
          <w:noProof/>
          <w:sz w:val="20"/>
          <w:szCs w:val="20"/>
        </w:rPr>
      </w:pPr>
      <w:r w:rsidRPr="00F66E86">
        <w:rPr>
          <w:rFonts w:ascii="Times New Roman" w:hAnsi="Times New Roman"/>
          <w:b/>
          <w:noProof/>
          <w:sz w:val="20"/>
          <w:szCs w:val="20"/>
        </w:rPr>
        <w:t>Abstract</w:t>
      </w:r>
    </w:p>
    <w:p w:rsidR="00F66E86" w:rsidRPr="00F66E86" w:rsidRDefault="00F66E86" w:rsidP="00F66E86">
      <w:pPr>
        <w:spacing w:after="0" w:line="240" w:lineRule="auto"/>
        <w:jc w:val="both"/>
        <w:outlineLvl w:val="0"/>
        <w:rPr>
          <w:rFonts w:ascii="Times New Roman" w:hAnsi="Times New Roman" w:cs="Times New Roman"/>
          <w:sz w:val="20"/>
          <w:szCs w:val="20"/>
          <w:lang w:val="en-GB"/>
        </w:rPr>
      </w:pPr>
      <w:r w:rsidRPr="00F66E86">
        <w:rPr>
          <w:rFonts w:ascii="Times New Roman" w:hAnsi="Times New Roman" w:cs="Times New Roman"/>
          <w:sz w:val="20"/>
          <w:szCs w:val="20"/>
          <w:lang w:val="en-GB"/>
        </w:rPr>
        <w:t xml:space="preserve">Natural colours have emerged as an alternative source of colours due to the high demand and public sensitivity towards the risk of using synthetic colours. Natural colours are non-hazardous and made from renewable resources, in which the supply is abundant and not harmful to the environment. </w:t>
      </w:r>
      <w:bookmarkStart w:id="1" w:name="_Hlk16624556"/>
      <w:r w:rsidRPr="00F66E86">
        <w:rPr>
          <w:rFonts w:ascii="Times New Roman" w:hAnsi="Times New Roman" w:cs="Times New Roman"/>
          <w:sz w:val="20"/>
          <w:szCs w:val="20"/>
          <w:lang w:val="en-GB"/>
        </w:rPr>
        <w:t xml:space="preserve">This study aims to screen naturally-derived colours from butterfly pea, red cabbage, turmeric, and beetroot as visual indicators in monitoring food freshness. The study was carried out in three stages: the extraction of natural colours, the absorption of natural colours on the indicator paper, and the application of visual indicators on the real sample. </w:t>
      </w:r>
      <w:bookmarkEnd w:id="1"/>
      <w:r w:rsidRPr="00F66E86">
        <w:rPr>
          <w:rFonts w:ascii="Times New Roman" w:hAnsi="Times New Roman" w:cs="Times New Roman"/>
          <w:sz w:val="20"/>
          <w:szCs w:val="20"/>
          <w:lang w:val="en-GB"/>
        </w:rPr>
        <w:t xml:space="preserve">The results showed that all visual indicators changed their colours towards the spoilage of meat in 24-h monitoring at room temperature. The most significant colour change was observed on the natural colour from butterfly pea compared to other natural resources. HS-SPME-GC-FID analysis confirmed the presence of methylamine as the main volatile compound from the spoiled meat, which contributed to the colour change of the visual indicators. FTIR analysis of useable indicators indicated the presence of amine compound (N-H) that aligned with the result of HS-SPME-GC-FID. The used visual indicators returned to their initial colours and characteristics, which provide the possibility for the fabrication of reusable visual indicators in the future. </w:t>
      </w:r>
    </w:p>
    <w:p w:rsidR="00F66E86" w:rsidRPr="00F66E86" w:rsidRDefault="00F66E86" w:rsidP="00F66E86">
      <w:pPr>
        <w:spacing w:after="0" w:line="240" w:lineRule="auto"/>
        <w:jc w:val="both"/>
        <w:outlineLvl w:val="0"/>
        <w:rPr>
          <w:rFonts w:ascii="Times New Roman" w:hAnsi="Times New Roman" w:cs="Times New Roman"/>
          <w:sz w:val="20"/>
          <w:szCs w:val="20"/>
          <w:lang w:val="en-GB"/>
        </w:rPr>
      </w:pPr>
    </w:p>
    <w:p w:rsidR="00F66E86" w:rsidRPr="00F66E86" w:rsidRDefault="00F66E86" w:rsidP="00F66E86">
      <w:pPr>
        <w:spacing w:after="0" w:line="240" w:lineRule="auto"/>
        <w:jc w:val="both"/>
        <w:outlineLvl w:val="0"/>
        <w:rPr>
          <w:rFonts w:ascii="Times New Roman" w:hAnsi="Times New Roman" w:cs="Times New Roman"/>
          <w:bCs/>
          <w:sz w:val="20"/>
          <w:szCs w:val="20"/>
          <w:lang w:val="en-GB"/>
        </w:rPr>
      </w:pPr>
      <w:r w:rsidRPr="00F66E86">
        <w:rPr>
          <w:rFonts w:ascii="Times New Roman" w:hAnsi="Times New Roman" w:cs="Times New Roman"/>
          <w:b/>
          <w:sz w:val="20"/>
          <w:szCs w:val="20"/>
          <w:lang w:val="en-GB"/>
        </w:rPr>
        <w:t>Keywords</w:t>
      </w:r>
      <w:r w:rsidRPr="00F66E86">
        <w:rPr>
          <w:rFonts w:ascii="Times New Roman" w:hAnsi="Times New Roman" w:cs="Times New Roman"/>
          <w:b/>
          <w:bCs/>
          <w:sz w:val="20"/>
          <w:szCs w:val="20"/>
          <w:lang w:val="en-GB"/>
        </w:rPr>
        <w:t xml:space="preserve">: </w:t>
      </w:r>
      <w:r w:rsidRPr="00F66E86">
        <w:rPr>
          <w:rFonts w:ascii="Times New Roman" w:hAnsi="Times New Roman"/>
          <w:b/>
          <w:bCs/>
          <w:sz w:val="20"/>
          <w:szCs w:val="20"/>
          <w:lang w:val="en-GB"/>
        </w:rPr>
        <w:t xml:space="preserve"> </w:t>
      </w:r>
      <w:r w:rsidRPr="00F66E86">
        <w:rPr>
          <w:rFonts w:ascii="Times New Roman" w:hAnsi="Times New Roman" w:cs="Times New Roman"/>
          <w:bCs/>
          <w:sz w:val="20"/>
          <w:szCs w:val="20"/>
          <w:lang w:val="en-GB"/>
        </w:rPr>
        <w:t>natural colour, visual indicator, meat freshness</w:t>
      </w:r>
    </w:p>
    <w:p w:rsidR="00F66E86" w:rsidRPr="00F66E86" w:rsidRDefault="00F66E86" w:rsidP="00F66E86">
      <w:pPr>
        <w:spacing w:after="0" w:line="240" w:lineRule="auto"/>
        <w:jc w:val="center"/>
        <w:outlineLvl w:val="0"/>
        <w:rPr>
          <w:rFonts w:ascii="Times New Roman" w:hAnsi="Times New Roman" w:cs="Times New Roman"/>
          <w:b/>
          <w:sz w:val="20"/>
          <w:szCs w:val="20"/>
          <w:lang w:val="en-GB"/>
        </w:rPr>
      </w:pPr>
    </w:p>
    <w:p w:rsidR="00F66E86" w:rsidRPr="00F66E86" w:rsidRDefault="00F66E86" w:rsidP="00F66E86">
      <w:pPr>
        <w:spacing w:after="0" w:line="240" w:lineRule="auto"/>
        <w:jc w:val="center"/>
        <w:outlineLvl w:val="0"/>
        <w:rPr>
          <w:rFonts w:ascii="Times New Roman" w:hAnsi="Times New Roman" w:cs="Times New Roman"/>
          <w:b/>
          <w:sz w:val="20"/>
          <w:szCs w:val="20"/>
          <w:lang w:val="en-GB"/>
        </w:rPr>
      </w:pPr>
      <w:r w:rsidRPr="00F66E86">
        <w:rPr>
          <w:rFonts w:ascii="Times New Roman" w:hAnsi="Times New Roman" w:cs="Times New Roman"/>
          <w:b/>
          <w:sz w:val="20"/>
          <w:szCs w:val="20"/>
          <w:lang w:val="en-GB"/>
        </w:rPr>
        <w:t>Abstrak</w:t>
      </w:r>
    </w:p>
    <w:p w:rsidR="00F66E86" w:rsidRPr="00F66E86" w:rsidRDefault="00F66E86" w:rsidP="00F66E86">
      <w:pPr>
        <w:spacing w:after="0" w:line="240" w:lineRule="auto"/>
        <w:jc w:val="both"/>
        <w:outlineLvl w:val="0"/>
        <w:rPr>
          <w:rFonts w:ascii="Times New Roman" w:hAnsi="Times New Roman" w:cs="Times New Roman"/>
          <w:sz w:val="20"/>
          <w:szCs w:val="20"/>
          <w:lang w:val="ms-MY"/>
        </w:rPr>
      </w:pPr>
      <w:r w:rsidRPr="00F66E86">
        <w:rPr>
          <w:rFonts w:ascii="Times New Roman" w:hAnsi="Times New Roman" w:cs="Times New Roman"/>
          <w:sz w:val="20"/>
          <w:szCs w:val="20"/>
          <w:lang w:val="ms-MY"/>
        </w:rPr>
        <w:t xml:space="preserve">Penggunaan warna semula jadi telah berkembang pesat disebabkan kesedaran pengguna terhadap bahaya pewarna sintetik. Pewarna semula jadi tidak berbahaya dan boleh diperbaharui selain sumber yang mudah didapati serta tidak membahayakan alam sekitar. Kajian ini bertujuan menyaring pewarna semula jadi daripada pelbagai sumber seperti bunga telang, kubis merah, kunyit, dan ubi bit untuk digunakan sebagai indikator visual bagi mengukur kesegaran </w:t>
      </w:r>
      <w:r w:rsidRPr="00F66E86">
        <w:rPr>
          <w:rFonts w:ascii="Times New Roman" w:hAnsi="Times New Roman" w:cs="Times New Roman"/>
          <w:sz w:val="20"/>
          <w:szCs w:val="20"/>
          <w:lang w:val="ms-MY"/>
        </w:rPr>
        <w:lastRenderedPageBreak/>
        <w:t>makanan. Kajian dijalankan dalam tiga peringkat: pengekstrakan pewarna semula jadi, penyerapan pewarna semula jadi ke atas kertas penunjuk, dan penggunaan indikator visual ke atas sampel sebenar. Keputusan kajian menunjukkan kesemua indikator visual berubah warna apabila terdedah kepada daging yang rosak ketika dianalisis pada suhu bilik selama 24 jam. Perubahan warna indikator visual yang paling jelas adalah pada indikator visual yang menggunakan pewarna semula jadi bunga telang. Analisis HS-SPME-GC-FID yang dijalankan menunjukkan kehadiran metilamina yang terhasil ketika proses kerosakan daging. Metilamina menjadi penyebab utama terhadap perubahan warna indikator visual. Analisis FTIR ke atas indikator visual yang baru selesai digunakan menunjukkan kehadiran sebatian amina yang mana selari dengan keputusan analisis HS-SPME-GC-FID. Indikator visual yang telah digunakan menunjukkan perubahan warna kepada warna asal membuktikan kemungkinan fabrikasi indikator visual secara guna-semula pada masa akan datang.</w:t>
      </w:r>
    </w:p>
    <w:p w:rsidR="00F66E86" w:rsidRPr="00F66E86" w:rsidRDefault="00F66E86" w:rsidP="00F66E86">
      <w:pPr>
        <w:spacing w:after="0" w:line="240" w:lineRule="auto"/>
        <w:jc w:val="both"/>
        <w:outlineLvl w:val="0"/>
        <w:rPr>
          <w:rFonts w:ascii="Times New Roman" w:hAnsi="Times New Roman" w:cs="Times New Roman"/>
          <w:sz w:val="20"/>
          <w:szCs w:val="20"/>
          <w:lang w:val="ms-MY"/>
        </w:rPr>
      </w:pPr>
    </w:p>
    <w:p w:rsidR="00F66E86" w:rsidRDefault="00F66E86" w:rsidP="00F66E86">
      <w:pPr>
        <w:spacing w:after="0" w:line="240" w:lineRule="auto"/>
        <w:jc w:val="both"/>
        <w:outlineLvl w:val="0"/>
        <w:rPr>
          <w:rFonts w:ascii="Times New Roman" w:hAnsi="Times New Roman" w:cs="Times New Roman"/>
          <w:sz w:val="20"/>
          <w:szCs w:val="20"/>
          <w:lang w:val="ms-MY"/>
        </w:rPr>
      </w:pPr>
      <w:r w:rsidRPr="00F66E86">
        <w:rPr>
          <w:rFonts w:ascii="Times New Roman" w:hAnsi="Times New Roman" w:cs="Times New Roman"/>
          <w:b/>
          <w:sz w:val="20"/>
          <w:szCs w:val="20"/>
          <w:lang w:val="ms-MY"/>
        </w:rPr>
        <w:t xml:space="preserve">Kata kunci: </w:t>
      </w:r>
      <w:r w:rsidRPr="00F66E86">
        <w:rPr>
          <w:rFonts w:ascii="Times New Roman" w:hAnsi="Times New Roman"/>
          <w:b/>
          <w:sz w:val="20"/>
          <w:szCs w:val="20"/>
          <w:lang w:val="ms-MY"/>
        </w:rPr>
        <w:t xml:space="preserve"> </w:t>
      </w:r>
      <w:r w:rsidRPr="00F66E86">
        <w:rPr>
          <w:rFonts w:ascii="Times New Roman" w:hAnsi="Times New Roman" w:cs="Times New Roman"/>
          <w:sz w:val="20"/>
          <w:szCs w:val="20"/>
          <w:lang w:val="ms-MY"/>
        </w:rPr>
        <w:t>pewarna semula jadi, indikator visual, kesegaran daging</w:t>
      </w:r>
    </w:p>
    <w:p w:rsidR="00F66E86" w:rsidRDefault="00F66E86" w:rsidP="00F66E86">
      <w:pPr>
        <w:spacing w:after="0" w:line="240" w:lineRule="auto"/>
        <w:jc w:val="both"/>
        <w:outlineLvl w:val="0"/>
        <w:rPr>
          <w:rFonts w:ascii="Times New Roman" w:hAnsi="Times New Roman" w:cs="Times New Roman"/>
          <w:sz w:val="20"/>
          <w:szCs w:val="20"/>
          <w:lang w:val="ms-MY"/>
        </w:rPr>
      </w:pPr>
    </w:p>
    <w:p w:rsidR="00F66E86" w:rsidRPr="00F447A7" w:rsidRDefault="00F66E86" w:rsidP="00F66E86">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F66E86" w:rsidRPr="007A521B" w:rsidRDefault="00F66E86" w:rsidP="00F66E86">
      <w:pPr>
        <w:pStyle w:val="ListParagraph"/>
        <w:widowControl w:val="0"/>
        <w:numPr>
          <w:ilvl w:val="0"/>
          <w:numId w:val="5"/>
        </w:numPr>
        <w:autoSpaceDE w:val="0"/>
        <w:autoSpaceDN w:val="0"/>
        <w:spacing w:after="0" w:line="240" w:lineRule="auto"/>
        <w:ind w:left="360"/>
        <w:contextualSpacing w:val="0"/>
        <w:jc w:val="both"/>
        <w:outlineLvl w:val="0"/>
        <w:rPr>
          <w:rFonts w:ascii="Times New Roman" w:hAnsi="Times New Roman"/>
          <w:bCs/>
          <w:sz w:val="20"/>
          <w:szCs w:val="20"/>
          <w:lang w:val="en-GB"/>
        </w:rPr>
      </w:pPr>
      <w:bookmarkStart w:id="2" w:name="_Hlk18573107"/>
      <w:r w:rsidRPr="007A521B">
        <w:rPr>
          <w:rFonts w:ascii="Times New Roman" w:hAnsi="Times New Roman"/>
          <w:bCs/>
          <w:sz w:val="20"/>
          <w:szCs w:val="20"/>
          <w:lang w:val="en-GB"/>
        </w:rPr>
        <w:t xml:space="preserve">Sharma, D. (2014). Understanding biocolour- A review. </w:t>
      </w:r>
      <w:r w:rsidRPr="007A521B">
        <w:rPr>
          <w:rFonts w:ascii="Times New Roman" w:hAnsi="Times New Roman"/>
          <w:bCs/>
          <w:i/>
          <w:iCs/>
          <w:sz w:val="20"/>
          <w:szCs w:val="20"/>
          <w:lang w:val="en-GB"/>
        </w:rPr>
        <w:t>International Journal of Scientific &amp; Technology Research,</w:t>
      </w:r>
      <w:r w:rsidRPr="007A521B">
        <w:rPr>
          <w:rFonts w:ascii="Times New Roman" w:hAnsi="Times New Roman"/>
          <w:bCs/>
          <w:sz w:val="20"/>
          <w:szCs w:val="20"/>
          <w:lang w:val="en-GB"/>
        </w:rPr>
        <w:t xml:space="preserve"> 3(1): 294-299.</w:t>
      </w:r>
    </w:p>
    <w:p w:rsidR="00F66E86" w:rsidRPr="007A521B" w:rsidRDefault="00F66E86" w:rsidP="00F66E86">
      <w:pPr>
        <w:pStyle w:val="ListParagraph"/>
        <w:widowControl w:val="0"/>
        <w:numPr>
          <w:ilvl w:val="0"/>
          <w:numId w:val="5"/>
        </w:numPr>
        <w:autoSpaceDE w:val="0"/>
        <w:autoSpaceDN w:val="0"/>
        <w:spacing w:after="0" w:line="240" w:lineRule="auto"/>
        <w:ind w:left="360"/>
        <w:contextualSpacing w:val="0"/>
        <w:jc w:val="both"/>
        <w:rPr>
          <w:rFonts w:ascii="Times New Roman" w:hAnsi="Times New Roman"/>
          <w:bCs/>
          <w:sz w:val="20"/>
          <w:szCs w:val="20"/>
          <w:lang w:val="en-GB"/>
        </w:rPr>
      </w:pPr>
      <w:r w:rsidRPr="007A521B">
        <w:rPr>
          <w:rFonts w:ascii="Times New Roman" w:hAnsi="Times New Roman"/>
          <w:bCs/>
          <w:sz w:val="20"/>
          <w:szCs w:val="20"/>
          <w:lang w:val="en-GB"/>
        </w:rPr>
        <w:t xml:space="preserve">Suppadit, T., Sunthorn, N. and Poungsuk, P. (2011). Use of anthocyanin extracted from natural plant materials to develop a pH test kit for measuring effluent from animal farms. </w:t>
      </w:r>
      <w:r w:rsidRPr="007A521B">
        <w:rPr>
          <w:rFonts w:ascii="Times New Roman" w:hAnsi="Times New Roman"/>
          <w:bCs/>
          <w:i/>
          <w:iCs/>
          <w:sz w:val="20"/>
          <w:szCs w:val="20"/>
          <w:lang w:val="en-GB"/>
        </w:rPr>
        <w:t>African Journal of Biotechnology</w:t>
      </w:r>
      <w:r w:rsidRPr="007A521B">
        <w:rPr>
          <w:rFonts w:ascii="Times New Roman" w:hAnsi="Times New Roman"/>
          <w:bCs/>
          <w:sz w:val="20"/>
          <w:szCs w:val="20"/>
          <w:lang w:val="en-GB"/>
        </w:rPr>
        <w:t xml:space="preserve">, 10(82): 19109-19118. </w:t>
      </w:r>
    </w:p>
    <w:p w:rsidR="00F66E86" w:rsidRPr="007A521B" w:rsidRDefault="00F66E86" w:rsidP="00F66E86">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Kim, H. J., Kim, D., Kim, H. J., Song, S. O., Song, Y. H. and Jang, A. (2018). Evaluation of the microbiological status of raw beef in Korea: Considering the suitability of aerobic plate count guidelines. </w:t>
      </w:r>
      <w:r w:rsidRPr="007A521B">
        <w:rPr>
          <w:rFonts w:ascii="Times New Roman" w:hAnsi="Times New Roman"/>
          <w:i/>
          <w:iCs/>
          <w:sz w:val="20"/>
          <w:szCs w:val="20"/>
          <w:lang w:val="en-GB"/>
        </w:rPr>
        <w:t>Korean Journal for Food Science of Animal Resources</w:t>
      </w:r>
      <w:r w:rsidRPr="007A521B">
        <w:rPr>
          <w:rFonts w:ascii="Times New Roman" w:hAnsi="Times New Roman"/>
          <w:sz w:val="20"/>
          <w:szCs w:val="20"/>
          <w:lang w:val="en-GB"/>
        </w:rPr>
        <w:t xml:space="preserve">, 38(1): 43-51. </w:t>
      </w:r>
    </w:p>
    <w:p w:rsidR="00F66E86" w:rsidRPr="007A521B" w:rsidRDefault="00F66E86" w:rsidP="00F66E86">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bookmarkStart w:id="3" w:name="_Hlk34687968"/>
      <w:r w:rsidRPr="007A521B">
        <w:rPr>
          <w:rFonts w:ascii="Times New Roman" w:hAnsi="Times New Roman"/>
          <w:sz w:val="20"/>
          <w:szCs w:val="20"/>
          <w:lang w:val="en-GB"/>
        </w:rPr>
        <w:t>Meat &amp; Livestock Australia (2011). Meat standards australia beef information kit. Access from https://www.mla.com.au/globalassets/mla-corporate/marketing-beef-and lamb/msa_tt_beefinfokit_jul13 _lr.pdf  [Access online on 9 October 2017].</w:t>
      </w:r>
    </w:p>
    <w:bookmarkEnd w:id="3"/>
    <w:p w:rsidR="00F66E86" w:rsidRPr="007A521B" w:rsidRDefault="00F66E86" w:rsidP="00F66E86">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Rabeta, M. S. and Nabil, Z. A. (2013). Total phenolic compounds and scavenging activity in </w:t>
      </w:r>
      <w:r w:rsidRPr="007A521B">
        <w:rPr>
          <w:rFonts w:ascii="Times New Roman" w:hAnsi="Times New Roman"/>
          <w:i/>
          <w:iCs/>
          <w:sz w:val="20"/>
          <w:szCs w:val="20"/>
          <w:lang w:val="en-GB"/>
        </w:rPr>
        <w:t>Clitoria Ternatea</w:t>
      </w:r>
      <w:r w:rsidRPr="007A521B">
        <w:rPr>
          <w:rFonts w:ascii="Times New Roman" w:hAnsi="Times New Roman"/>
          <w:sz w:val="20"/>
          <w:szCs w:val="20"/>
          <w:lang w:val="en-GB"/>
        </w:rPr>
        <w:t xml:space="preserve"> and </w:t>
      </w:r>
      <w:r w:rsidRPr="007A521B">
        <w:rPr>
          <w:rFonts w:ascii="Times New Roman" w:hAnsi="Times New Roman"/>
          <w:i/>
          <w:iCs/>
          <w:sz w:val="20"/>
          <w:szCs w:val="20"/>
          <w:lang w:val="en-GB"/>
        </w:rPr>
        <w:t xml:space="preserve">Vitex Negundo </w:t>
      </w:r>
      <w:r w:rsidRPr="007A521B">
        <w:rPr>
          <w:rFonts w:ascii="Times New Roman" w:hAnsi="Times New Roman"/>
          <w:sz w:val="20"/>
          <w:szCs w:val="20"/>
          <w:lang w:val="en-GB"/>
        </w:rPr>
        <w:t xml:space="preserve">Linn. </w:t>
      </w:r>
      <w:r w:rsidRPr="007A521B">
        <w:rPr>
          <w:rFonts w:ascii="Times New Roman" w:hAnsi="Times New Roman"/>
          <w:i/>
          <w:iCs/>
          <w:sz w:val="20"/>
          <w:szCs w:val="20"/>
          <w:lang w:val="en-GB"/>
        </w:rPr>
        <w:t>International Food Research Journal</w:t>
      </w:r>
      <w:r w:rsidRPr="007A521B">
        <w:rPr>
          <w:rFonts w:ascii="Times New Roman" w:hAnsi="Times New Roman"/>
          <w:sz w:val="20"/>
          <w:szCs w:val="20"/>
          <w:lang w:val="en-GB"/>
        </w:rPr>
        <w:t>, 20(1): 495-500.</w:t>
      </w:r>
    </w:p>
    <w:p w:rsidR="00F66E86" w:rsidRPr="007A521B" w:rsidRDefault="00F66E86" w:rsidP="00F66E86">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Mishra, P. K., Singh, P., Gupta, K. K., Tiwari, H. and Srivastava, P. (2012). Extraction of natural dye from </w:t>
      </w:r>
      <w:r w:rsidRPr="007A521B">
        <w:rPr>
          <w:rFonts w:ascii="Times New Roman" w:hAnsi="Times New Roman"/>
          <w:i/>
          <w:iCs/>
          <w:sz w:val="20"/>
          <w:szCs w:val="20"/>
          <w:lang w:val="en-GB"/>
        </w:rPr>
        <w:t>Dhalia variabilis</w:t>
      </w:r>
      <w:r w:rsidRPr="007A521B">
        <w:rPr>
          <w:rFonts w:ascii="Times New Roman" w:hAnsi="Times New Roman"/>
          <w:sz w:val="20"/>
          <w:szCs w:val="20"/>
          <w:lang w:val="en-GB"/>
        </w:rPr>
        <w:t xml:space="preserve"> using ultrasound. </w:t>
      </w:r>
      <w:r w:rsidRPr="007A521B">
        <w:rPr>
          <w:rFonts w:ascii="Times New Roman" w:hAnsi="Times New Roman"/>
          <w:i/>
          <w:iCs/>
          <w:sz w:val="20"/>
          <w:szCs w:val="20"/>
          <w:lang w:val="en-GB"/>
        </w:rPr>
        <w:t>Chemical Engineering</w:t>
      </w:r>
      <w:r w:rsidRPr="007A521B">
        <w:rPr>
          <w:rFonts w:ascii="Times New Roman" w:hAnsi="Times New Roman"/>
          <w:sz w:val="20"/>
          <w:szCs w:val="20"/>
          <w:lang w:val="en-GB"/>
        </w:rPr>
        <w:t>, 37: 1-18.</w:t>
      </w:r>
    </w:p>
    <w:p w:rsidR="00F66E86" w:rsidRPr="007A521B" w:rsidRDefault="00F66E86" w:rsidP="00F66E86">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Saptarini, N. M., Suryasaputra, D. and Nurmalia, H. (2015). Application of butterfly bea (</w:t>
      </w:r>
      <w:r w:rsidRPr="007A521B">
        <w:rPr>
          <w:rFonts w:ascii="Times New Roman" w:hAnsi="Times New Roman"/>
          <w:i/>
          <w:iCs/>
          <w:sz w:val="20"/>
          <w:szCs w:val="20"/>
          <w:lang w:val="en-GB"/>
        </w:rPr>
        <w:t xml:space="preserve">Clitoria ternatea </w:t>
      </w:r>
      <w:r w:rsidRPr="007A521B">
        <w:rPr>
          <w:rFonts w:ascii="Times New Roman" w:hAnsi="Times New Roman"/>
          <w:sz w:val="20"/>
          <w:szCs w:val="20"/>
          <w:lang w:val="en-GB"/>
        </w:rPr>
        <w:t xml:space="preserve">Linn) extract as an indicator of acid-base titration. </w:t>
      </w:r>
      <w:r w:rsidRPr="007A521B">
        <w:rPr>
          <w:rFonts w:ascii="Times New Roman" w:hAnsi="Times New Roman"/>
          <w:i/>
          <w:iCs/>
          <w:sz w:val="20"/>
          <w:szCs w:val="20"/>
          <w:lang w:val="en-GB"/>
        </w:rPr>
        <w:t>Journal of Chemical and Pharmaceutical Research</w:t>
      </w:r>
      <w:r w:rsidRPr="007A521B">
        <w:rPr>
          <w:rFonts w:ascii="Times New Roman" w:hAnsi="Times New Roman"/>
          <w:sz w:val="20"/>
          <w:szCs w:val="20"/>
          <w:lang w:val="en-GB"/>
        </w:rPr>
        <w:t>, 7 (2): 275-280.</w:t>
      </w:r>
    </w:p>
    <w:p w:rsidR="00F66E86" w:rsidRPr="007A521B" w:rsidRDefault="00F66E86" w:rsidP="00F66E86">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Shukla, V., Kandeepan, G. and Vishnuraj, M. R. (2015). Development of on-package indicator sensor for real-time monitoring of buffalo meat quality during refrigeration storage. </w:t>
      </w:r>
      <w:r w:rsidRPr="007A521B">
        <w:rPr>
          <w:rFonts w:ascii="Times New Roman" w:hAnsi="Times New Roman"/>
          <w:i/>
          <w:iCs/>
          <w:sz w:val="20"/>
          <w:szCs w:val="20"/>
          <w:lang w:val="en-GB"/>
        </w:rPr>
        <w:t xml:space="preserve">Food Analytical Methods, </w:t>
      </w:r>
      <w:r w:rsidRPr="007A521B">
        <w:rPr>
          <w:rFonts w:ascii="Times New Roman" w:hAnsi="Times New Roman"/>
          <w:sz w:val="20"/>
          <w:szCs w:val="20"/>
          <w:lang w:val="en-GB"/>
        </w:rPr>
        <w:t>8(6): 1591-1597.</w:t>
      </w:r>
    </w:p>
    <w:p w:rsidR="00F66E86" w:rsidRPr="007A521B" w:rsidRDefault="00F66E86" w:rsidP="00F66E86">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Kuswandi, B., Jember, U., Jayus, J. and Jember, U. (2015). Simple and low-cost on-package sticker sensor based on litmus paper for real-time monitoring of beef freshness. </w:t>
      </w:r>
      <w:r w:rsidRPr="007A521B">
        <w:rPr>
          <w:rFonts w:ascii="Times New Roman" w:hAnsi="Times New Roman"/>
          <w:i/>
          <w:iCs/>
          <w:sz w:val="20"/>
          <w:szCs w:val="20"/>
          <w:lang w:val="en-GB"/>
        </w:rPr>
        <w:t>Journal of Mathematical and Fundamental Sciences</w:t>
      </w:r>
      <w:r w:rsidRPr="007A521B">
        <w:rPr>
          <w:rFonts w:ascii="Times New Roman" w:hAnsi="Times New Roman"/>
          <w:sz w:val="20"/>
          <w:szCs w:val="20"/>
          <w:lang w:val="en-GB"/>
        </w:rPr>
        <w:t xml:space="preserve">, 47(1): 236-251. </w:t>
      </w:r>
    </w:p>
    <w:p w:rsidR="00F66E86" w:rsidRPr="007A521B" w:rsidRDefault="00F66E86" w:rsidP="00F66E86">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Ma, Q. L., Hamid, N., Bekhit, A. E. D., Robertson, J. and Law, T. F. (2013). Optimization of headspace solid phase microextraction (HS-SPME) for gas chromatography mass spectrometry (GC-MS) analysis of aroma compounds in cooked beef using response surface methodology. </w:t>
      </w:r>
      <w:r w:rsidRPr="007A521B">
        <w:rPr>
          <w:rFonts w:ascii="Times New Roman" w:hAnsi="Times New Roman"/>
          <w:i/>
          <w:iCs/>
          <w:sz w:val="20"/>
          <w:szCs w:val="20"/>
          <w:lang w:val="en-GB"/>
        </w:rPr>
        <w:t>Microchemical Journal</w:t>
      </w:r>
      <w:r w:rsidRPr="007A521B">
        <w:rPr>
          <w:rFonts w:ascii="Times New Roman" w:hAnsi="Times New Roman"/>
          <w:sz w:val="20"/>
          <w:szCs w:val="20"/>
          <w:lang w:val="en-GB"/>
        </w:rPr>
        <w:t xml:space="preserve">, 111: 16- 24. </w:t>
      </w:r>
    </w:p>
    <w:p w:rsidR="00F66E86" w:rsidRPr="007A521B" w:rsidRDefault="00F66E86" w:rsidP="00F66E86">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Wahyuningsih, S., Wulandari, L., Wartono, M. W., Munawaroh, H. and Ramelan, A. H. (2017). The effect of pH and color stability of anthocyanin on food colorant. </w:t>
      </w:r>
      <w:r w:rsidRPr="007A521B">
        <w:rPr>
          <w:rFonts w:ascii="Times New Roman" w:hAnsi="Times New Roman"/>
          <w:i/>
          <w:iCs/>
          <w:sz w:val="20"/>
          <w:szCs w:val="20"/>
          <w:lang w:val="en-GB"/>
        </w:rPr>
        <w:t>IOP Conference Series: Materials Science and Engineering</w:t>
      </w:r>
      <w:r w:rsidRPr="007A521B">
        <w:rPr>
          <w:rFonts w:ascii="Times New Roman" w:hAnsi="Times New Roman"/>
          <w:sz w:val="20"/>
          <w:szCs w:val="20"/>
          <w:lang w:val="en-GB"/>
        </w:rPr>
        <w:t xml:space="preserve">, 193(1): 012047. </w:t>
      </w:r>
    </w:p>
    <w:p w:rsidR="00F66E86" w:rsidRPr="007A521B" w:rsidRDefault="00F66E86" w:rsidP="00F66E86">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Shukla, V., Kandeepan, G., Rajan, M. and Arvind, V. (2016). Anthocyanins based indicator sensor for intelligent packaging application. </w:t>
      </w:r>
      <w:r w:rsidRPr="007A521B">
        <w:rPr>
          <w:rFonts w:ascii="Times New Roman" w:hAnsi="Times New Roman"/>
          <w:i/>
          <w:iCs/>
          <w:sz w:val="20"/>
          <w:szCs w:val="20"/>
          <w:lang w:val="en-GB"/>
        </w:rPr>
        <w:t xml:space="preserve">Agricultural Research, </w:t>
      </w:r>
      <w:r w:rsidRPr="007A521B">
        <w:rPr>
          <w:rFonts w:ascii="Times New Roman" w:hAnsi="Times New Roman"/>
          <w:sz w:val="20"/>
          <w:szCs w:val="20"/>
          <w:lang w:val="en-GB"/>
        </w:rPr>
        <w:t>5(2):</w:t>
      </w:r>
      <w:r w:rsidRPr="007A521B">
        <w:rPr>
          <w:rFonts w:ascii="Times New Roman" w:hAnsi="Times New Roman"/>
          <w:i/>
          <w:iCs/>
          <w:sz w:val="20"/>
          <w:szCs w:val="20"/>
          <w:lang w:val="en-GB"/>
        </w:rPr>
        <w:t xml:space="preserve"> </w:t>
      </w:r>
      <w:r w:rsidRPr="007A521B">
        <w:rPr>
          <w:rFonts w:ascii="Times New Roman" w:hAnsi="Times New Roman"/>
          <w:sz w:val="20"/>
          <w:szCs w:val="20"/>
          <w:lang w:val="en-GB"/>
        </w:rPr>
        <w:t xml:space="preserve">205-209. </w:t>
      </w:r>
    </w:p>
    <w:p w:rsidR="00F66E86" w:rsidRPr="007A521B" w:rsidRDefault="00F66E86" w:rsidP="00F66E86">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Kuswandi, B., Jayus, Larasati, T. S., Abdullah, A. and Heng, L. Y. (2012). Real-time monitoring of shrimp spoilage using on-package sticker sensor based on natural dye of curcumin. </w:t>
      </w:r>
      <w:r w:rsidRPr="007A521B">
        <w:rPr>
          <w:rFonts w:ascii="Times New Roman" w:hAnsi="Times New Roman"/>
          <w:i/>
          <w:iCs/>
          <w:sz w:val="20"/>
          <w:szCs w:val="20"/>
          <w:lang w:val="en-GB"/>
        </w:rPr>
        <w:t>Food Analytical Methods</w:t>
      </w:r>
      <w:r w:rsidRPr="007A521B">
        <w:rPr>
          <w:rFonts w:ascii="Times New Roman" w:hAnsi="Times New Roman"/>
          <w:sz w:val="20"/>
          <w:szCs w:val="20"/>
          <w:lang w:val="en-GB"/>
        </w:rPr>
        <w:t>, 5 (4): 881-889.</w:t>
      </w:r>
    </w:p>
    <w:bookmarkEnd w:id="2"/>
    <w:p w:rsidR="00F66E86" w:rsidRPr="007A521B" w:rsidRDefault="00F66E86" w:rsidP="00F66E86">
      <w:pPr>
        <w:pStyle w:val="ListParagraph"/>
        <w:widowControl w:val="0"/>
        <w:numPr>
          <w:ilvl w:val="0"/>
          <w:numId w:val="5"/>
        </w:numPr>
        <w:tabs>
          <w:tab w:val="left" w:pos="142"/>
        </w:tabs>
        <w:autoSpaceDE w:val="0"/>
        <w:autoSpaceDN w:val="0"/>
        <w:spacing w:after="0" w:line="240" w:lineRule="auto"/>
        <w:ind w:left="360"/>
        <w:contextualSpacing w:val="0"/>
        <w:jc w:val="both"/>
        <w:outlineLvl w:val="0"/>
        <w:rPr>
          <w:rFonts w:ascii="Times New Roman" w:hAnsi="Times New Roman"/>
          <w:bCs/>
          <w:sz w:val="20"/>
          <w:szCs w:val="20"/>
          <w:lang w:val="en-GB"/>
        </w:rPr>
      </w:pPr>
      <w:r w:rsidRPr="007A521B">
        <w:rPr>
          <w:rFonts w:ascii="Times New Roman" w:hAnsi="Times New Roman"/>
          <w:sz w:val="20"/>
          <w:szCs w:val="20"/>
          <w:lang w:val="en-GB"/>
        </w:rPr>
        <w:t xml:space="preserve">Dave, D. and Ghaly, A. E. (2011). Meat spoilage mechanisms and preservation techniques: A critical review. </w:t>
      </w:r>
      <w:r w:rsidRPr="007A521B">
        <w:rPr>
          <w:rFonts w:ascii="Times New Roman" w:hAnsi="Times New Roman"/>
          <w:i/>
          <w:iCs/>
          <w:sz w:val="20"/>
          <w:szCs w:val="20"/>
          <w:lang w:val="en-GB"/>
        </w:rPr>
        <w:t>American Journal of Agricultural and Biological Science</w:t>
      </w:r>
      <w:r w:rsidRPr="007A521B">
        <w:rPr>
          <w:rFonts w:ascii="Times New Roman" w:hAnsi="Times New Roman"/>
          <w:sz w:val="20"/>
          <w:szCs w:val="20"/>
          <w:lang w:val="en-GB"/>
        </w:rPr>
        <w:t xml:space="preserve">, 6(4): 486-510. </w:t>
      </w:r>
    </w:p>
    <w:p w:rsidR="00095557" w:rsidRPr="00F66E86" w:rsidRDefault="00F66E86" w:rsidP="001573E3">
      <w:pPr>
        <w:pStyle w:val="ListParagraph"/>
        <w:widowControl w:val="0"/>
        <w:numPr>
          <w:ilvl w:val="0"/>
          <w:numId w:val="5"/>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Bland, J. M. and Altman, D. G. (1995). Tukey multiple comparison test. </w:t>
      </w:r>
      <w:r w:rsidRPr="007A521B">
        <w:rPr>
          <w:rFonts w:ascii="Times New Roman" w:hAnsi="Times New Roman"/>
          <w:i/>
          <w:iCs/>
          <w:sz w:val="20"/>
          <w:szCs w:val="20"/>
          <w:lang w:val="en-GB"/>
        </w:rPr>
        <w:t>British Medical Journal of Clinical Nursing</w:t>
      </w:r>
      <w:r w:rsidRPr="007A521B">
        <w:rPr>
          <w:rFonts w:ascii="Times New Roman" w:hAnsi="Times New Roman"/>
          <w:sz w:val="20"/>
          <w:szCs w:val="20"/>
          <w:lang w:val="en-GB"/>
        </w:rPr>
        <w:t xml:space="preserve">, 310(8): 299-304. </w:t>
      </w:r>
    </w:p>
    <w:sectPr w:rsidR="00095557" w:rsidRPr="00F66E86"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1">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6BE91F4F"/>
    <w:multiLevelType w:val="hybridMultilevel"/>
    <w:tmpl w:val="8D3A6BC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F626B"/>
    <w:rsid w:val="0044292C"/>
    <w:rsid w:val="00487993"/>
    <w:rsid w:val="005F401D"/>
    <w:rsid w:val="007D0E7F"/>
    <w:rsid w:val="00832F59"/>
    <w:rsid w:val="00834CDE"/>
    <w:rsid w:val="00900BAC"/>
    <w:rsid w:val="00975E1A"/>
    <w:rsid w:val="00AC72D0"/>
    <w:rsid w:val="00C71438"/>
    <w:rsid w:val="00C72F3E"/>
    <w:rsid w:val="00C73A4A"/>
    <w:rsid w:val="00D04BC8"/>
    <w:rsid w:val="00D0718B"/>
    <w:rsid w:val="00D40B1F"/>
    <w:rsid w:val="00F66E86"/>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1117</Words>
  <Characters>6002</Characters>
  <Application>Microsoft Office Word</Application>
  <DocSecurity>0</DocSecurity>
  <Lines>115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2</cp:revision>
  <dcterms:created xsi:type="dcterms:W3CDTF">2020-03-30T11:46:00Z</dcterms:created>
  <dcterms:modified xsi:type="dcterms:W3CDTF">2020-03-30T11:46:00Z</dcterms:modified>
</cp:coreProperties>
</file>