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545F40">
        <w:rPr>
          <w:rFonts w:ascii="Times New Roman" w:hAnsi="Times New Roman" w:cs="Times New Roman"/>
          <w:sz w:val="24"/>
          <w:szCs w:val="24"/>
        </w:rPr>
        <w:t>165 - 172</w:t>
      </w:r>
    </w:p>
    <w:p w:rsidR="00545F40" w:rsidRDefault="00545F40" w:rsidP="001573E3">
      <w:pPr>
        <w:spacing w:after="0" w:line="240" w:lineRule="auto"/>
        <w:rPr>
          <w:rFonts w:ascii="Times New Roman" w:hAnsi="Times New Roman" w:cs="Times New Roman"/>
          <w:sz w:val="24"/>
          <w:szCs w:val="24"/>
        </w:rPr>
      </w:pPr>
    </w:p>
    <w:p w:rsidR="00545F40" w:rsidRDefault="00545F40" w:rsidP="001573E3">
      <w:pPr>
        <w:spacing w:after="0" w:line="240" w:lineRule="auto"/>
        <w:rPr>
          <w:rFonts w:ascii="Times New Roman" w:hAnsi="Times New Roman" w:cs="Times New Roman"/>
          <w:sz w:val="24"/>
          <w:szCs w:val="24"/>
        </w:rPr>
      </w:pPr>
    </w:p>
    <w:p w:rsidR="00545F40" w:rsidRDefault="00545F40" w:rsidP="001573E3">
      <w:pPr>
        <w:spacing w:after="0" w:line="240" w:lineRule="auto"/>
        <w:rPr>
          <w:rFonts w:ascii="Times New Roman" w:hAnsi="Times New Roman" w:cs="Times New Roman"/>
          <w:sz w:val="24"/>
          <w:szCs w:val="24"/>
        </w:rPr>
      </w:pPr>
    </w:p>
    <w:p w:rsidR="00545F40" w:rsidRDefault="00545F40" w:rsidP="001573E3">
      <w:pPr>
        <w:spacing w:after="0" w:line="240" w:lineRule="auto"/>
        <w:rPr>
          <w:rFonts w:ascii="Times New Roman" w:hAnsi="Times New Roman" w:cs="Times New Roman"/>
          <w:sz w:val="24"/>
          <w:szCs w:val="24"/>
        </w:rPr>
      </w:pPr>
    </w:p>
    <w:p w:rsidR="00545F40" w:rsidRPr="00726AD5" w:rsidRDefault="00545F40" w:rsidP="00545F40">
      <w:pPr>
        <w:spacing w:after="0" w:line="240" w:lineRule="auto"/>
        <w:jc w:val="center"/>
        <w:outlineLvl w:val="0"/>
        <w:rPr>
          <w:rFonts w:ascii="Times New Roman" w:hAnsi="Times New Roman" w:cs="Times New Roman"/>
          <w:sz w:val="28"/>
        </w:rPr>
      </w:pPr>
      <w:r w:rsidRPr="00726AD5">
        <w:rPr>
          <w:rFonts w:ascii="Times New Roman" w:hAnsi="Times New Roman" w:cs="Times New Roman"/>
          <w:sz w:val="28"/>
        </w:rPr>
        <w:t xml:space="preserve">DEVELOPMENT AND VALIDATION OF HPLC METHOD FOR QUANTIFICATION OF DOCETAXEL IN PALM-BASED </w:t>
      </w:r>
    </w:p>
    <w:p w:rsidR="00545F40" w:rsidRPr="00726AD5" w:rsidRDefault="00545F40" w:rsidP="00545F40">
      <w:pPr>
        <w:spacing w:after="0" w:line="240" w:lineRule="auto"/>
        <w:jc w:val="center"/>
        <w:outlineLvl w:val="0"/>
        <w:rPr>
          <w:rFonts w:ascii="Times New Roman" w:hAnsi="Times New Roman" w:cs="Times New Roman"/>
          <w:b/>
          <w:color w:val="548DD4" w:themeColor="text2" w:themeTint="99"/>
          <w:szCs w:val="20"/>
        </w:rPr>
      </w:pPr>
      <w:r w:rsidRPr="00726AD5">
        <w:rPr>
          <w:rFonts w:ascii="Times New Roman" w:hAnsi="Times New Roman" w:cs="Times New Roman"/>
          <w:sz w:val="28"/>
        </w:rPr>
        <w:t>NANOEMULSION AEROSOLS</w:t>
      </w:r>
    </w:p>
    <w:p w:rsidR="00545F40" w:rsidRPr="00726AD5" w:rsidRDefault="00545F40" w:rsidP="00545F40">
      <w:pPr>
        <w:spacing w:after="0" w:line="240" w:lineRule="auto"/>
        <w:jc w:val="center"/>
        <w:outlineLvl w:val="0"/>
        <w:rPr>
          <w:rFonts w:ascii="Times New Roman" w:hAnsi="Times New Roman" w:cs="Times New Roman"/>
          <w:b/>
          <w:color w:val="548DD4" w:themeColor="text2" w:themeTint="99"/>
          <w:sz w:val="24"/>
        </w:rPr>
      </w:pPr>
    </w:p>
    <w:p w:rsidR="00545F40" w:rsidRPr="001140F5" w:rsidRDefault="00545F40" w:rsidP="00545F40">
      <w:pPr>
        <w:spacing w:after="0" w:line="240" w:lineRule="auto"/>
        <w:jc w:val="center"/>
        <w:outlineLvl w:val="0"/>
        <w:rPr>
          <w:rFonts w:ascii="Times New Roman" w:hAnsi="Times New Roman" w:cs="Times New Roman"/>
          <w:sz w:val="24"/>
          <w:lang w:val="ms-MY"/>
        </w:rPr>
      </w:pPr>
      <w:r w:rsidRPr="00726AD5">
        <w:rPr>
          <w:rFonts w:ascii="Times New Roman" w:hAnsi="Times New Roman" w:cs="Times New Roman"/>
          <w:sz w:val="24"/>
        </w:rPr>
        <w:t>(</w:t>
      </w:r>
      <w:r w:rsidRPr="00726AD5">
        <w:rPr>
          <w:rFonts w:ascii="Times New Roman" w:hAnsi="Times New Roman" w:cs="Times New Roman"/>
          <w:sz w:val="24"/>
          <w:lang w:val="ms-MY"/>
        </w:rPr>
        <w:t>Pembangunan dan Validasi Kaedah KCPT untuk Kuantifikasi Docetaxel di dalam Nanoemulsi Aerosol Berasaskan Sawit</w:t>
      </w:r>
      <w:r w:rsidRPr="00726AD5">
        <w:rPr>
          <w:rFonts w:ascii="Times New Roman" w:hAnsi="Times New Roman" w:cs="Times New Roman"/>
          <w:sz w:val="24"/>
        </w:rPr>
        <w:t>)</w:t>
      </w:r>
    </w:p>
    <w:p w:rsidR="00545F40" w:rsidRPr="001140F5" w:rsidRDefault="00545F40" w:rsidP="00545F40">
      <w:pPr>
        <w:spacing w:after="0" w:line="240" w:lineRule="auto"/>
        <w:jc w:val="center"/>
        <w:outlineLvl w:val="0"/>
        <w:rPr>
          <w:rFonts w:ascii="Times New Roman" w:hAnsi="Times New Roman" w:cs="Times New Roman"/>
          <w:b/>
          <w:color w:val="548DD4" w:themeColor="text2" w:themeTint="99"/>
          <w:sz w:val="20"/>
          <w:szCs w:val="20"/>
        </w:rPr>
      </w:pPr>
    </w:p>
    <w:p w:rsidR="00545F40" w:rsidRPr="001140F5" w:rsidRDefault="00545F40" w:rsidP="00545F40">
      <w:pPr>
        <w:spacing w:after="0" w:line="240" w:lineRule="auto"/>
        <w:jc w:val="center"/>
        <w:outlineLvl w:val="0"/>
        <w:rPr>
          <w:rFonts w:ascii="Times New Roman" w:hAnsi="Times New Roman" w:cs="Times New Roman"/>
          <w:sz w:val="20"/>
          <w:szCs w:val="20"/>
          <w:vertAlign w:val="superscript"/>
        </w:rPr>
      </w:pPr>
      <w:r w:rsidRPr="001140F5">
        <w:rPr>
          <w:rFonts w:ascii="Times New Roman" w:hAnsi="Times New Roman" w:cs="Times New Roman"/>
          <w:sz w:val="20"/>
          <w:szCs w:val="20"/>
        </w:rPr>
        <w:t>Azren Aida Asmawi</w:t>
      </w:r>
      <w:r w:rsidRPr="001140F5">
        <w:rPr>
          <w:rFonts w:ascii="Times New Roman" w:hAnsi="Times New Roman" w:cs="Times New Roman"/>
          <w:sz w:val="20"/>
          <w:szCs w:val="20"/>
          <w:vertAlign w:val="superscript"/>
        </w:rPr>
        <w:t>1</w:t>
      </w:r>
      <w:r w:rsidRPr="001140F5">
        <w:rPr>
          <w:rFonts w:ascii="Times New Roman" w:hAnsi="Times New Roman" w:cs="Times New Roman"/>
          <w:sz w:val="20"/>
          <w:szCs w:val="20"/>
        </w:rPr>
        <w:t>, Norazlinaliza Salim</w:t>
      </w:r>
      <w:r w:rsidRPr="001140F5">
        <w:rPr>
          <w:rFonts w:ascii="Times New Roman" w:hAnsi="Times New Roman" w:cs="Times New Roman"/>
          <w:sz w:val="20"/>
          <w:szCs w:val="20"/>
          <w:vertAlign w:val="superscript"/>
        </w:rPr>
        <w:t>1,2</w:t>
      </w:r>
      <w:r w:rsidRPr="001140F5">
        <w:rPr>
          <w:rFonts w:ascii="Times New Roman" w:hAnsi="Times New Roman" w:cs="Times New Roman"/>
          <w:sz w:val="20"/>
          <w:szCs w:val="20"/>
        </w:rPr>
        <w:t>, Emilia Abdulmalek</w:t>
      </w:r>
      <w:r w:rsidRPr="001140F5">
        <w:rPr>
          <w:rFonts w:ascii="Times New Roman" w:hAnsi="Times New Roman" w:cs="Times New Roman"/>
          <w:sz w:val="20"/>
          <w:szCs w:val="20"/>
          <w:vertAlign w:val="superscript"/>
        </w:rPr>
        <w:t>1,2</w:t>
      </w:r>
      <w:r w:rsidRPr="001140F5">
        <w:rPr>
          <w:rFonts w:ascii="Times New Roman" w:hAnsi="Times New Roman" w:cs="Times New Roman"/>
          <w:sz w:val="20"/>
          <w:szCs w:val="20"/>
        </w:rPr>
        <w:t>, Mohd Basyaruddin Abdul Rahman</w:t>
      </w:r>
      <w:r w:rsidRPr="001140F5">
        <w:rPr>
          <w:rFonts w:ascii="Times New Roman" w:hAnsi="Times New Roman" w:cs="Times New Roman"/>
          <w:sz w:val="20"/>
          <w:szCs w:val="20"/>
          <w:vertAlign w:val="superscript"/>
        </w:rPr>
        <w:t>1,2</w:t>
      </w:r>
      <w:r w:rsidRPr="001140F5">
        <w:rPr>
          <w:rFonts w:ascii="Times New Roman" w:hAnsi="Times New Roman" w:cs="Times New Roman"/>
          <w:sz w:val="20"/>
          <w:szCs w:val="20"/>
        </w:rPr>
        <w:t>*</w:t>
      </w:r>
    </w:p>
    <w:p w:rsidR="00545F40" w:rsidRPr="00545F40" w:rsidRDefault="00545F40" w:rsidP="00545F40">
      <w:pPr>
        <w:spacing w:after="0" w:line="240" w:lineRule="auto"/>
        <w:jc w:val="center"/>
        <w:outlineLvl w:val="0"/>
        <w:rPr>
          <w:rFonts w:ascii="Times New Roman" w:hAnsi="Times New Roman" w:cs="Times New Roman"/>
          <w:b/>
          <w:color w:val="FF0000"/>
          <w:sz w:val="20"/>
          <w:szCs w:val="20"/>
        </w:rPr>
      </w:pPr>
    </w:p>
    <w:p w:rsidR="00545F40" w:rsidRPr="00545F40" w:rsidRDefault="00545F40" w:rsidP="00545F40">
      <w:pPr>
        <w:spacing w:after="0" w:line="240" w:lineRule="auto"/>
        <w:jc w:val="center"/>
        <w:outlineLvl w:val="0"/>
        <w:rPr>
          <w:rFonts w:ascii="Times New Roman" w:hAnsi="Times New Roman" w:cs="Times New Roman"/>
          <w:i/>
          <w:sz w:val="20"/>
          <w:szCs w:val="20"/>
        </w:rPr>
      </w:pPr>
      <w:r w:rsidRPr="00545F40">
        <w:rPr>
          <w:rFonts w:ascii="Times New Roman" w:hAnsi="Times New Roman" w:cs="Times New Roman"/>
          <w:i/>
          <w:sz w:val="20"/>
          <w:szCs w:val="20"/>
          <w:vertAlign w:val="superscript"/>
        </w:rPr>
        <w:t>1</w:t>
      </w:r>
      <w:r w:rsidRPr="00545F40">
        <w:rPr>
          <w:rFonts w:ascii="Times New Roman" w:hAnsi="Times New Roman" w:cs="Times New Roman"/>
          <w:i/>
          <w:sz w:val="20"/>
          <w:szCs w:val="20"/>
        </w:rPr>
        <w:t xml:space="preserve">Integrated Chemical BioPhysics Research, </w:t>
      </w:r>
      <w:r w:rsidRPr="00545F40">
        <w:rPr>
          <w:rFonts w:ascii="Times New Roman" w:hAnsi="Times New Roman"/>
          <w:i/>
          <w:sz w:val="20"/>
          <w:szCs w:val="20"/>
        </w:rPr>
        <w:t>Faculty of Science</w:t>
      </w:r>
    </w:p>
    <w:p w:rsidR="00545F40" w:rsidRPr="00545F40" w:rsidRDefault="00545F40" w:rsidP="00545F40">
      <w:pPr>
        <w:spacing w:after="0" w:line="240" w:lineRule="auto"/>
        <w:jc w:val="center"/>
        <w:outlineLvl w:val="0"/>
        <w:rPr>
          <w:rFonts w:ascii="Times New Roman" w:hAnsi="Times New Roman" w:cs="Times New Roman"/>
          <w:i/>
          <w:sz w:val="20"/>
          <w:szCs w:val="20"/>
        </w:rPr>
      </w:pPr>
      <w:r w:rsidRPr="00545F40">
        <w:rPr>
          <w:rFonts w:ascii="Times New Roman" w:hAnsi="Times New Roman" w:cs="Times New Roman"/>
          <w:i/>
          <w:sz w:val="20"/>
          <w:szCs w:val="20"/>
          <w:vertAlign w:val="superscript"/>
        </w:rPr>
        <w:t>2</w:t>
      </w:r>
      <w:r w:rsidRPr="00545F40">
        <w:rPr>
          <w:rFonts w:ascii="Times New Roman" w:hAnsi="Times New Roman" w:cs="Times New Roman"/>
          <w:i/>
          <w:sz w:val="20"/>
          <w:szCs w:val="20"/>
        </w:rPr>
        <w:t xml:space="preserve">Department of Chemistry, </w:t>
      </w:r>
      <w:r w:rsidRPr="00545F40">
        <w:rPr>
          <w:rFonts w:ascii="Times New Roman" w:hAnsi="Times New Roman"/>
          <w:i/>
          <w:sz w:val="20"/>
          <w:szCs w:val="20"/>
        </w:rPr>
        <w:t>Faculty of Science</w:t>
      </w:r>
    </w:p>
    <w:p w:rsidR="00545F40" w:rsidRPr="00545F40" w:rsidRDefault="00545F40" w:rsidP="00545F40">
      <w:pPr>
        <w:spacing w:after="0" w:line="240" w:lineRule="auto"/>
        <w:jc w:val="center"/>
        <w:outlineLvl w:val="0"/>
        <w:rPr>
          <w:rFonts w:ascii="Times New Roman" w:hAnsi="Times New Roman" w:cs="Times New Roman"/>
          <w:i/>
          <w:sz w:val="20"/>
          <w:szCs w:val="20"/>
        </w:rPr>
      </w:pPr>
      <w:r w:rsidRPr="00545F40">
        <w:rPr>
          <w:rFonts w:ascii="Times New Roman" w:hAnsi="Times New Roman" w:cs="Times New Roman"/>
          <w:i/>
          <w:sz w:val="20"/>
          <w:szCs w:val="20"/>
        </w:rPr>
        <w:t>Universiti Putra Malaysia, 43400 UPM Serdang, Selangor, Malaysia</w:t>
      </w:r>
    </w:p>
    <w:p w:rsidR="00545F40" w:rsidRPr="00545F40" w:rsidRDefault="00545F40" w:rsidP="00545F40">
      <w:pPr>
        <w:spacing w:after="0" w:line="240" w:lineRule="auto"/>
        <w:jc w:val="center"/>
        <w:outlineLvl w:val="0"/>
        <w:rPr>
          <w:rFonts w:ascii="Times New Roman" w:hAnsi="Times New Roman" w:cs="Times New Roman"/>
          <w:b/>
          <w:color w:val="548DD4" w:themeColor="text2" w:themeTint="99"/>
          <w:sz w:val="20"/>
          <w:szCs w:val="20"/>
        </w:rPr>
      </w:pPr>
    </w:p>
    <w:p w:rsidR="00545F40" w:rsidRPr="00545F40" w:rsidRDefault="00545F40" w:rsidP="00545F40">
      <w:pPr>
        <w:spacing w:after="0" w:line="240" w:lineRule="auto"/>
        <w:jc w:val="center"/>
        <w:outlineLvl w:val="0"/>
        <w:rPr>
          <w:rFonts w:ascii="Times New Roman" w:hAnsi="Times New Roman" w:cs="Times New Roman"/>
          <w:i/>
          <w:color w:val="548DD4" w:themeColor="text2" w:themeTint="99"/>
          <w:sz w:val="20"/>
          <w:szCs w:val="20"/>
        </w:rPr>
      </w:pPr>
      <w:r w:rsidRPr="00545F40">
        <w:rPr>
          <w:rFonts w:ascii="Times New Roman" w:hAnsi="Times New Roman" w:cs="Times New Roman"/>
          <w:i/>
          <w:sz w:val="20"/>
          <w:szCs w:val="20"/>
        </w:rPr>
        <w:t>*</w:t>
      </w:r>
      <w:r w:rsidRPr="00545F40">
        <w:rPr>
          <w:rFonts w:ascii="Times New Roman" w:hAnsi="Times New Roman"/>
          <w:i/>
          <w:sz w:val="20"/>
          <w:szCs w:val="20"/>
        </w:rPr>
        <w:t xml:space="preserve">Corresponding author: </w:t>
      </w:r>
      <w:r w:rsidRPr="00545F40">
        <w:rPr>
          <w:rFonts w:ascii="Times New Roman" w:hAnsi="Times New Roman" w:cs="Times New Roman"/>
          <w:i/>
          <w:sz w:val="20"/>
          <w:szCs w:val="20"/>
        </w:rPr>
        <w:t xml:space="preserve">basya@upm.edu.my </w:t>
      </w:r>
    </w:p>
    <w:p w:rsidR="00545F40" w:rsidRPr="00545F40" w:rsidRDefault="00545F40" w:rsidP="00545F40">
      <w:pPr>
        <w:spacing w:after="0" w:line="240" w:lineRule="auto"/>
        <w:jc w:val="center"/>
        <w:rPr>
          <w:rFonts w:ascii="Times New Roman" w:hAnsi="Times New Roman"/>
          <w:noProof/>
          <w:sz w:val="20"/>
          <w:szCs w:val="20"/>
        </w:rPr>
      </w:pPr>
    </w:p>
    <w:p w:rsidR="00545F40" w:rsidRPr="00545F40" w:rsidRDefault="00545F40" w:rsidP="00545F40">
      <w:pPr>
        <w:spacing w:after="0" w:line="240" w:lineRule="auto"/>
        <w:jc w:val="center"/>
        <w:rPr>
          <w:rFonts w:ascii="Times New Roman" w:hAnsi="Times New Roman"/>
          <w:noProof/>
          <w:sz w:val="20"/>
          <w:szCs w:val="20"/>
        </w:rPr>
      </w:pPr>
    </w:p>
    <w:p w:rsidR="00545F40" w:rsidRPr="00545F40" w:rsidRDefault="00545F40" w:rsidP="00545F40">
      <w:pPr>
        <w:spacing w:after="0" w:line="240" w:lineRule="auto"/>
        <w:jc w:val="center"/>
        <w:rPr>
          <w:rFonts w:ascii="Times New Roman" w:hAnsi="Times New Roman"/>
          <w:noProof/>
          <w:sz w:val="20"/>
          <w:szCs w:val="20"/>
        </w:rPr>
      </w:pPr>
      <w:r w:rsidRPr="00545F40">
        <w:rPr>
          <w:rFonts w:ascii="Times New Roman" w:hAnsi="Times New Roman"/>
          <w:noProof/>
          <w:sz w:val="20"/>
          <w:szCs w:val="20"/>
        </w:rPr>
        <w:t>Received: 20 November 2019; Accepted: 3 March 2020</w:t>
      </w:r>
    </w:p>
    <w:p w:rsidR="00545F40" w:rsidRPr="00545F40" w:rsidRDefault="00545F40" w:rsidP="00545F40">
      <w:pPr>
        <w:spacing w:after="0" w:line="240" w:lineRule="auto"/>
        <w:jc w:val="center"/>
        <w:rPr>
          <w:rFonts w:ascii="Times New Roman" w:hAnsi="Times New Roman"/>
          <w:noProof/>
          <w:sz w:val="20"/>
          <w:szCs w:val="20"/>
        </w:rPr>
      </w:pPr>
    </w:p>
    <w:p w:rsidR="00545F40" w:rsidRPr="00545F40" w:rsidRDefault="00545F40" w:rsidP="00545F40">
      <w:pPr>
        <w:spacing w:after="0" w:line="240" w:lineRule="auto"/>
        <w:jc w:val="center"/>
        <w:rPr>
          <w:rFonts w:ascii="Times New Roman" w:hAnsi="Times New Roman"/>
          <w:noProof/>
          <w:sz w:val="20"/>
          <w:szCs w:val="20"/>
        </w:rPr>
      </w:pPr>
    </w:p>
    <w:p w:rsidR="00545F40" w:rsidRPr="00545F40" w:rsidRDefault="00545F40" w:rsidP="00545F40">
      <w:pPr>
        <w:spacing w:after="0" w:line="240" w:lineRule="auto"/>
        <w:jc w:val="center"/>
        <w:rPr>
          <w:rFonts w:ascii="Times New Roman" w:hAnsi="Times New Roman"/>
          <w:b/>
          <w:noProof/>
          <w:sz w:val="20"/>
          <w:szCs w:val="20"/>
        </w:rPr>
      </w:pPr>
      <w:r w:rsidRPr="00545F40">
        <w:rPr>
          <w:rFonts w:ascii="Times New Roman" w:hAnsi="Times New Roman"/>
          <w:b/>
          <w:noProof/>
          <w:sz w:val="20"/>
          <w:szCs w:val="20"/>
        </w:rPr>
        <w:t>Abstract</w:t>
      </w:r>
    </w:p>
    <w:p w:rsidR="00545F40" w:rsidRPr="00545F40" w:rsidRDefault="00545F40" w:rsidP="00545F40">
      <w:pPr>
        <w:spacing w:after="0" w:line="240" w:lineRule="auto"/>
        <w:jc w:val="both"/>
        <w:outlineLvl w:val="0"/>
        <w:rPr>
          <w:rFonts w:ascii="Times New Roman" w:hAnsi="Times New Roman" w:cs="Times New Roman"/>
          <w:sz w:val="20"/>
          <w:szCs w:val="20"/>
        </w:rPr>
      </w:pPr>
      <w:r w:rsidRPr="00545F40">
        <w:rPr>
          <w:rFonts w:ascii="Times New Roman" w:hAnsi="Times New Roman" w:cs="Times New Roman"/>
          <w:sz w:val="20"/>
          <w:szCs w:val="20"/>
        </w:rPr>
        <w:t>Lung cancer is the leading cause of cancer-related deaths worldwide. Among the most potent of chemotherapeutic drugs used for lung cancer treatment are the taxanes, including docetaxel. However, the drugs’ efficacy in combating the disease is reduced due to their poor solubility, low stability and high toxicity. Inhalation therapy of lipid-based carrier has great potential in direct target towards the respiratory diseases. Hence, application of aerosolized palm-based nanoemulsion system is one approach to alleviate the drawbacks. This study describes the development and validation of method that can quantitate the amount of docetaxel nanoemulsion formulation via high-performance liquid chromatography (HPLC). Chromatographic analysis was conducted using a reversed phase C</w:t>
      </w:r>
      <w:r w:rsidRPr="00545F40">
        <w:rPr>
          <w:rFonts w:ascii="Times New Roman" w:hAnsi="Times New Roman" w:cs="Times New Roman"/>
          <w:sz w:val="20"/>
          <w:szCs w:val="20"/>
          <w:vertAlign w:val="subscript"/>
        </w:rPr>
        <w:t xml:space="preserve">18 </w:t>
      </w:r>
      <w:r w:rsidRPr="00545F40">
        <w:rPr>
          <w:rFonts w:ascii="Times New Roman" w:hAnsi="Times New Roman" w:cs="Times New Roman"/>
          <w:sz w:val="20"/>
          <w:szCs w:val="20"/>
        </w:rPr>
        <w:t>column with a mixture of acetonitrile and water (50:50) adjusted to pH 3.0 as the mobile phase. The flow rate was 1.0 mL/min and the detection was carried out by ultraviolet-visible detector at 228 nm. The developed method was validated in terms of specificity, linearity, accuracy and precision accordance with the International Conference on Harmonization (ICH) guidelines. The calibration curve was linear (</w:t>
      </w:r>
      <w:r w:rsidRPr="00545F40">
        <w:rPr>
          <w:rFonts w:ascii="Times New Roman" w:hAnsi="Times New Roman" w:cs="Times New Roman"/>
          <w:i/>
          <w:sz w:val="20"/>
          <w:szCs w:val="20"/>
        </w:rPr>
        <w:t>r</w:t>
      </w:r>
      <w:r w:rsidRPr="00545F40">
        <w:rPr>
          <w:rFonts w:ascii="Times New Roman" w:hAnsi="Times New Roman" w:cs="Times New Roman"/>
          <w:sz w:val="20"/>
          <w:szCs w:val="20"/>
          <w:vertAlign w:val="superscript"/>
        </w:rPr>
        <w:t>2</w:t>
      </w:r>
      <w:r w:rsidRPr="00545F40">
        <w:rPr>
          <w:rFonts w:ascii="Times New Roman" w:hAnsi="Times New Roman" w:cs="Times New Roman"/>
          <w:sz w:val="20"/>
          <w:szCs w:val="20"/>
        </w:rPr>
        <w:t xml:space="preserve"> = 0.999) over the concentration range from 62.5 to 1000 μg/mL with lower limit of detection </w:t>
      </w:r>
      <w:bookmarkStart w:id="0" w:name="_Hlk14011666"/>
      <w:r w:rsidRPr="00545F40">
        <w:rPr>
          <w:rFonts w:ascii="Times New Roman" w:hAnsi="Times New Roman" w:cs="Times New Roman"/>
          <w:sz w:val="20"/>
          <w:szCs w:val="20"/>
        </w:rPr>
        <w:t>(LOD) of 9.88 µg/mL and lower limit of quantification (LOQ) of 29.93 µg/mL</w:t>
      </w:r>
      <w:bookmarkEnd w:id="0"/>
      <w:r w:rsidRPr="00545F40">
        <w:rPr>
          <w:rFonts w:ascii="Times New Roman" w:hAnsi="Times New Roman" w:cs="Times New Roman"/>
          <w:sz w:val="20"/>
          <w:szCs w:val="20"/>
        </w:rPr>
        <w:t>. The percentage relative standard deviation for both intra and inter-day precision was less than 2%, while percentage recovery was more than 90%, indicating the precision and accuracy of the study. The developed HPLC method was proved as suitable and reliable for its intended application.</w:t>
      </w:r>
    </w:p>
    <w:p w:rsidR="00545F40" w:rsidRPr="00545F40" w:rsidRDefault="00545F40" w:rsidP="00545F40">
      <w:pPr>
        <w:spacing w:after="0" w:line="240" w:lineRule="auto"/>
        <w:jc w:val="both"/>
        <w:outlineLvl w:val="0"/>
        <w:rPr>
          <w:rFonts w:ascii="Times New Roman" w:hAnsi="Times New Roman" w:cs="Times New Roman"/>
          <w:sz w:val="20"/>
          <w:szCs w:val="20"/>
        </w:rPr>
      </w:pPr>
    </w:p>
    <w:p w:rsidR="00545F40" w:rsidRPr="00545F40" w:rsidRDefault="00545F40" w:rsidP="00545F40">
      <w:pPr>
        <w:spacing w:after="0" w:line="240" w:lineRule="auto"/>
        <w:jc w:val="both"/>
        <w:outlineLvl w:val="0"/>
        <w:rPr>
          <w:rFonts w:ascii="Times New Roman" w:hAnsi="Times New Roman" w:cs="Times New Roman"/>
          <w:color w:val="548DD4" w:themeColor="text2" w:themeTint="99"/>
          <w:sz w:val="20"/>
          <w:szCs w:val="20"/>
        </w:rPr>
      </w:pPr>
      <w:r w:rsidRPr="00545F40">
        <w:rPr>
          <w:rFonts w:ascii="Times New Roman" w:hAnsi="Times New Roman" w:cs="Times New Roman"/>
          <w:b/>
          <w:sz w:val="20"/>
          <w:szCs w:val="20"/>
        </w:rPr>
        <w:t>Keywords</w:t>
      </w:r>
      <w:r w:rsidRPr="00545F40">
        <w:rPr>
          <w:rFonts w:ascii="Times New Roman" w:hAnsi="Times New Roman" w:cs="Times New Roman"/>
          <w:b/>
          <w:bCs/>
          <w:sz w:val="20"/>
          <w:szCs w:val="20"/>
        </w:rPr>
        <w:t>:</w:t>
      </w:r>
      <w:r w:rsidRPr="00545F40">
        <w:rPr>
          <w:rFonts w:ascii="Times New Roman" w:hAnsi="Times New Roman" w:cs="Times New Roman"/>
          <w:sz w:val="20"/>
          <w:szCs w:val="20"/>
        </w:rPr>
        <w:t xml:space="preserve"> </w:t>
      </w:r>
      <w:r w:rsidRPr="00545F40">
        <w:rPr>
          <w:rFonts w:ascii="Times New Roman" w:hAnsi="Times New Roman"/>
          <w:sz w:val="20"/>
          <w:szCs w:val="20"/>
        </w:rPr>
        <w:t xml:space="preserve"> </w:t>
      </w:r>
      <w:r w:rsidRPr="00545F40">
        <w:rPr>
          <w:rFonts w:ascii="Times New Roman" w:hAnsi="Times New Roman" w:cs="Times New Roman"/>
          <w:sz w:val="20"/>
          <w:szCs w:val="20"/>
        </w:rPr>
        <w:t xml:space="preserve">aerosols, docetaxel, high-performance liquid chromatography, nanoemulsion, lung cancer </w:t>
      </w:r>
    </w:p>
    <w:p w:rsidR="00545F40" w:rsidRPr="00545F40" w:rsidRDefault="00545F40" w:rsidP="00545F40">
      <w:pPr>
        <w:spacing w:after="0" w:line="240" w:lineRule="auto"/>
        <w:jc w:val="center"/>
        <w:rPr>
          <w:rFonts w:ascii="Times New Roman" w:hAnsi="Times New Roman"/>
          <w:b/>
          <w:noProof/>
          <w:sz w:val="20"/>
          <w:szCs w:val="20"/>
        </w:rPr>
      </w:pPr>
    </w:p>
    <w:p w:rsidR="00545F40" w:rsidRPr="00545F40" w:rsidRDefault="00545F40" w:rsidP="00545F40">
      <w:pPr>
        <w:spacing w:after="0" w:line="240" w:lineRule="auto"/>
        <w:jc w:val="center"/>
        <w:rPr>
          <w:rFonts w:ascii="Times New Roman" w:hAnsi="Times New Roman"/>
          <w:b/>
          <w:noProof/>
          <w:sz w:val="20"/>
          <w:szCs w:val="20"/>
        </w:rPr>
      </w:pPr>
      <w:r w:rsidRPr="00545F40">
        <w:rPr>
          <w:rFonts w:ascii="Times New Roman" w:hAnsi="Times New Roman"/>
          <w:b/>
          <w:noProof/>
          <w:sz w:val="20"/>
          <w:szCs w:val="20"/>
        </w:rPr>
        <w:t>Abstrak</w:t>
      </w:r>
    </w:p>
    <w:p w:rsidR="00545F40" w:rsidRPr="00545F40" w:rsidRDefault="00545F40" w:rsidP="00545F40">
      <w:pPr>
        <w:spacing w:after="0" w:line="240" w:lineRule="auto"/>
        <w:jc w:val="both"/>
        <w:outlineLvl w:val="0"/>
        <w:rPr>
          <w:rFonts w:ascii="Times New Roman" w:hAnsi="Times New Roman" w:cs="Times New Roman"/>
          <w:sz w:val="20"/>
          <w:szCs w:val="20"/>
          <w:lang w:val="ms-MY"/>
        </w:rPr>
      </w:pPr>
      <w:r w:rsidRPr="00545F40">
        <w:rPr>
          <w:rFonts w:ascii="Times New Roman" w:hAnsi="Times New Roman" w:cs="Times New Roman"/>
          <w:sz w:val="20"/>
          <w:szCs w:val="20"/>
          <w:lang w:val="ms-MY"/>
        </w:rPr>
        <w:t xml:space="preserve">Kanser paru-paru adalah punca utama kematian akibat kanser di seluruh dunia. Antara ubat kemoterapi yang berkesan digunakan untuk rawatan kanser paru-paru ialah taxane, termasuk docetaxel. Walau bagaimanapun, keberkesanan ubat dalam merawati penyakit ini berkurangan disebabkan oleh kelarutannya yang kurang baik, kestabilan yang rendah dan ketoksikan yang tinggi. Oleh itu, penggunaan sistem nanoemulsi berasaskan sawit adalah satu pendekatan untuk mengurangkan kelemahan tersebut. Kajian ini menerangkan pembangunan dan validasi yang boleh mengkuantifikasi jumlah docetaxel di dalam rumusan nanoemulsi melalui kaedah kromatografi </w:t>
      </w:r>
      <w:r w:rsidRPr="00545F40">
        <w:rPr>
          <w:rFonts w:ascii="Times New Roman" w:hAnsi="Times New Roman" w:cs="Times New Roman"/>
          <w:sz w:val="20"/>
          <w:szCs w:val="20"/>
          <w:lang w:val="ms-MY"/>
        </w:rPr>
        <w:lastRenderedPageBreak/>
        <w:t>cecair prestasi tinggi (KCPT). Analisis kromatografi dijalankan menggunakan turus fasa terbalik C</w:t>
      </w:r>
      <w:r w:rsidRPr="00545F40">
        <w:rPr>
          <w:rFonts w:ascii="Times New Roman" w:hAnsi="Times New Roman" w:cs="Times New Roman"/>
          <w:sz w:val="20"/>
          <w:szCs w:val="20"/>
          <w:vertAlign w:val="subscript"/>
          <w:lang w:val="ms-MY"/>
        </w:rPr>
        <w:t>18</w:t>
      </w:r>
      <w:r w:rsidRPr="00545F40">
        <w:rPr>
          <w:rFonts w:ascii="Times New Roman" w:hAnsi="Times New Roman" w:cs="Times New Roman"/>
          <w:sz w:val="20"/>
          <w:szCs w:val="20"/>
          <w:lang w:val="ms-MY"/>
        </w:rPr>
        <w:t xml:space="preserve"> dengan campuran asetonitril dan air (50:50) diselaraskan kepada pH 3.0 sebagai fasa bergerak. Kadar aliran adalah 1.0 mL/min dan pengesanan dilakukan oleh pengesan ultralembayung-nampak pada 228 nm. Kaedah yang dibangunkan telah disahkan dari segi kekhususan, kelinearan, kejituan, ketepatan dan kepersisan berdasarkan garis panduan persidangan pengharmonian antarabangsa (ICH). Plot tentukuran adalah linear (</w:t>
      </w:r>
      <w:r w:rsidRPr="00545F40">
        <w:rPr>
          <w:rFonts w:ascii="Times New Roman" w:hAnsi="Times New Roman" w:cs="Times New Roman"/>
          <w:i/>
          <w:sz w:val="20"/>
          <w:szCs w:val="20"/>
          <w:lang w:val="ms-MY"/>
        </w:rPr>
        <w:t>r</w:t>
      </w:r>
      <w:r w:rsidRPr="00545F40">
        <w:rPr>
          <w:rFonts w:ascii="Times New Roman" w:hAnsi="Times New Roman" w:cs="Times New Roman"/>
          <w:sz w:val="20"/>
          <w:szCs w:val="20"/>
          <w:vertAlign w:val="superscript"/>
          <w:lang w:val="ms-MY"/>
        </w:rPr>
        <w:t xml:space="preserve">2 </w:t>
      </w:r>
      <w:r w:rsidRPr="00545F40">
        <w:rPr>
          <w:rFonts w:ascii="Times New Roman" w:hAnsi="Times New Roman" w:cs="Times New Roman"/>
          <w:sz w:val="20"/>
          <w:szCs w:val="20"/>
          <w:lang w:val="ms-MY"/>
        </w:rPr>
        <w:t>= 0.999) di atas kepekatan antara 62.5 hingga 1000 μg/mL dengan had pengesanan (LOD) iaitu 9.88 μg/mL dan had kuantifikasi (LOQ) sebanyak 29.93 μg/mL. Peratusan sisihan piawai relatif  untuk kedua-dua kepersisan intra dan inter-hari adalah kurang daripada 2%, manakala purata kejituan adalah lebih daripada 90%, menunjukkan kepersisan dan ketepatan kajian. Kaedah KCPT yang dibangunkan terbukti sesuai dan boleh digunakan untuk aplikasi yang dirancangkan.</w:t>
      </w:r>
    </w:p>
    <w:p w:rsidR="00545F40" w:rsidRPr="00545F40" w:rsidRDefault="00545F40" w:rsidP="00545F40">
      <w:pPr>
        <w:spacing w:after="0" w:line="240" w:lineRule="auto"/>
        <w:jc w:val="both"/>
        <w:outlineLvl w:val="0"/>
        <w:rPr>
          <w:rFonts w:ascii="Times New Roman" w:hAnsi="Times New Roman" w:cs="Times New Roman"/>
          <w:sz w:val="20"/>
          <w:szCs w:val="20"/>
          <w:lang w:val="ms-MY"/>
        </w:rPr>
      </w:pPr>
    </w:p>
    <w:p w:rsidR="00545F40" w:rsidRDefault="00545F40" w:rsidP="00545F40">
      <w:pPr>
        <w:spacing w:after="0" w:line="240" w:lineRule="auto"/>
        <w:jc w:val="both"/>
        <w:outlineLvl w:val="0"/>
        <w:rPr>
          <w:rFonts w:ascii="Times New Roman" w:hAnsi="Times New Roman" w:cs="Times New Roman"/>
          <w:sz w:val="20"/>
          <w:szCs w:val="20"/>
          <w:lang w:val="ms-MY"/>
        </w:rPr>
      </w:pPr>
      <w:r w:rsidRPr="00545F40">
        <w:rPr>
          <w:rFonts w:ascii="Times New Roman" w:hAnsi="Times New Roman" w:cs="Times New Roman"/>
          <w:b/>
          <w:sz w:val="20"/>
          <w:szCs w:val="20"/>
          <w:lang w:val="ms-MY"/>
        </w:rPr>
        <w:t xml:space="preserve">Kata kunci: </w:t>
      </w:r>
      <w:r w:rsidRPr="00545F40">
        <w:rPr>
          <w:rFonts w:ascii="Times New Roman" w:hAnsi="Times New Roman"/>
          <w:b/>
          <w:sz w:val="20"/>
          <w:szCs w:val="20"/>
          <w:lang w:val="ms-MY"/>
        </w:rPr>
        <w:t xml:space="preserve"> </w:t>
      </w:r>
      <w:r w:rsidRPr="00545F40">
        <w:rPr>
          <w:rFonts w:ascii="Times New Roman" w:hAnsi="Times New Roman" w:cs="Times New Roman"/>
          <w:sz w:val="20"/>
          <w:szCs w:val="20"/>
          <w:lang w:val="ms-MY"/>
        </w:rPr>
        <w:t>aerosol, docetaxel,</w:t>
      </w:r>
      <w:r w:rsidRPr="00545F40">
        <w:rPr>
          <w:rFonts w:ascii="Times New Roman" w:hAnsi="Times New Roman" w:cs="Times New Roman"/>
          <w:b/>
          <w:sz w:val="20"/>
          <w:szCs w:val="20"/>
          <w:lang w:val="ms-MY"/>
        </w:rPr>
        <w:t xml:space="preserve"> </w:t>
      </w:r>
      <w:r w:rsidRPr="00545F40">
        <w:rPr>
          <w:rFonts w:ascii="Times New Roman" w:hAnsi="Times New Roman" w:cs="Times New Roman"/>
          <w:sz w:val="20"/>
          <w:szCs w:val="20"/>
          <w:lang w:val="ms-MY"/>
        </w:rPr>
        <w:t>kromatografi cecair prestasi tinggi, nanoemulsi, kanser paru-paru</w:t>
      </w:r>
    </w:p>
    <w:p w:rsidR="00545F40" w:rsidRDefault="00545F40" w:rsidP="00545F40">
      <w:pPr>
        <w:spacing w:after="0" w:line="240" w:lineRule="auto"/>
        <w:jc w:val="both"/>
        <w:outlineLvl w:val="0"/>
        <w:rPr>
          <w:rFonts w:ascii="Times New Roman" w:hAnsi="Times New Roman" w:cs="Times New Roman"/>
          <w:sz w:val="20"/>
          <w:szCs w:val="20"/>
          <w:lang w:val="ms-MY"/>
        </w:rPr>
      </w:pPr>
    </w:p>
    <w:p w:rsidR="00545F40" w:rsidRPr="00F447A7" w:rsidRDefault="00545F40" w:rsidP="00545F40">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bCs/>
          <w:color w:val="548DD4" w:themeColor="text2" w:themeTint="99"/>
          <w:sz w:val="20"/>
          <w:szCs w:val="20"/>
        </w:rPr>
        <w:fldChar w:fldCharType="begin" w:fldLock="1"/>
      </w:r>
      <w:r w:rsidRPr="00726AD5">
        <w:rPr>
          <w:rFonts w:ascii="Times New Roman" w:hAnsi="Times New Roman"/>
          <w:bCs/>
          <w:color w:val="548DD4" w:themeColor="text2" w:themeTint="99"/>
          <w:sz w:val="20"/>
          <w:szCs w:val="20"/>
        </w:rPr>
        <w:instrText xml:space="preserve">ADDIN Mendeley Bibliography CSL_BIBLIOGRAPHY </w:instrText>
      </w:r>
      <w:r w:rsidRPr="00726AD5">
        <w:rPr>
          <w:rFonts w:ascii="Times New Roman" w:hAnsi="Times New Roman"/>
          <w:bCs/>
          <w:color w:val="548DD4" w:themeColor="text2" w:themeTint="99"/>
          <w:sz w:val="20"/>
          <w:szCs w:val="20"/>
        </w:rPr>
        <w:fldChar w:fldCharType="separate"/>
      </w:r>
      <w:r w:rsidRPr="00726AD5">
        <w:rPr>
          <w:rFonts w:ascii="Times New Roman" w:hAnsi="Times New Roman"/>
          <w:noProof/>
          <w:sz w:val="20"/>
          <w:szCs w:val="20"/>
        </w:rPr>
        <w:t xml:space="preserve">Gubens, M. A. and  Wakelee, H. A. (2010). Docetaxel in the treatment of non-small cell lung carcinoma: an update and analysis. </w:t>
      </w:r>
      <w:r w:rsidRPr="00726AD5">
        <w:rPr>
          <w:rFonts w:ascii="Times New Roman" w:hAnsi="Times New Roman"/>
          <w:i/>
          <w:noProof/>
          <w:sz w:val="20"/>
          <w:szCs w:val="20"/>
        </w:rPr>
        <w:t>Lung Cancer (Auckland)</w:t>
      </w:r>
      <w:r w:rsidRPr="00726AD5">
        <w:rPr>
          <w:rFonts w:ascii="Times New Roman" w:hAnsi="Times New Roman"/>
          <w:noProof/>
          <w:sz w:val="20"/>
          <w:szCs w:val="20"/>
        </w:rPr>
        <w:t xml:space="preserve">, 1: 63-76. </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Varshosaz, J., Taymouri, S., Hassanzadeh, F., Javanmard, S. H. and Rostami, M. (2015). Self-assembly micelles with lipid core of cholesterol for docetaxel delivery to B16F10 melanoma and Hepg2 cells. </w:t>
      </w:r>
      <w:r w:rsidRPr="00726AD5">
        <w:rPr>
          <w:rFonts w:ascii="Times New Roman" w:hAnsi="Times New Roman"/>
          <w:i/>
          <w:noProof/>
          <w:sz w:val="20"/>
          <w:szCs w:val="20"/>
        </w:rPr>
        <w:t>Journal of Liposome Research</w:t>
      </w:r>
      <w:r w:rsidRPr="00726AD5">
        <w:rPr>
          <w:rFonts w:ascii="Times New Roman" w:hAnsi="Times New Roman"/>
          <w:noProof/>
          <w:sz w:val="20"/>
          <w:szCs w:val="20"/>
        </w:rPr>
        <w:t>, 25(2): 157-165.</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Zhang, L., Tan, L., Chen, L., Chen, X., Long, C., Peng, J. and Qian, Z. (2016).  A simple method to improve the stability of docetaxel micelles. </w:t>
      </w:r>
      <w:r w:rsidRPr="00726AD5">
        <w:rPr>
          <w:rFonts w:ascii="Times New Roman" w:hAnsi="Times New Roman"/>
          <w:i/>
          <w:noProof/>
          <w:sz w:val="20"/>
          <w:szCs w:val="20"/>
        </w:rPr>
        <w:t>Scientific Reports - Nature</w:t>
      </w:r>
      <w:r w:rsidRPr="00726AD5">
        <w:rPr>
          <w:rFonts w:ascii="Times New Roman" w:hAnsi="Times New Roman"/>
          <w:noProof/>
          <w:sz w:val="20"/>
          <w:szCs w:val="20"/>
        </w:rPr>
        <w:t>, 6 (36957): 1-10.</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Liu, Z., Liu, D., Wang, L., Zhang, J. and Zhang, N. (2011). Docetaxel-loaded Pluronic P123 polymeric micelles: in vitro and in vivo evaluation. </w:t>
      </w:r>
      <w:r w:rsidRPr="00726AD5">
        <w:rPr>
          <w:rFonts w:ascii="Times New Roman" w:hAnsi="Times New Roman"/>
          <w:i/>
          <w:noProof/>
          <w:sz w:val="20"/>
          <w:szCs w:val="20"/>
        </w:rPr>
        <w:t>International Journal of Molecular Sciences</w:t>
      </w:r>
      <w:r w:rsidRPr="00726AD5">
        <w:rPr>
          <w:rFonts w:ascii="Times New Roman" w:hAnsi="Times New Roman"/>
          <w:noProof/>
          <w:sz w:val="20"/>
          <w:szCs w:val="20"/>
        </w:rPr>
        <w:t xml:space="preserve">, 12(3): 1684- 1696. </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Nesamony, J., Shah, I. S., Kalra, A. and Jung, R. (2014). Nebulized oil-in-water nanoemulsion mists for pulmonary delivery: Development, physico-chemical characterization and in vitro evaluation. </w:t>
      </w:r>
      <w:r w:rsidRPr="00726AD5">
        <w:rPr>
          <w:rFonts w:ascii="Times New Roman" w:hAnsi="Times New Roman"/>
          <w:i/>
          <w:noProof/>
          <w:sz w:val="20"/>
          <w:szCs w:val="20"/>
        </w:rPr>
        <w:t>Drug Development and Industrial Pharmacy</w:t>
      </w:r>
      <w:r w:rsidRPr="00726AD5">
        <w:rPr>
          <w:rFonts w:ascii="Times New Roman" w:hAnsi="Times New Roman"/>
          <w:noProof/>
          <w:sz w:val="20"/>
          <w:szCs w:val="20"/>
        </w:rPr>
        <w:t>, 40(9): 1253-1263.</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Xia, D., Sun, W. K., Tan, M. M., Zhang, M., Ding, Y., Liu, Z. C., Su, X. and Shi, Y. (2015). Aerosolized amphotericin B as prophylaxis for invasive pulmonary aspergillosis: A meta-analysis. </w:t>
      </w:r>
      <w:r w:rsidRPr="00726AD5">
        <w:rPr>
          <w:rFonts w:ascii="Times New Roman" w:hAnsi="Times New Roman"/>
          <w:i/>
          <w:noProof/>
          <w:sz w:val="20"/>
          <w:szCs w:val="20"/>
        </w:rPr>
        <w:t>International Journal of Infectious Diseases</w:t>
      </w:r>
      <w:r w:rsidRPr="00726AD5">
        <w:rPr>
          <w:rFonts w:ascii="Times New Roman" w:hAnsi="Times New Roman"/>
          <w:noProof/>
          <w:sz w:val="20"/>
          <w:szCs w:val="20"/>
        </w:rPr>
        <w:t xml:space="preserve">, 30: 78-84. </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Ngan C. L. and Asmawi, A. A. (2018). Lipid-based pulmonary delivery system: A review and future considerations of formulation strategies and limitations. </w:t>
      </w:r>
      <w:r w:rsidRPr="00726AD5">
        <w:rPr>
          <w:rFonts w:ascii="Times New Roman" w:hAnsi="Times New Roman"/>
          <w:i/>
          <w:noProof/>
          <w:sz w:val="20"/>
          <w:szCs w:val="20"/>
        </w:rPr>
        <w:t>Drug Delivery and Translational Research</w:t>
      </w:r>
      <w:r w:rsidRPr="00726AD5">
        <w:rPr>
          <w:rFonts w:ascii="Times New Roman" w:hAnsi="Times New Roman"/>
          <w:noProof/>
          <w:sz w:val="20"/>
          <w:szCs w:val="20"/>
        </w:rPr>
        <w:t>, 8 (5): 1527-1544.</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Keng, P. S., Basri, M., Zakaria, M. R. S., Rahman, M. B. A., Ariff, A. B., Rahman, R. N. Z. A. and Salleh, A. B. (2009). Newly synthesized palm esters for cosmetics industry. </w:t>
      </w:r>
      <w:r w:rsidRPr="00726AD5">
        <w:rPr>
          <w:rFonts w:ascii="Times New Roman" w:hAnsi="Times New Roman"/>
          <w:i/>
          <w:noProof/>
          <w:sz w:val="20"/>
          <w:szCs w:val="20"/>
        </w:rPr>
        <w:t>Industrial Crops and Products</w:t>
      </w:r>
      <w:r w:rsidRPr="00726AD5">
        <w:rPr>
          <w:rFonts w:ascii="Times New Roman" w:hAnsi="Times New Roman"/>
          <w:noProof/>
          <w:sz w:val="20"/>
          <w:szCs w:val="20"/>
        </w:rPr>
        <w:t xml:space="preserve">, 29(1): 37-44. </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Che, H. L., Tan, D. M. Y., Meganathan, P., Gan, Y. L., Abdul Razak, G. and Fu, J. Y. (2015). Validation of a HPLC/FLD method for quantification of tocotrienols in human plasma. </w:t>
      </w:r>
      <w:r w:rsidRPr="00726AD5">
        <w:rPr>
          <w:rFonts w:ascii="Times New Roman" w:hAnsi="Times New Roman"/>
          <w:i/>
          <w:noProof/>
          <w:sz w:val="20"/>
          <w:szCs w:val="20"/>
        </w:rPr>
        <w:t>International Journal of Analytical Chemistry</w:t>
      </w:r>
      <w:r w:rsidRPr="00726AD5">
        <w:rPr>
          <w:rFonts w:ascii="Times New Roman" w:hAnsi="Times New Roman"/>
          <w:noProof/>
          <w:sz w:val="20"/>
          <w:szCs w:val="20"/>
        </w:rPr>
        <w:t>, 2015: 1-7.</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Le, T. H. H., Phung, T. H. and Le, D. C. (2019). Development and validation of an HPLC method for simultaneous assay of potassium guaiacolsulfonate and sodium benzoate in pediatric oral powder. </w:t>
      </w:r>
      <w:r w:rsidRPr="00726AD5">
        <w:rPr>
          <w:rFonts w:ascii="Times New Roman" w:hAnsi="Times New Roman"/>
          <w:i/>
          <w:noProof/>
          <w:sz w:val="20"/>
          <w:szCs w:val="20"/>
        </w:rPr>
        <w:t>International Journal of Analytical Chemistry</w:t>
      </w:r>
      <w:r w:rsidRPr="00726AD5">
        <w:rPr>
          <w:rFonts w:ascii="Times New Roman" w:hAnsi="Times New Roman"/>
          <w:noProof/>
          <w:sz w:val="20"/>
          <w:szCs w:val="20"/>
        </w:rPr>
        <w:t>, 2019: 1-9.</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Shah, K., Chan, L. W. and Wong, T. W. (2017). Critical physicochemical and biological attributes of nanoemulsions for pulmonary delivery of rifampicin by nebulization technique in tuberculosis treatment. </w:t>
      </w:r>
      <w:r w:rsidRPr="00726AD5">
        <w:rPr>
          <w:rFonts w:ascii="Times New Roman" w:hAnsi="Times New Roman"/>
          <w:i/>
          <w:noProof/>
          <w:sz w:val="20"/>
          <w:szCs w:val="20"/>
        </w:rPr>
        <w:t>Drug Delivery</w:t>
      </w:r>
      <w:r w:rsidRPr="00726AD5">
        <w:rPr>
          <w:rFonts w:ascii="Times New Roman" w:hAnsi="Times New Roman"/>
          <w:noProof/>
          <w:sz w:val="20"/>
          <w:szCs w:val="20"/>
        </w:rPr>
        <w:t xml:space="preserve">, 24(1): 1631-1647. </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Shin, S. W., Song, I. H. and Um, S. H. (2015). Role of physicochemical properties in nanoparticle toxicity. </w:t>
      </w:r>
      <w:r w:rsidRPr="00726AD5">
        <w:rPr>
          <w:rFonts w:ascii="Times New Roman" w:hAnsi="Times New Roman"/>
          <w:i/>
          <w:noProof/>
          <w:sz w:val="20"/>
          <w:szCs w:val="20"/>
        </w:rPr>
        <w:t>Nanomaterials</w:t>
      </w:r>
      <w:r w:rsidRPr="00726AD5">
        <w:rPr>
          <w:rFonts w:ascii="Times New Roman" w:hAnsi="Times New Roman"/>
          <w:noProof/>
          <w:sz w:val="20"/>
          <w:szCs w:val="20"/>
        </w:rPr>
        <w:t>, 5(3): 1351-1365.</w:t>
      </w:r>
    </w:p>
    <w:p w:rsidR="00545F40" w:rsidRPr="00726AD5" w:rsidRDefault="00545F40" w:rsidP="00545F40">
      <w:pPr>
        <w:pStyle w:val="ListParagraph"/>
        <w:widowControl w:val="0"/>
        <w:numPr>
          <w:ilvl w:val="0"/>
          <w:numId w:val="5"/>
        </w:numPr>
        <w:tabs>
          <w:tab w:val="left" w:pos="0"/>
        </w:tabs>
        <w:autoSpaceDE w:val="0"/>
        <w:autoSpaceDN w:val="0"/>
        <w:adjustRightInd w:val="0"/>
        <w:spacing w:after="0" w:line="240" w:lineRule="auto"/>
        <w:ind w:left="360"/>
        <w:contextualSpacing w:val="0"/>
        <w:jc w:val="both"/>
        <w:rPr>
          <w:rFonts w:ascii="Times New Roman" w:hAnsi="Times New Roman"/>
          <w:noProof/>
          <w:sz w:val="20"/>
          <w:szCs w:val="20"/>
        </w:rPr>
      </w:pPr>
      <w:r w:rsidRPr="00726AD5">
        <w:rPr>
          <w:rFonts w:ascii="Times New Roman" w:hAnsi="Times New Roman"/>
          <w:noProof/>
          <w:sz w:val="20"/>
          <w:szCs w:val="20"/>
        </w:rPr>
        <w:t xml:space="preserve">Ezzati N. D. J., Hamishehkar, H. and Valizadeh, H. (2015). Development of dry powder inhaler formulation loaded with alendronate solid lipid nanoparticles: Solid-state characterization and aerosol dispersion performance. </w:t>
      </w:r>
      <w:r w:rsidRPr="00726AD5">
        <w:rPr>
          <w:rFonts w:ascii="Times New Roman" w:hAnsi="Times New Roman"/>
          <w:i/>
          <w:noProof/>
          <w:sz w:val="20"/>
          <w:szCs w:val="20"/>
        </w:rPr>
        <w:t>Drug Development and Industrial Pharmacy</w:t>
      </w:r>
      <w:r w:rsidRPr="00726AD5">
        <w:rPr>
          <w:rFonts w:ascii="Times New Roman" w:hAnsi="Times New Roman"/>
          <w:noProof/>
          <w:sz w:val="20"/>
          <w:szCs w:val="20"/>
        </w:rPr>
        <w:t xml:space="preserve">, 41(9): 1431-1437. </w:t>
      </w:r>
      <w:r w:rsidRPr="00726AD5">
        <w:rPr>
          <w:rFonts w:ascii="Times New Roman" w:hAnsi="Times New Roman"/>
          <w:bCs/>
          <w:color w:val="548DD4" w:themeColor="text2" w:themeTint="99"/>
          <w:sz w:val="20"/>
          <w:szCs w:val="20"/>
        </w:rPr>
        <w:fldChar w:fldCharType="end"/>
      </w:r>
    </w:p>
    <w:p w:rsidR="00545F40" w:rsidRPr="00545F40" w:rsidRDefault="00545F40" w:rsidP="00545F40">
      <w:pPr>
        <w:spacing w:after="0" w:line="240" w:lineRule="auto"/>
        <w:jc w:val="both"/>
        <w:outlineLvl w:val="0"/>
        <w:rPr>
          <w:rFonts w:ascii="Times New Roman" w:hAnsi="Times New Roman" w:cs="Times New Roman"/>
          <w:color w:val="548DD4" w:themeColor="text2" w:themeTint="99"/>
          <w:sz w:val="20"/>
          <w:szCs w:val="20"/>
          <w:lang w:val="ms-MY"/>
        </w:rPr>
      </w:pPr>
      <w:bookmarkStart w:id="1" w:name="_GoBack"/>
      <w:bookmarkEnd w:id="1"/>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A4A51"/>
    <w:multiLevelType w:val="hybridMultilevel"/>
    <w:tmpl w:val="1582700A"/>
    <w:lvl w:ilvl="0" w:tplc="AA98F73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45F40"/>
    <w:rsid w:val="005F401D"/>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1077</Words>
  <Characters>6025</Characters>
  <Application>Microsoft Office Word</Application>
  <DocSecurity>0</DocSecurity>
  <Lines>167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2020-03-23T16:00:00Z</dcterms:created>
  <dcterms:modified xsi:type="dcterms:W3CDTF">2020-03-23T16:00:00Z</dcterms:modified>
</cp:coreProperties>
</file>