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F3E" w:rsidRDefault="001573E3" w:rsidP="001573E3">
      <w:pPr>
        <w:spacing w:after="0" w:line="240" w:lineRule="auto"/>
        <w:rPr>
          <w:rFonts w:ascii="Times New Roman" w:hAnsi="Times New Roman" w:cs="Times New Roman"/>
          <w:sz w:val="24"/>
          <w:szCs w:val="24"/>
        </w:rPr>
      </w:pPr>
      <w:r w:rsidRPr="001573E3">
        <w:rPr>
          <w:rFonts w:ascii="Times New Roman" w:hAnsi="Times New Roman" w:cs="Times New Roman"/>
          <w:sz w:val="24"/>
          <w:szCs w:val="24"/>
        </w:rPr>
        <w:t>Malaysian Journal of</w:t>
      </w:r>
      <w:r w:rsidR="00D04BC8">
        <w:rPr>
          <w:rFonts w:ascii="Times New Roman" w:hAnsi="Times New Roman" w:cs="Times New Roman"/>
          <w:sz w:val="24"/>
          <w:szCs w:val="24"/>
        </w:rPr>
        <w:t xml:space="preserve"> Analytical Sciences Vol 24 No 2</w:t>
      </w:r>
      <w:r w:rsidR="00C72F3E">
        <w:rPr>
          <w:rFonts w:ascii="Times New Roman" w:hAnsi="Times New Roman" w:cs="Times New Roman"/>
          <w:sz w:val="24"/>
          <w:szCs w:val="24"/>
        </w:rPr>
        <w:t xml:space="preserve"> (2020</w:t>
      </w:r>
      <w:r w:rsidRPr="001573E3">
        <w:rPr>
          <w:rFonts w:ascii="Times New Roman" w:hAnsi="Times New Roman" w:cs="Times New Roman"/>
          <w:sz w:val="24"/>
          <w:szCs w:val="24"/>
        </w:rPr>
        <w:t xml:space="preserve">): </w:t>
      </w:r>
      <w:r w:rsidR="00745C4C">
        <w:rPr>
          <w:rFonts w:ascii="Times New Roman" w:hAnsi="Times New Roman" w:cs="Times New Roman"/>
          <w:sz w:val="24"/>
          <w:szCs w:val="24"/>
        </w:rPr>
        <w:t>173 - 178</w:t>
      </w:r>
      <w:bookmarkStart w:id="0" w:name="_GoBack"/>
      <w:bookmarkEnd w:id="0"/>
    </w:p>
    <w:p w:rsidR="00745C4C" w:rsidRDefault="00745C4C" w:rsidP="001573E3">
      <w:pPr>
        <w:spacing w:after="0" w:line="240" w:lineRule="auto"/>
        <w:rPr>
          <w:rFonts w:ascii="Times New Roman" w:hAnsi="Times New Roman" w:cs="Times New Roman"/>
          <w:sz w:val="24"/>
          <w:szCs w:val="24"/>
        </w:rPr>
      </w:pPr>
    </w:p>
    <w:p w:rsidR="00745C4C" w:rsidRDefault="00745C4C" w:rsidP="001573E3">
      <w:pPr>
        <w:spacing w:after="0" w:line="240" w:lineRule="auto"/>
        <w:rPr>
          <w:rFonts w:ascii="Times New Roman" w:hAnsi="Times New Roman" w:cs="Times New Roman"/>
          <w:sz w:val="24"/>
          <w:szCs w:val="24"/>
        </w:rPr>
      </w:pPr>
    </w:p>
    <w:p w:rsidR="00745C4C" w:rsidRDefault="00745C4C" w:rsidP="001573E3">
      <w:pPr>
        <w:spacing w:after="0" w:line="240" w:lineRule="auto"/>
        <w:rPr>
          <w:rFonts w:ascii="Times New Roman" w:hAnsi="Times New Roman" w:cs="Times New Roman"/>
          <w:sz w:val="24"/>
          <w:szCs w:val="24"/>
        </w:rPr>
      </w:pPr>
    </w:p>
    <w:p w:rsidR="00745C4C" w:rsidRDefault="00745C4C" w:rsidP="001573E3">
      <w:pPr>
        <w:spacing w:after="0" w:line="240" w:lineRule="auto"/>
        <w:rPr>
          <w:rFonts w:ascii="Times New Roman" w:hAnsi="Times New Roman" w:cs="Times New Roman"/>
          <w:sz w:val="24"/>
          <w:szCs w:val="24"/>
        </w:rPr>
      </w:pPr>
    </w:p>
    <w:p w:rsidR="00745C4C" w:rsidRPr="00464B66" w:rsidRDefault="00745C4C" w:rsidP="00745C4C">
      <w:pPr>
        <w:spacing w:after="0" w:line="240" w:lineRule="auto"/>
        <w:jc w:val="center"/>
        <w:outlineLvl w:val="0"/>
        <w:rPr>
          <w:rFonts w:ascii="Times New Roman" w:hAnsi="Times New Roman" w:cs="Times New Roman"/>
          <w:sz w:val="28"/>
          <w:lang w:val="en-GB"/>
        </w:rPr>
      </w:pPr>
      <w:r w:rsidRPr="00464B66">
        <w:rPr>
          <w:rFonts w:ascii="Times New Roman" w:hAnsi="Times New Roman" w:cs="Times New Roman"/>
          <w:sz w:val="28"/>
          <w:lang w:val="en-GB"/>
        </w:rPr>
        <w:t xml:space="preserve">PHYTOCHEMICAL SCREENING AND ANTIOXIDANT ACTIVITY OF </w:t>
      </w:r>
      <w:r w:rsidRPr="00464B66">
        <w:rPr>
          <w:rFonts w:ascii="Times New Roman" w:hAnsi="Times New Roman" w:cs="Times New Roman"/>
          <w:i/>
          <w:sz w:val="28"/>
          <w:lang w:val="en-GB"/>
        </w:rPr>
        <w:t>Psidium guajava</w:t>
      </w:r>
    </w:p>
    <w:p w:rsidR="00745C4C" w:rsidRPr="00BD749A" w:rsidRDefault="00745C4C" w:rsidP="00745C4C">
      <w:pPr>
        <w:spacing w:after="0" w:line="240" w:lineRule="auto"/>
        <w:jc w:val="center"/>
        <w:outlineLvl w:val="0"/>
        <w:rPr>
          <w:rFonts w:ascii="Times New Roman" w:hAnsi="Times New Roman" w:cs="Times New Roman"/>
          <w:sz w:val="24"/>
          <w:szCs w:val="24"/>
          <w:lang w:val="en-GB"/>
        </w:rPr>
      </w:pPr>
    </w:p>
    <w:p w:rsidR="00745C4C" w:rsidRPr="00BD749A" w:rsidRDefault="00745C4C" w:rsidP="00745C4C">
      <w:pPr>
        <w:spacing w:after="0" w:line="240" w:lineRule="auto"/>
        <w:jc w:val="center"/>
        <w:outlineLvl w:val="0"/>
        <w:rPr>
          <w:rFonts w:ascii="Times New Roman" w:hAnsi="Times New Roman" w:cs="Times New Roman"/>
          <w:sz w:val="24"/>
          <w:lang w:val="ms-MY"/>
        </w:rPr>
      </w:pPr>
      <w:r w:rsidRPr="00464B66">
        <w:rPr>
          <w:rFonts w:ascii="Times New Roman" w:hAnsi="Times New Roman" w:cs="Times New Roman"/>
          <w:sz w:val="24"/>
          <w:lang w:val="en-GB"/>
        </w:rPr>
        <w:t>(</w:t>
      </w:r>
      <w:r w:rsidRPr="00464B66">
        <w:rPr>
          <w:rFonts w:ascii="Times New Roman" w:hAnsi="Times New Roman" w:cs="Times New Roman"/>
          <w:sz w:val="24"/>
          <w:lang w:val="ms-MY"/>
        </w:rPr>
        <w:t xml:space="preserve">Saringan Fitokimia dan Aktiviti Antioksidan terhadap </w:t>
      </w:r>
      <w:r w:rsidRPr="00464B66">
        <w:rPr>
          <w:rFonts w:ascii="Times New Roman" w:hAnsi="Times New Roman" w:cs="Times New Roman"/>
          <w:i/>
          <w:sz w:val="24"/>
          <w:lang w:val="ms-MY"/>
        </w:rPr>
        <w:t>Psidium guajava</w:t>
      </w:r>
      <w:r w:rsidRPr="00464B66">
        <w:rPr>
          <w:rFonts w:ascii="Times New Roman" w:hAnsi="Times New Roman" w:cs="Times New Roman"/>
          <w:sz w:val="24"/>
          <w:lang w:val="en-GB"/>
        </w:rPr>
        <w:t>)</w:t>
      </w:r>
    </w:p>
    <w:p w:rsidR="00745C4C" w:rsidRPr="00BD749A" w:rsidRDefault="00745C4C" w:rsidP="00745C4C">
      <w:pPr>
        <w:spacing w:after="0" w:line="240" w:lineRule="auto"/>
        <w:jc w:val="center"/>
        <w:outlineLvl w:val="0"/>
        <w:rPr>
          <w:rFonts w:ascii="Times New Roman" w:hAnsi="Times New Roman" w:cs="Times New Roman"/>
          <w:b/>
          <w:sz w:val="20"/>
          <w:szCs w:val="20"/>
          <w:lang w:val="en-GB"/>
        </w:rPr>
      </w:pPr>
    </w:p>
    <w:p w:rsidR="00745C4C" w:rsidRPr="00BD749A" w:rsidRDefault="00745C4C" w:rsidP="00745C4C">
      <w:pPr>
        <w:spacing w:after="0" w:line="240" w:lineRule="auto"/>
        <w:jc w:val="center"/>
        <w:outlineLvl w:val="0"/>
        <w:rPr>
          <w:rFonts w:ascii="Times New Roman" w:hAnsi="Times New Roman" w:cs="Times New Roman"/>
          <w:sz w:val="20"/>
          <w:szCs w:val="20"/>
          <w:vertAlign w:val="superscript"/>
          <w:lang w:val="en-GB"/>
        </w:rPr>
      </w:pPr>
      <w:r w:rsidRPr="00BD749A">
        <w:rPr>
          <w:rFonts w:ascii="Times New Roman" w:hAnsi="Times New Roman" w:cs="Times New Roman"/>
          <w:sz w:val="20"/>
          <w:szCs w:val="20"/>
          <w:lang w:val="en-GB"/>
        </w:rPr>
        <w:t>Nor Akmalazura Jani</w:t>
      </w:r>
      <w:r w:rsidRPr="00BD749A">
        <w:rPr>
          <w:rFonts w:ascii="Times New Roman" w:hAnsi="Times New Roman" w:cs="Times New Roman"/>
          <w:sz w:val="20"/>
          <w:szCs w:val="20"/>
          <w:vertAlign w:val="superscript"/>
          <w:lang w:val="en-GB"/>
        </w:rPr>
        <w:t>1</w:t>
      </w:r>
      <w:r w:rsidRPr="00BD749A">
        <w:rPr>
          <w:rFonts w:ascii="Times New Roman" w:hAnsi="Times New Roman" w:cs="Times New Roman"/>
          <w:sz w:val="20"/>
          <w:szCs w:val="20"/>
          <w:lang w:val="en-GB"/>
        </w:rPr>
        <w:t>*, Nurul Alia Ahmad Azizi</w:t>
      </w:r>
      <w:r w:rsidRPr="00BD749A">
        <w:rPr>
          <w:rFonts w:ascii="Times New Roman" w:hAnsi="Times New Roman" w:cs="Times New Roman"/>
          <w:sz w:val="20"/>
          <w:szCs w:val="20"/>
          <w:vertAlign w:val="superscript"/>
          <w:lang w:val="en-GB"/>
        </w:rPr>
        <w:t>1</w:t>
      </w:r>
      <w:r w:rsidRPr="00BD749A">
        <w:rPr>
          <w:rFonts w:ascii="Times New Roman" w:hAnsi="Times New Roman" w:cs="Times New Roman"/>
          <w:sz w:val="20"/>
          <w:szCs w:val="20"/>
          <w:lang w:val="en-GB"/>
        </w:rPr>
        <w:t>, Nurul Iman Aminudin</w:t>
      </w:r>
      <w:r w:rsidRPr="00BD749A">
        <w:rPr>
          <w:rFonts w:ascii="Times New Roman" w:hAnsi="Times New Roman" w:cs="Times New Roman"/>
          <w:sz w:val="20"/>
          <w:szCs w:val="20"/>
          <w:vertAlign w:val="superscript"/>
          <w:lang w:val="en-GB"/>
        </w:rPr>
        <w:t>2</w:t>
      </w:r>
    </w:p>
    <w:p w:rsidR="00745C4C" w:rsidRPr="00464B66" w:rsidRDefault="00745C4C" w:rsidP="00745C4C">
      <w:pPr>
        <w:spacing w:after="0" w:line="240" w:lineRule="auto"/>
        <w:jc w:val="center"/>
        <w:outlineLvl w:val="0"/>
        <w:rPr>
          <w:rFonts w:ascii="Times New Roman" w:hAnsi="Times New Roman" w:cs="Times New Roman"/>
          <w:b/>
          <w:sz w:val="18"/>
          <w:szCs w:val="18"/>
          <w:lang w:val="en-GB"/>
        </w:rPr>
      </w:pPr>
    </w:p>
    <w:p w:rsidR="00745C4C" w:rsidRDefault="00745C4C" w:rsidP="00745C4C">
      <w:pPr>
        <w:spacing w:after="0" w:line="240" w:lineRule="auto"/>
        <w:jc w:val="center"/>
        <w:outlineLvl w:val="0"/>
        <w:rPr>
          <w:rFonts w:ascii="Times New Roman" w:hAnsi="Times New Roman"/>
          <w:i/>
          <w:noProof/>
          <w:sz w:val="18"/>
          <w:szCs w:val="18"/>
          <w:lang w:val="ms-MY"/>
        </w:rPr>
      </w:pPr>
      <w:bookmarkStart w:id="1" w:name="_Hlk522444695"/>
      <w:r w:rsidRPr="00464B66">
        <w:rPr>
          <w:rFonts w:ascii="Times New Roman" w:hAnsi="Times New Roman" w:cs="Times New Roman"/>
          <w:i/>
          <w:noProof/>
          <w:sz w:val="18"/>
          <w:szCs w:val="18"/>
          <w:vertAlign w:val="superscript"/>
          <w:lang w:val="ms-MY"/>
        </w:rPr>
        <w:t>1</w:t>
      </w:r>
      <w:r w:rsidRPr="00464B66">
        <w:rPr>
          <w:rFonts w:ascii="Times New Roman" w:hAnsi="Times New Roman" w:cs="Times New Roman"/>
          <w:i/>
          <w:noProof/>
          <w:sz w:val="18"/>
          <w:szCs w:val="18"/>
          <w:lang w:val="ms-MY"/>
        </w:rPr>
        <w:t xml:space="preserve">Faculty of Applied Sciences, </w:t>
      </w:r>
    </w:p>
    <w:p w:rsidR="00745C4C" w:rsidRPr="00464B66" w:rsidRDefault="00745C4C" w:rsidP="00745C4C">
      <w:pPr>
        <w:spacing w:after="0" w:line="240" w:lineRule="auto"/>
        <w:jc w:val="center"/>
        <w:outlineLvl w:val="0"/>
        <w:rPr>
          <w:rFonts w:ascii="Times New Roman" w:hAnsi="Times New Roman" w:cs="Times New Roman"/>
          <w:i/>
          <w:noProof/>
          <w:sz w:val="18"/>
          <w:szCs w:val="18"/>
          <w:lang w:val="ms-MY"/>
        </w:rPr>
      </w:pPr>
      <w:r w:rsidRPr="00464B66">
        <w:rPr>
          <w:rFonts w:ascii="Times New Roman" w:hAnsi="Times New Roman" w:cs="Times New Roman"/>
          <w:i/>
          <w:noProof/>
          <w:sz w:val="18"/>
          <w:szCs w:val="18"/>
          <w:lang w:val="ms-MY"/>
        </w:rPr>
        <w:t xml:space="preserve">Universiti Teknologi MARA, Cawangan Negeri Sembilan, Kampus Kuala Pilah,72000 Kuala Pilah, Negeri Sembilan, Malaysia </w:t>
      </w:r>
    </w:p>
    <w:bookmarkEnd w:id="1"/>
    <w:p w:rsidR="00745C4C" w:rsidRPr="00464B66" w:rsidRDefault="00745C4C" w:rsidP="00745C4C">
      <w:pPr>
        <w:spacing w:after="0" w:line="240" w:lineRule="auto"/>
        <w:jc w:val="center"/>
        <w:outlineLvl w:val="0"/>
        <w:rPr>
          <w:rFonts w:ascii="Times New Roman" w:hAnsi="Times New Roman" w:cs="Times New Roman"/>
          <w:i/>
          <w:noProof/>
          <w:sz w:val="18"/>
          <w:szCs w:val="18"/>
          <w:lang w:val="ms-MY"/>
        </w:rPr>
      </w:pPr>
      <w:r w:rsidRPr="00464B66">
        <w:rPr>
          <w:rFonts w:ascii="Times New Roman" w:hAnsi="Times New Roman" w:cs="Times New Roman"/>
          <w:i/>
          <w:noProof/>
          <w:sz w:val="18"/>
          <w:szCs w:val="18"/>
          <w:vertAlign w:val="superscript"/>
          <w:lang w:val="ms-MY"/>
        </w:rPr>
        <w:t>2</w:t>
      </w:r>
      <w:r w:rsidRPr="00464B66">
        <w:rPr>
          <w:rFonts w:ascii="Times New Roman" w:hAnsi="Times New Roman" w:cs="Times New Roman"/>
          <w:i/>
          <w:noProof/>
          <w:sz w:val="18"/>
          <w:szCs w:val="18"/>
          <w:lang w:val="ms-MY"/>
        </w:rPr>
        <w:t>Department of Chemistry, Kulliyyah of Science,</w:t>
      </w:r>
    </w:p>
    <w:p w:rsidR="00745C4C" w:rsidRPr="00464B66" w:rsidRDefault="00745C4C" w:rsidP="00745C4C">
      <w:pPr>
        <w:spacing w:after="0" w:line="240" w:lineRule="auto"/>
        <w:jc w:val="center"/>
        <w:outlineLvl w:val="0"/>
        <w:rPr>
          <w:rFonts w:ascii="Times New Roman" w:hAnsi="Times New Roman" w:cs="Times New Roman"/>
          <w:i/>
          <w:noProof/>
          <w:sz w:val="18"/>
          <w:szCs w:val="18"/>
          <w:lang w:val="ms-MY"/>
        </w:rPr>
      </w:pPr>
      <w:r w:rsidRPr="00464B66">
        <w:rPr>
          <w:rFonts w:ascii="Times New Roman" w:hAnsi="Times New Roman" w:cs="Times New Roman"/>
          <w:i/>
          <w:noProof/>
          <w:sz w:val="18"/>
          <w:szCs w:val="18"/>
          <w:lang w:val="ms-MY"/>
        </w:rPr>
        <w:t xml:space="preserve"> International Islamic University Malaysia, Bandar Indera Mahkota, 25200 Kuantan, Pahang, Malaysia</w:t>
      </w:r>
    </w:p>
    <w:p w:rsidR="00745C4C" w:rsidRPr="00464B66" w:rsidRDefault="00745C4C" w:rsidP="00745C4C">
      <w:pPr>
        <w:spacing w:after="0" w:line="240" w:lineRule="auto"/>
        <w:jc w:val="center"/>
        <w:outlineLvl w:val="0"/>
        <w:rPr>
          <w:rFonts w:ascii="Times New Roman" w:hAnsi="Times New Roman" w:cs="Times New Roman"/>
          <w:b/>
          <w:sz w:val="18"/>
          <w:szCs w:val="18"/>
          <w:lang w:val="en-GB"/>
        </w:rPr>
      </w:pPr>
    </w:p>
    <w:p w:rsidR="00745C4C" w:rsidRPr="00464B66" w:rsidRDefault="00745C4C" w:rsidP="00745C4C">
      <w:pPr>
        <w:spacing w:after="0" w:line="240" w:lineRule="auto"/>
        <w:jc w:val="center"/>
        <w:outlineLvl w:val="0"/>
        <w:rPr>
          <w:rFonts w:ascii="Times New Roman" w:hAnsi="Times New Roman" w:cs="Times New Roman"/>
          <w:i/>
          <w:sz w:val="18"/>
          <w:lang w:val="en-GB"/>
        </w:rPr>
      </w:pPr>
      <w:r w:rsidRPr="00BD749A">
        <w:rPr>
          <w:rFonts w:ascii="Times New Roman" w:hAnsi="Times New Roman" w:cs="Times New Roman"/>
          <w:i/>
          <w:sz w:val="18"/>
          <w:lang w:val="en-GB"/>
        </w:rPr>
        <w:t>*</w:t>
      </w:r>
      <w:r w:rsidRPr="00464B66">
        <w:rPr>
          <w:rFonts w:ascii="Times New Roman" w:hAnsi="Times New Roman" w:cs="Times New Roman"/>
          <w:i/>
          <w:sz w:val="18"/>
          <w:lang w:val="en-GB"/>
        </w:rPr>
        <w:t xml:space="preserve">Corresponding author: </w:t>
      </w:r>
      <w:r>
        <w:rPr>
          <w:rFonts w:ascii="Times New Roman" w:hAnsi="Times New Roman"/>
          <w:i/>
          <w:sz w:val="18"/>
          <w:lang w:val="en-GB"/>
        </w:rPr>
        <w:t xml:space="preserve"> </w:t>
      </w:r>
      <w:r w:rsidRPr="00464B66">
        <w:rPr>
          <w:rFonts w:ascii="Times New Roman" w:hAnsi="Times New Roman" w:cs="Times New Roman"/>
          <w:i/>
          <w:sz w:val="18"/>
          <w:lang w:val="en-GB"/>
        </w:rPr>
        <w:t>NorAkmalazura@uitm.edu.my</w:t>
      </w:r>
      <w:r w:rsidRPr="00464B66">
        <w:rPr>
          <w:rFonts w:ascii="Times New Roman" w:hAnsi="Times New Roman" w:cs="Times New Roman"/>
          <w:b/>
          <w:i/>
          <w:sz w:val="18"/>
          <w:lang w:val="en-GB"/>
        </w:rPr>
        <w:t xml:space="preserve"> </w:t>
      </w:r>
    </w:p>
    <w:p w:rsidR="00745C4C" w:rsidRPr="00F447A7" w:rsidRDefault="00745C4C" w:rsidP="00745C4C">
      <w:pPr>
        <w:spacing w:after="0" w:line="240" w:lineRule="auto"/>
        <w:jc w:val="center"/>
        <w:rPr>
          <w:rFonts w:ascii="Times New Roman" w:hAnsi="Times New Roman"/>
          <w:noProof/>
          <w:sz w:val="18"/>
          <w:szCs w:val="18"/>
        </w:rPr>
      </w:pPr>
    </w:p>
    <w:p w:rsidR="00745C4C" w:rsidRDefault="00745C4C" w:rsidP="00745C4C">
      <w:pPr>
        <w:spacing w:after="0" w:line="240" w:lineRule="auto"/>
        <w:jc w:val="center"/>
        <w:rPr>
          <w:rFonts w:ascii="Times New Roman" w:hAnsi="Times New Roman"/>
          <w:noProof/>
          <w:sz w:val="18"/>
          <w:szCs w:val="18"/>
        </w:rPr>
      </w:pPr>
    </w:p>
    <w:p w:rsidR="00745C4C" w:rsidRDefault="00745C4C" w:rsidP="00745C4C">
      <w:pPr>
        <w:spacing w:after="0" w:line="240" w:lineRule="auto"/>
        <w:jc w:val="center"/>
        <w:rPr>
          <w:rFonts w:ascii="Times New Roman" w:hAnsi="Times New Roman"/>
          <w:noProof/>
          <w:sz w:val="18"/>
          <w:szCs w:val="18"/>
        </w:rPr>
      </w:pPr>
      <w:r>
        <w:rPr>
          <w:rFonts w:ascii="Times New Roman" w:hAnsi="Times New Roman"/>
          <w:noProof/>
          <w:sz w:val="18"/>
          <w:szCs w:val="18"/>
        </w:rPr>
        <w:t>Received: 20 November 2019; Accepted: 11 Febrary 2020</w:t>
      </w:r>
    </w:p>
    <w:p w:rsidR="00745C4C" w:rsidRDefault="00745C4C" w:rsidP="00745C4C">
      <w:pPr>
        <w:spacing w:after="0" w:line="240" w:lineRule="auto"/>
        <w:jc w:val="center"/>
        <w:rPr>
          <w:rFonts w:ascii="Times New Roman" w:hAnsi="Times New Roman"/>
          <w:noProof/>
          <w:sz w:val="18"/>
          <w:szCs w:val="18"/>
        </w:rPr>
      </w:pPr>
    </w:p>
    <w:p w:rsidR="00745C4C" w:rsidRPr="00F447A7" w:rsidRDefault="00745C4C" w:rsidP="00745C4C">
      <w:pPr>
        <w:spacing w:after="0" w:line="240" w:lineRule="auto"/>
        <w:jc w:val="center"/>
        <w:rPr>
          <w:rFonts w:ascii="Times New Roman" w:hAnsi="Times New Roman"/>
          <w:noProof/>
          <w:sz w:val="18"/>
          <w:szCs w:val="18"/>
        </w:rPr>
      </w:pPr>
    </w:p>
    <w:p w:rsidR="00745C4C" w:rsidRPr="00F447A7" w:rsidRDefault="00745C4C" w:rsidP="00745C4C">
      <w:pPr>
        <w:spacing w:after="0" w:line="240" w:lineRule="auto"/>
        <w:jc w:val="center"/>
        <w:rPr>
          <w:rFonts w:ascii="Times New Roman" w:hAnsi="Times New Roman"/>
          <w:b/>
          <w:noProof/>
          <w:sz w:val="18"/>
          <w:szCs w:val="18"/>
        </w:rPr>
      </w:pPr>
      <w:r w:rsidRPr="00F447A7">
        <w:rPr>
          <w:rFonts w:ascii="Times New Roman" w:hAnsi="Times New Roman"/>
          <w:b/>
          <w:noProof/>
          <w:sz w:val="18"/>
          <w:szCs w:val="18"/>
        </w:rPr>
        <w:t>Abstract</w:t>
      </w:r>
    </w:p>
    <w:p w:rsidR="00745C4C" w:rsidRPr="00464B66" w:rsidRDefault="00745C4C" w:rsidP="00745C4C">
      <w:pPr>
        <w:spacing w:after="0" w:line="240" w:lineRule="auto"/>
        <w:jc w:val="both"/>
        <w:outlineLvl w:val="0"/>
        <w:rPr>
          <w:rFonts w:ascii="Times New Roman" w:hAnsi="Times New Roman" w:cs="Times New Roman"/>
          <w:sz w:val="18"/>
          <w:szCs w:val="18"/>
          <w:lang w:val="en-GB"/>
        </w:rPr>
      </w:pPr>
      <w:r w:rsidRPr="00464B66">
        <w:rPr>
          <w:rFonts w:ascii="Times New Roman" w:hAnsi="Times New Roman" w:cs="Times New Roman"/>
          <w:i/>
          <w:sz w:val="18"/>
          <w:szCs w:val="18"/>
          <w:lang w:val="en-GB"/>
        </w:rPr>
        <w:t>Psidium guajava</w:t>
      </w:r>
      <w:r w:rsidRPr="00464B66">
        <w:rPr>
          <w:rFonts w:ascii="Times New Roman" w:hAnsi="Times New Roman" w:cs="Times New Roman"/>
          <w:sz w:val="18"/>
          <w:szCs w:val="18"/>
          <w:lang w:val="en-GB"/>
        </w:rPr>
        <w:t xml:space="preserve"> or commonly known as guava is useful to treat gastroenteritis, dysentery, stomach pain and indigestion. In this study, the leaves of this species were screened for its phytochemical and antioxidant activity. The phytochemicals were extracted by sequential maceration by using</w:t>
      </w:r>
      <w:r w:rsidRPr="00464B66">
        <w:rPr>
          <w:rFonts w:ascii="Times New Roman" w:hAnsi="Times New Roman" w:cs="Times New Roman"/>
          <w:i/>
          <w:sz w:val="18"/>
          <w:szCs w:val="18"/>
          <w:lang w:val="en-GB"/>
        </w:rPr>
        <w:t xml:space="preserve"> n</w:t>
      </w:r>
      <w:r w:rsidRPr="00464B66">
        <w:rPr>
          <w:rFonts w:ascii="Times New Roman" w:hAnsi="Times New Roman" w:cs="Times New Roman"/>
          <w:sz w:val="18"/>
          <w:szCs w:val="18"/>
          <w:lang w:val="en-GB"/>
        </w:rPr>
        <w:t xml:space="preserve">-hexane, chloroform and methanol, while phytochemical screening was performed using various chemical tests. Meanwhile, its antioxidant activity was assessed by the 2,2-diphenyl-1-picrylhydrazyl (DPPH) assay. Steroids and terpenoids were found to be present in the </w:t>
      </w:r>
      <w:r w:rsidRPr="00464B66">
        <w:rPr>
          <w:rFonts w:ascii="Times New Roman" w:hAnsi="Times New Roman" w:cs="Times New Roman"/>
          <w:i/>
          <w:sz w:val="18"/>
          <w:szCs w:val="18"/>
          <w:lang w:val="en-GB"/>
        </w:rPr>
        <w:t>n</w:t>
      </w:r>
      <w:r w:rsidRPr="00464B66">
        <w:rPr>
          <w:rFonts w:ascii="Times New Roman" w:hAnsi="Times New Roman" w:cs="Times New Roman"/>
          <w:sz w:val="18"/>
          <w:szCs w:val="18"/>
          <w:lang w:val="en-GB"/>
        </w:rPr>
        <w:t>-hexane extract, while phenols and terpenoids were detected in the chloroform extract. The methanol extract contained flavonoids, steroids, saponins, phenols and terpenoids. Among the tested extracts, the methanolic extract demonstrated strong DPPH radical scavenging activity with an IC</w:t>
      </w:r>
      <w:r w:rsidRPr="00464B66">
        <w:rPr>
          <w:rFonts w:ascii="Times New Roman" w:hAnsi="Times New Roman" w:cs="Times New Roman"/>
          <w:sz w:val="18"/>
          <w:szCs w:val="18"/>
          <w:vertAlign w:val="subscript"/>
          <w:lang w:val="en-GB"/>
        </w:rPr>
        <w:t>50</w:t>
      </w:r>
      <w:r w:rsidRPr="00464B66">
        <w:rPr>
          <w:rFonts w:ascii="Times New Roman" w:hAnsi="Times New Roman" w:cs="Times New Roman"/>
          <w:sz w:val="18"/>
          <w:szCs w:val="18"/>
          <w:lang w:val="en-GB"/>
        </w:rPr>
        <w:t xml:space="preserve"> value of 45.52 μg/mL. </w:t>
      </w:r>
    </w:p>
    <w:p w:rsidR="00745C4C" w:rsidRPr="00464B66" w:rsidRDefault="00745C4C" w:rsidP="00745C4C">
      <w:pPr>
        <w:spacing w:after="0" w:line="240" w:lineRule="auto"/>
        <w:jc w:val="both"/>
        <w:outlineLvl w:val="0"/>
        <w:rPr>
          <w:rFonts w:ascii="Times New Roman" w:hAnsi="Times New Roman" w:cs="Times New Roman"/>
          <w:sz w:val="18"/>
          <w:szCs w:val="18"/>
          <w:lang w:val="en-GB"/>
        </w:rPr>
      </w:pPr>
    </w:p>
    <w:p w:rsidR="00745C4C" w:rsidRPr="00464B66" w:rsidRDefault="00745C4C" w:rsidP="00745C4C">
      <w:pPr>
        <w:spacing w:after="0" w:line="240" w:lineRule="auto"/>
        <w:jc w:val="both"/>
        <w:outlineLvl w:val="0"/>
        <w:rPr>
          <w:rFonts w:ascii="Times New Roman" w:hAnsi="Times New Roman" w:cs="Times New Roman"/>
          <w:lang w:val="en-GB"/>
        </w:rPr>
      </w:pPr>
      <w:r w:rsidRPr="00464B66">
        <w:rPr>
          <w:rFonts w:ascii="Times New Roman" w:hAnsi="Times New Roman" w:cs="Times New Roman"/>
          <w:b/>
          <w:sz w:val="18"/>
          <w:szCs w:val="18"/>
          <w:lang w:val="en-GB"/>
        </w:rPr>
        <w:t>Keywords</w:t>
      </w:r>
      <w:r w:rsidRPr="00464B66">
        <w:rPr>
          <w:rFonts w:ascii="Times New Roman" w:hAnsi="Times New Roman" w:cs="Times New Roman"/>
          <w:b/>
          <w:bCs/>
          <w:sz w:val="18"/>
          <w:szCs w:val="18"/>
          <w:lang w:val="en-GB"/>
        </w:rPr>
        <w:t>:</w:t>
      </w:r>
      <w:r w:rsidRPr="00464B66">
        <w:rPr>
          <w:rFonts w:ascii="Times New Roman" w:hAnsi="Times New Roman" w:cs="Times New Roman"/>
          <w:sz w:val="18"/>
          <w:szCs w:val="18"/>
          <w:lang w:val="en-GB"/>
        </w:rPr>
        <w:t xml:space="preserve"> </w:t>
      </w:r>
      <w:r>
        <w:rPr>
          <w:rFonts w:ascii="Times New Roman" w:hAnsi="Times New Roman"/>
          <w:sz w:val="18"/>
          <w:szCs w:val="18"/>
          <w:lang w:val="en-GB"/>
        </w:rPr>
        <w:t xml:space="preserve"> </w:t>
      </w:r>
      <w:r w:rsidRPr="00464B66">
        <w:rPr>
          <w:rFonts w:ascii="Times New Roman" w:hAnsi="Times New Roman" w:cs="Times New Roman"/>
          <w:i/>
          <w:sz w:val="18"/>
          <w:szCs w:val="18"/>
          <w:lang w:val="en-GB"/>
        </w:rPr>
        <w:t>Psidium guajava</w:t>
      </w:r>
      <w:r w:rsidRPr="00464B66">
        <w:rPr>
          <w:rFonts w:ascii="Times New Roman" w:hAnsi="Times New Roman" w:cs="Times New Roman"/>
          <w:sz w:val="18"/>
          <w:szCs w:val="18"/>
          <w:lang w:val="en-GB"/>
        </w:rPr>
        <w:t>, phytochemical screening, antioxidant</w:t>
      </w:r>
      <w:r w:rsidRPr="00464B66">
        <w:rPr>
          <w:rFonts w:ascii="Times New Roman" w:hAnsi="Times New Roman" w:cs="Times New Roman"/>
          <w:lang w:val="en-GB"/>
        </w:rPr>
        <w:t xml:space="preserve"> </w:t>
      </w:r>
    </w:p>
    <w:p w:rsidR="00745C4C" w:rsidRPr="00464B66" w:rsidRDefault="00745C4C" w:rsidP="00745C4C">
      <w:pPr>
        <w:spacing w:after="0" w:line="240" w:lineRule="auto"/>
        <w:jc w:val="center"/>
        <w:outlineLvl w:val="0"/>
        <w:rPr>
          <w:rFonts w:ascii="Times New Roman" w:hAnsi="Times New Roman" w:cs="Times New Roman"/>
          <w:b/>
          <w:sz w:val="18"/>
          <w:szCs w:val="18"/>
          <w:lang w:val="en-GB"/>
        </w:rPr>
      </w:pPr>
    </w:p>
    <w:p w:rsidR="00745C4C" w:rsidRPr="00464B66" w:rsidRDefault="00745C4C" w:rsidP="00745C4C">
      <w:pPr>
        <w:spacing w:after="0" w:line="240" w:lineRule="auto"/>
        <w:jc w:val="center"/>
        <w:outlineLvl w:val="0"/>
        <w:rPr>
          <w:rFonts w:ascii="Times New Roman" w:hAnsi="Times New Roman" w:cs="Times New Roman"/>
          <w:b/>
          <w:noProof/>
          <w:sz w:val="18"/>
          <w:szCs w:val="18"/>
          <w:lang w:val="ms-MY"/>
        </w:rPr>
      </w:pPr>
      <w:r w:rsidRPr="00464B66">
        <w:rPr>
          <w:rFonts w:ascii="Times New Roman" w:hAnsi="Times New Roman" w:cs="Times New Roman"/>
          <w:b/>
          <w:noProof/>
          <w:sz w:val="18"/>
          <w:szCs w:val="18"/>
          <w:lang w:val="ms-MY"/>
        </w:rPr>
        <w:t>Abstrak</w:t>
      </w:r>
    </w:p>
    <w:p w:rsidR="00745C4C" w:rsidRPr="00464B66" w:rsidRDefault="00745C4C" w:rsidP="00745C4C">
      <w:pPr>
        <w:spacing w:after="0" w:line="240" w:lineRule="auto"/>
        <w:jc w:val="both"/>
        <w:outlineLvl w:val="0"/>
        <w:rPr>
          <w:rFonts w:ascii="Times New Roman" w:hAnsi="Times New Roman" w:cs="Times New Roman"/>
          <w:noProof/>
          <w:sz w:val="18"/>
          <w:szCs w:val="18"/>
          <w:lang w:val="ms-MY"/>
        </w:rPr>
      </w:pPr>
      <w:r w:rsidRPr="00464B66">
        <w:rPr>
          <w:rFonts w:ascii="Times New Roman" w:hAnsi="Times New Roman" w:cs="Times New Roman"/>
          <w:i/>
          <w:noProof/>
          <w:sz w:val="18"/>
          <w:szCs w:val="18"/>
          <w:lang w:val="ms-MY"/>
        </w:rPr>
        <w:t>Psidium guajava</w:t>
      </w:r>
      <w:r w:rsidRPr="00464B66">
        <w:rPr>
          <w:rFonts w:ascii="Times New Roman" w:hAnsi="Times New Roman" w:cs="Times New Roman"/>
          <w:noProof/>
          <w:sz w:val="18"/>
          <w:szCs w:val="18"/>
          <w:lang w:val="ms-MY"/>
        </w:rPr>
        <w:t xml:space="preserve"> atau dikenali sebagai jambu batu berguna bagi mengubati gastroenteritis, disenteri, sakit perut dan masalah pencernaan. Dalam kajian ini, daun spesis ini telah disaring untuk fitokimia dan aktiviti antioksidan. Fitokimia telah diekstrak menggunakan rendaman berturutan menggunakan </w:t>
      </w:r>
      <w:r w:rsidRPr="00464B66">
        <w:rPr>
          <w:rFonts w:ascii="Times New Roman" w:hAnsi="Times New Roman" w:cs="Times New Roman"/>
          <w:i/>
          <w:noProof/>
          <w:sz w:val="18"/>
          <w:szCs w:val="18"/>
          <w:lang w:val="ms-MY"/>
        </w:rPr>
        <w:t>n</w:t>
      </w:r>
      <w:r w:rsidRPr="00464B66">
        <w:rPr>
          <w:rFonts w:ascii="Times New Roman" w:hAnsi="Times New Roman" w:cs="Times New Roman"/>
          <w:noProof/>
          <w:sz w:val="18"/>
          <w:szCs w:val="18"/>
          <w:lang w:val="ms-MY"/>
        </w:rPr>
        <w:t xml:space="preserve">-heksana, kloroform dan metanol, manakala saringan fitokimia telah dijalankan menggunakan pelbagai ujian kimia. Sementara itu, aktiviti antioksidan telah dinilai menggunakan kaedah 2,2-difenil-1-pikrilhidrazil (DPPH). Steroid and terpenoid telah didapati hadir di dalam ekstrak </w:t>
      </w:r>
      <w:r w:rsidRPr="00464B66">
        <w:rPr>
          <w:rFonts w:ascii="Times New Roman" w:hAnsi="Times New Roman" w:cs="Times New Roman"/>
          <w:i/>
          <w:noProof/>
          <w:sz w:val="18"/>
          <w:szCs w:val="18"/>
          <w:lang w:val="ms-MY"/>
        </w:rPr>
        <w:t>n</w:t>
      </w:r>
      <w:r w:rsidRPr="00464B66">
        <w:rPr>
          <w:rFonts w:ascii="Times New Roman" w:hAnsi="Times New Roman" w:cs="Times New Roman"/>
          <w:noProof/>
          <w:sz w:val="18"/>
          <w:szCs w:val="18"/>
          <w:lang w:val="ms-MY"/>
        </w:rPr>
        <w:t>-heksana, manakala fenol dan terpenoid telah dikesan di dalam ekstrak kloroform. Ekstrak metanol telah mengandungi flavonoid, steroid, saponin, fenol dan terpenoid. Di kalangan ekstrak yang diuji, ekstrak metanol menunjukkan aktiviti perencatan radikal DPPH yang kuat dengan nilai IC</w:t>
      </w:r>
      <w:r w:rsidRPr="00464B66">
        <w:rPr>
          <w:rFonts w:ascii="Times New Roman" w:hAnsi="Times New Roman" w:cs="Times New Roman"/>
          <w:noProof/>
          <w:sz w:val="18"/>
          <w:szCs w:val="18"/>
          <w:vertAlign w:val="subscript"/>
          <w:lang w:val="ms-MY"/>
        </w:rPr>
        <w:t>50</w:t>
      </w:r>
      <w:r w:rsidRPr="00464B66">
        <w:rPr>
          <w:rFonts w:ascii="Times New Roman" w:hAnsi="Times New Roman" w:cs="Times New Roman"/>
          <w:noProof/>
          <w:sz w:val="18"/>
          <w:szCs w:val="18"/>
          <w:lang w:val="ms-MY"/>
        </w:rPr>
        <w:t xml:space="preserve"> 45.52 μg/mL.</w:t>
      </w:r>
    </w:p>
    <w:p w:rsidR="00745C4C" w:rsidRPr="00464B66" w:rsidRDefault="00745C4C" w:rsidP="00745C4C">
      <w:pPr>
        <w:spacing w:after="0" w:line="240" w:lineRule="auto"/>
        <w:jc w:val="both"/>
        <w:outlineLvl w:val="0"/>
        <w:rPr>
          <w:rFonts w:ascii="Times New Roman" w:hAnsi="Times New Roman" w:cs="Times New Roman"/>
          <w:noProof/>
          <w:sz w:val="18"/>
          <w:szCs w:val="18"/>
          <w:lang w:val="ms-MY"/>
        </w:rPr>
      </w:pPr>
    </w:p>
    <w:p w:rsidR="00745C4C" w:rsidRPr="00464B66" w:rsidRDefault="00745C4C" w:rsidP="00745C4C">
      <w:pPr>
        <w:spacing w:after="0" w:line="240" w:lineRule="auto"/>
        <w:jc w:val="both"/>
        <w:outlineLvl w:val="0"/>
        <w:rPr>
          <w:rFonts w:ascii="Times New Roman" w:hAnsi="Times New Roman" w:cs="Times New Roman"/>
          <w:noProof/>
          <w:sz w:val="18"/>
          <w:szCs w:val="18"/>
          <w:lang w:val="ms-MY"/>
        </w:rPr>
      </w:pPr>
      <w:r w:rsidRPr="00464B66">
        <w:rPr>
          <w:rFonts w:ascii="Times New Roman" w:hAnsi="Times New Roman" w:cs="Times New Roman"/>
          <w:b/>
          <w:noProof/>
          <w:sz w:val="18"/>
          <w:szCs w:val="18"/>
          <w:lang w:val="ms-MY"/>
        </w:rPr>
        <w:t>Kata kunci:</w:t>
      </w:r>
      <w:r w:rsidRPr="00464B66">
        <w:rPr>
          <w:rFonts w:ascii="Times New Roman" w:hAnsi="Times New Roman" w:cs="Times New Roman"/>
          <w:b/>
          <w:noProof/>
          <w:lang w:val="ms-MY"/>
        </w:rPr>
        <w:t xml:space="preserve"> </w:t>
      </w:r>
      <w:r>
        <w:rPr>
          <w:rFonts w:ascii="Times New Roman" w:hAnsi="Times New Roman"/>
          <w:b/>
          <w:noProof/>
          <w:lang w:val="ms-MY"/>
        </w:rPr>
        <w:t xml:space="preserve"> </w:t>
      </w:r>
      <w:r w:rsidRPr="00464B66">
        <w:rPr>
          <w:rFonts w:ascii="Times New Roman" w:hAnsi="Times New Roman" w:cs="Times New Roman"/>
          <w:i/>
          <w:noProof/>
          <w:sz w:val="18"/>
          <w:szCs w:val="18"/>
          <w:lang w:val="ms-MY"/>
        </w:rPr>
        <w:t>Psidium guajava</w:t>
      </w:r>
      <w:r w:rsidRPr="00464B66">
        <w:rPr>
          <w:rFonts w:ascii="Times New Roman" w:hAnsi="Times New Roman" w:cs="Times New Roman"/>
          <w:noProof/>
          <w:sz w:val="18"/>
          <w:szCs w:val="18"/>
          <w:lang w:val="ms-MY"/>
        </w:rPr>
        <w:t xml:space="preserve">, saringan fitokimia, antioksidan </w:t>
      </w:r>
    </w:p>
    <w:p w:rsidR="00745C4C" w:rsidRDefault="00745C4C" w:rsidP="001573E3">
      <w:pPr>
        <w:spacing w:after="0" w:line="240" w:lineRule="auto"/>
        <w:rPr>
          <w:rFonts w:ascii="Times New Roman" w:hAnsi="Times New Roman" w:cs="Times New Roman"/>
          <w:sz w:val="20"/>
          <w:szCs w:val="20"/>
        </w:rPr>
      </w:pPr>
    </w:p>
    <w:p w:rsidR="00745C4C" w:rsidRPr="00745C4C" w:rsidRDefault="00745C4C" w:rsidP="00745C4C">
      <w:pPr>
        <w:spacing w:after="0" w:line="240" w:lineRule="auto"/>
        <w:jc w:val="center"/>
        <w:rPr>
          <w:rFonts w:ascii="Times New Roman" w:hAnsi="Times New Roman" w:cs="Times New Roman"/>
          <w:b/>
          <w:sz w:val="20"/>
          <w:szCs w:val="20"/>
        </w:rPr>
      </w:pPr>
      <w:r w:rsidRPr="00745C4C">
        <w:rPr>
          <w:rFonts w:ascii="Times New Roman" w:hAnsi="Times New Roman" w:cs="Times New Roman"/>
          <w:b/>
          <w:sz w:val="20"/>
          <w:szCs w:val="20"/>
        </w:rPr>
        <w:t>References</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rPr>
          <w:rFonts w:ascii="Times New Roman" w:hAnsi="Times New Roman"/>
          <w:sz w:val="20"/>
          <w:szCs w:val="20"/>
          <w:lang w:val="en-GB"/>
        </w:rPr>
      </w:pPr>
      <w:r w:rsidRPr="00725A34">
        <w:rPr>
          <w:rFonts w:ascii="Times New Roman" w:hAnsi="Times New Roman"/>
          <w:sz w:val="20"/>
          <w:szCs w:val="20"/>
          <w:lang w:val="en-GB"/>
        </w:rPr>
        <w:t xml:space="preserve">Rahal, A., Kumar, A., Singh, V., Yadav, B., Tiwari, R., Chakraborty, S. and Dhama, K. (2014). Oxidative stress, prooxidants and antioxidants: The interplay. </w:t>
      </w:r>
      <w:r w:rsidRPr="00725A34">
        <w:rPr>
          <w:rFonts w:ascii="Times New Roman" w:hAnsi="Times New Roman"/>
          <w:i/>
          <w:sz w:val="20"/>
          <w:szCs w:val="20"/>
          <w:lang w:val="en-GB"/>
        </w:rPr>
        <w:t>BioMed Research International</w:t>
      </w:r>
      <w:r w:rsidRPr="00725A34">
        <w:rPr>
          <w:rFonts w:ascii="Times New Roman" w:hAnsi="Times New Roman"/>
          <w:sz w:val="20"/>
          <w:szCs w:val="20"/>
          <w:lang w:val="en-GB"/>
        </w:rPr>
        <w:t>, 2014: 1-19.</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Iqbal, E., Salim, K. A. and Lim, L. B. L. (2015). Phytochemical screening, total phenolics and antioxidant activities of bark and leaf extracts of </w:t>
      </w:r>
      <w:r w:rsidRPr="00725A34">
        <w:rPr>
          <w:rFonts w:ascii="Times New Roman" w:hAnsi="Times New Roman"/>
          <w:i/>
          <w:sz w:val="20"/>
          <w:szCs w:val="20"/>
          <w:lang w:val="en-GB"/>
        </w:rPr>
        <w:t>Goniothalamus velutinus</w:t>
      </w:r>
      <w:r w:rsidRPr="00725A34">
        <w:rPr>
          <w:rFonts w:ascii="Times New Roman" w:hAnsi="Times New Roman"/>
          <w:sz w:val="20"/>
          <w:szCs w:val="20"/>
          <w:lang w:val="en-GB"/>
        </w:rPr>
        <w:t xml:space="preserve"> (airy shaw) from Brunei Darussalam. </w:t>
      </w:r>
      <w:r w:rsidRPr="00725A34">
        <w:rPr>
          <w:rFonts w:ascii="Times New Roman" w:hAnsi="Times New Roman"/>
          <w:i/>
          <w:sz w:val="20"/>
          <w:szCs w:val="20"/>
          <w:lang w:val="en-GB"/>
        </w:rPr>
        <w:t>Journal of King Saud University – Science</w:t>
      </w:r>
      <w:r w:rsidRPr="00725A34">
        <w:rPr>
          <w:rFonts w:ascii="Times New Roman" w:hAnsi="Times New Roman"/>
          <w:sz w:val="20"/>
          <w:szCs w:val="20"/>
          <w:lang w:val="en-GB"/>
        </w:rPr>
        <w:t xml:space="preserve">, 27: 224-232. </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Nordberg, J. and Arnér, E. S. J. (2001). Reactive oxygen species, antioxidants and the mammalian thioredoxin system.  </w:t>
      </w:r>
      <w:r w:rsidRPr="00725A34">
        <w:rPr>
          <w:rFonts w:ascii="Times New Roman" w:hAnsi="Times New Roman"/>
          <w:i/>
          <w:sz w:val="20"/>
          <w:szCs w:val="20"/>
          <w:lang w:val="en-GB"/>
        </w:rPr>
        <w:t>Free Radical Biology and Medicine</w:t>
      </w:r>
      <w:r w:rsidRPr="00725A34">
        <w:rPr>
          <w:rFonts w:ascii="Times New Roman" w:hAnsi="Times New Roman"/>
          <w:sz w:val="20"/>
          <w:szCs w:val="20"/>
          <w:lang w:val="en-GB"/>
        </w:rPr>
        <w:t>, 31(11): 1287-1312.</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lastRenderedPageBreak/>
        <w:t xml:space="preserve">Pham-Huy, L. A., He, H. and Pham-Huy, C. (2008). Free radicals, antioxidants in disease and health. </w:t>
      </w:r>
      <w:r w:rsidRPr="00725A34">
        <w:rPr>
          <w:rFonts w:ascii="Times New Roman" w:hAnsi="Times New Roman"/>
          <w:i/>
          <w:sz w:val="20"/>
          <w:szCs w:val="20"/>
          <w:lang w:val="en-GB"/>
        </w:rPr>
        <w:t>International Journal of Biomedical Science</w:t>
      </w:r>
      <w:r w:rsidRPr="00725A34">
        <w:rPr>
          <w:rFonts w:ascii="Times New Roman" w:hAnsi="Times New Roman"/>
          <w:sz w:val="20"/>
          <w:szCs w:val="20"/>
          <w:lang w:val="en-GB"/>
        </w:rPr>
        <w:t>, 4(2): 89-96.</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Nićiforović, N., Mihailović, V., Mašković, P., Solujić, S., Stojković, A. and Pavlović Muratspahić, D. (2010). Antioxidant activity of selected plant species; potential new sources of natural antioxidants. </w:t>
      </w:r>
      <w:r w:rsidRPr="00725A34">
        <w:rPr>
          <w:rFonts w:ascii="Times New Roman" w:hAnsi="Times New Roman"/>
          <w:i/>
          <w:sz w:val="20"/>
          <w:szCs w:val="20"/>
          <w:lang w:val="en-GB"/>
        </w:rPr>
        <w:t>Food and Chemical Toxicology</w:t>
      </w:r>
      <w:r w:rsidRPr="00725A34">
        <w:rPr>
          <w:rFonts w:ascii="Times New Roman" w:hAnsi="Times New Roman"/>
          <w:sz w:val="20"/>
          <w:szCs w:val="20"/>
          <w:lang w:val="en-GB"/>
        </w:rPr>
        <w:t>, 48: 3125-3130.</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Gutiérrez, R. M. P., Mitchell, S. and Solis, R. V. (2008). </w:t>
      </w:r>
      <w:r w:rsidRPr="00725A34">
        <w:rPr>
          <w:rFonts w:ascii="Times New Roman" w:hAnsi="Times New Roman"/>
          <w:i/>
          <w:sz w:val="20"/>
          <w:szCs w:val="20"/>
          <w:lang w:val="en-GB"/>
        </w:rPr>
        <w:t>Psidium guajava</w:t>
      </w:r>
      <w:r w:rsidRPr="00725A34">
        <w:rPr>
          <w:rFonts w:ascii="Times New Roman" w:hAnsi="Times New Roman"/>
          <w:sz w:val="20"/>
          <w:szCs w:val="20"/>
          <w:lang w:val="en-GB"/>
        </w:rPr>
        <w:t xml:space="preserve">: A review of its traditional uses, phytochemistry and pharmacology. </w:t>
      </w:r>
      <w:r w:rsidRPr="00725A34">
        <w:rPr>
          <w:rFonts w:ascii="Times New Roman" w:hAnsi="Times New Roman"/>
          <w:i/>
          <w:sz w:val="20"/>
          <w:szCs w:val="20"/>
          <w:lang w:val="en-GB"/>
        </w:rPr>
        <w:t>Journal of Ethnopharmacology</w:t>
      </w:r>
      <w:r w:rsidRPr="00725A34">
        <w:rPr>
          <w:rFonts w:ascii="Times New Roman" w:hAnsi="Times New Roman"/>
          <w:sz w:val="20"/>
          <w:szCs w:val="20"/>
          <w:lang w:val="en-GB"/>
        </w:rPr>
        <w:t>, 117(1): 1-27.</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Sanches, N. R., Cortez, D. A. G., Schiavini, M. S., Nakamura, C. V., Prado, B. and Dias Filho, B. P. (2005). An evaluation of antibacterial activities of </w:t>
      </w:r>
      <w:r w:rsidRPr="00725A34">
        <w:rPr>
          <w:rFonts w:ascii="Times New Roman" w:hAnsi="Times New Roman"/>
          <w:i/>
          <w:sz w:val="20"/>
          <w:szCs w:val="20"/>
          <w:lang w:val="en-GB"/>
        </w:rPr>
        <w:t>Psidium guajava</w:t>
      </w:r>
      <w:r w:rsidRPr="00725A34">
        <w:rPr>
          <w:rFonts w:ascii="Times New Roman" w:hAnsi="Times New Roman"/>
          <w:sz w:val="20"/>
          <w:szCs w:val="20"/>
          <w:lang w:val="en-GB"/>
        </w:rPr>
        <w:t xml:space="preserve"> (L.). </w:t>
      </w:r>
      <w:r w:rsidRPr="00725A34">
        <w:rPr>
          <w:rFonts w:ascii="Times New Roman" w:hAnsi="Times New Roman"/>
          <w:i/>
          <w:sz w:val="20"/>
          <w:szCs w:val="20"/>
          <w:lang w:val="en-GB"/>
        </w:rPr>
        <w:t>Brazilian Archives of Biology and Technology</w:t>
      </w:r>
      <w:r w:rsidRPr="00725A34">
        <w:rPr>
          <w:rFonts w:ascii="Times New Roman" w:hAnsi="Times New Roman"/>
          <w:sz w:val="20"/>
          <w:szCs w:val="20"/>
          <w:lang w:val="en-GB"/>
        </w:rPr>
        <w:t>, 48(3): 429-436.</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Wan Nur Zahidah, W. Z., Noriham, A. and Zainon, M. N. (2013). Antioxidant and antimicrobial activities of pink guava leaves and seeds. </w:t>
      </w:r>
      <w:r w:rsidRPr="00725A34">
        <w:rPr>
          <w:rFonts w:ascii="Times New Roman" w:hAnsi="Times New Roman"/>
          <w:i/>
          <w:sz w:val="20"/>
          <w:szCs w:val="20"/>
          <w:lang w:val="en-GB"/>
        </w:rPr>
        <w:t>Journal of Tropical Agriculture and Food Science</w:t>
      </w:r>
      <w:r w:rsidRPr="00725A34">
        <w:rPr>
          <w:rFonts w:ascii="Times New Roman" w:hAnsi="Times New Roman"/>
          <w:sz w:val="20"/>
          <w:szCs w:val="20"/>
          <w:lang w:val="en-GB"/>
        </w:rPr>
        <w:t>, 41(1): 53-62.</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Chen, K. C., Hseih, C. L., Huang, K. D., Ker, Y. B., Chyau, C. C. and Peng, R. Y. (2009). Anticancer activity of Rhamnoallosan against DU-145 cells is kinetically complementary to coexisting polyphenolics in </w:t>
      </w:r>
      <w:r w:rsidRPr="00725A34">
        <w:rPr>
          <w:rFonts w:ascii="Times New Roman" w:hAnsi="Times New Roman"/>
          <w:i/>
          <w:sz w:val="20"/>
          <w:szCs w:val="20"/>
          <w:lang w:val="en-GB"/>
        </w:rPr>
        <w:t>Psidium guajava</w:t>
      </w:r>
      <w:r w:rsidRPr="00725A34">
        <w:rPr>
          <w:rFonts w:ascii="Times New Roman" w:hAnsi="Times New Roman"/>
          <w:sz w:val="20"/>
          <w:szCs w:val="20"/>
          <w:lang w:val="en-GB"/>
        </w:rPr>
        <w:t xml:space="preserve"> budding leaves. </w:t>
      </w:r>
      <w:r w:rsidRPr="00725A34">
        <w:rPr>
          <w:rFonts w:ascii="Times New Roman" w:hAnsi="Times New Roman"/>
          <w:i/>
          <w:sz w:val="20"/>
          <w:szCs w:val="20"/>
          <w:lang w:val="en-GB"/>
        </w:rPr>
        <w:t>Journal of Agriculture and Food Chemistry</w:t>
      </w:r>
      <w:r w:rsidRPr="00725A34">
        <w:rPr>
          <w:rFonts w:ascii="Times New Roman" w:hAnsi="Times New Roman"/>
          <w:sz w:val="20"/>
          <w:szCs w:val="20"/>
          <w:lang w:val="en-GB"/>
        </w:rPr>
        <w:t>, 57: 6114-6122.</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Begum, S., Hassan, S. I., Ali, S. N. and Siddiqui, B. S. (2004). Chemical constituents from the leaves of </w:t>
      </w:r>
      <w:r w:rsidRPr="00725A34">
        <w:rPr>
          <w:rFonts w:ascii="Times New Roman" w:hAnsi="Times New Roman"/>
          <w:i/>
          <w:sz w:val="20"/>
          <w:szCs w:val="20"/>
          <w:lang w:val="en-GB"/>
        </w:rPr>
        <w:t>Psidium guajava</w:t>
      </w:r>
      <w:r w:rsidRPr="00725A34">
        <w:rPr>
          <w:rFonts w:ascii="Times New Roman" w:hAnsi="Times New Roman"/>
          <w:sz w:val="20"/>
          <w:szCs w:val="20"/>
          <w:lang w:val="en-GB"/>
        </w:rPr>
        <w:t xml:space="preserve">. </w:t>
      </w:r>
      <w:r w:rsidRPr="00725A34">
        <w:rPr>
          <w:rFonts w:ascii="Times New Roman" w:hAnsi="Times New Roman"/>
          <w:i/>
          <w:sz w:val="20"/>
          <w:szCs w:val="20"/>
          <w:lang w:val="en-GB"/>
        </w:rPr>
        <w:t>Natural Product Research</w:t>
      </w:r>
      <w:r w:rsidRPr="00725A34">
        <w:rPr>
          <w:rFonts w:ascii="Times New Roman" w:hAnsi="Times New Roman"/>
          <w:sz w:val="20"/>
          <w:szCs w:val="20"/>
          <w:lang w:val="en-GB"/>
        </w:rPr>
        <w:t>, 18(2): 135-140.</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Gayathri, V. and Kiruba, D. (2014). Preliminary phytochemical analysis of leaf powder extracts of </w:t>
      </w:r>
      <w:r w:rsidRPr="00725A34">
        <w:rPr>
          <w:rFonts w:ascii="Times New Roman" w:hAnsi="Times New Roman"/>
          <w:i/>
          <w:sz w:val="20"/>
          <w:szCs w:val="20"/>
          <w:lang w:val="en-GB"/>
        </w:rPr>
        <w:t>Psidium guajava</w:t>
      </w:r>
      <w:r w:rsidRPr="00725A34">
        <w:rPr>
          <w:rFonts w:ascii="Times New Roman" w:hAnsi="Times New Roman"/>
          <w:sz w:val="20"/>
          <w:szCs w:val="20"/>
          <w:lang w:val="en-GB"/>
        </w:rPr>
        <w:t xml:space="preserve"> L. </w:t>
      </w:r>
      <w:r w:rsidRPr="00725A34">
        <w:rPr>
          <w:rFonts w:ascii="Times New Roman" w:hAnsi="Times New Roman"/>
          <w:i/>
          <w:sz w:val="20"/>
          <w:szCs w:val="20"/>
          <w:lang w:val="en-GB"/>
        </w:rPr>
        <w:t>International Journal of Pharmacognosy and Phytochemical Research</w:t>
      </w:r>
      <w:r w:rsidRPr="00725A34">
        <w:rPr>
          <w:rFonts w:ascii="Times New Roman" w:hAnsi="Times New Roman"/>
          <w:sz w:val="20"/>
          <w:szCs w:val="20"/>
          <w:lang w:val="en-GB"/>
        </w:rPr>
        <w:t>, 6(2): 332-334.</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Morais-Braga, M. F. B., Sales, D. L., Carneiro, J. N. P., Machado, A. J. T., dos Santos, A. T. L., de Freitas, M. A., Martins, G. M. A. B., Leite, N. F., de Matos, Y. M. L. S., Tintino, S. R., Souza, D. S. L., Menezes, I. R. A., Ribeiro-Filho, J., Costa, J. G. M. and Coutinho, H. D. M. (2016). </w:t>
      </w:r>
      <w:r w:rsidRPr="00725A34">
        <w:rPr>
          <w:rFonts w:ascii="Times New Roman" w:hAnsi="Times New Roman"/>
          <w:i/>
          <w:sz w:val="20"/>
          <w:szCs w:val="20"/>
          <w:lang w:val="en-GB"/>
        </w:rPr>
        <w:t>Psidium guajava</w:t>
      </w:r>
      <w:r w:rsidRPr="00725A34">
        <w:rPr>
          <w:rFonts w:ascii="Times New Roman" w:hAnsi="Times New Roman"/>
          <w:sz w:val="20"/>
          <w:szCs w:val="20"/>
          <w:lang w:val="en-GB"/>
        </w:rPr>
        <w:t xml:space="preserve"> L. and </w:t>
      </w:r>
      <w:r w:rsidRPr="00725A34">
        <w:rPr>
          <w:rFonts w:ascii="Times New Roman" w:hAnsi="Times New Roman"/>
          <w:i/>
          <w:sz w:val="20"/>
          <w:szCs w:val="20"/>
          <w:lang w:val="en-GB"/>
        </w:rPr>
        <w:t>Psidium brownianum</w:t>
      </w:r>
      <w:r w:rsidRPr="00725A34">
        <w:rPr>
          <w:rFonts w:ascii="Times New Roman" w:hAnsi="Times New Roman"/>
          <w:sz w:val="20"/>
          <w:szCs w:val="20"/>
          <w:lang w:val="en-GB"/>
        </w:rPr>
        <w:t xml:space="preserve"> Mart ex DC.: Chemical composition and anti-</w:t>
      </w:r>
      <w:r w:rsidRPr="00725A34">
        <w:rPr>
          <w:rFonts w:ascii="Times New Roman" w:hAnsi="Times New Roman"/>
          <w:i/>
          <w:sz w:val="20"/>
          <w:szCs w:val="20"/>
          <w:lang w:val="en-GB"/>
        </w:rPr>
        <w:t>candida</w:t>
      </w:r>
      <w:r w:rsidRPr="00725A34">
        <w:rPr>
          <w:rFonts w:ascii="Times New Roman" w:hAnsi="Times New Roman"/>
          <w:sz w:val="20"/>
          <w:szCs w:val="20"/>
          <w:lang w:val="en-GB"/>
        </w:rPr>
        <w:t xml:space="preserve"> effect in association with fluconazole. </w:t>
      </w:r>
      <w:r w:rsidRPr="00725A34">
        <w:rPr>
          <w:rFonts w:ascii="Times New Roman" w:hAnsi="Times New Roman"/>
          <w:i/>
          <w:sz w:val="20"/>
          <w:szCs w:val="20"/>
          <w:lang w:val="en-GB"/>
        </w:rPr>
        <w:t>Microbial Pathogenesis</w:t>
      </w:r>
      <w:r w:rsidRPr="00725A34">
        <w:rPr>
          <w:rFonts w:ascii="Times New Roman" w:hAnsi="Times New Roman"/>
          <w:sz w:val="20"/>
          <w:szCs w:val="20"/>
          <w:lang w:val="en-GB"/>
        </w:rPr>
        <w:t>, 95: 200-207.</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Rattanachaikunsopon, P. and Phumkhachorn, P. (2010). Contents and antibacterial activity of flavonoids extracted from leaves of </w:t>
      </w:r>
      <w:r w:rsidRPr="00725A34">
        <w:rPr>
          <w:rFonts w:ascii="Times New Roman" w:hAnsi="Times New Roman"/>
          <w:i/>
          <w:sz w:val="20"/>
          <w:szCs w:val="20"/>
          <w:lang w:val="en-GB"/>
        </w:rPr>
        <w:t>Psidium guajava</w:t>
      </w:r>
      <w:r w:rsidRPr="00725A34">
        <w:rPr>
          <w:rFonts w:ascii="Times New Roman" w:hAnsi="Times New Roman"/>
          <w:sz w:val="20"/>
          <w:szCs w:val="20"/>
          <w:lang w:val="en-GB"/>
        </w:rPr>
        <w:t xml:space="preserve">. </w:t>
      </w:r>
      <w:r w:rsidRPr="00725A34">
        <w:rPr>
          <w:rFonts w:ascii="Times New Roman" w:hAnsi="Times New Roman"/>
          <w:i/>
          <w:sz w:val="20"/>
          <w:szCs w:val="20"/>
          <w:lang w:val="en-GB"/>
        </w:rPr>
        <w:t>Journal of Medicinal Plants Research</w:t>
      </w:r>
      <w:r w:rsidRPr="00725A34">
        <w:rPr>
          <w:rFonts w:ascii="Times New Roman" w:hAnsi="Times New Roman"/>
          <w:sz w:val="20"/>
          <w:szCs w:val="20"/>
          <w:lang w:val="en-GB"/>
        </w:rPr>
        <w:t>, 4(5): 393-396.</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Sarah, S. N., Sijam, K. and Omar, D. (2012). Antibacterial activity of </w:t>
      </w:r>
      <w:r w:rsidRPr="00725A34">
        <w:rPr>
          <w:rFonts w:ascii="Times New Roman" w:hAnsi="Times New Roman"/>
          <w:i/>
          <w:iCs/>
          <w:sz w:val="20"/>
          <w:szCs w:val="20"/>
          <w:lang w:val="en-GB"/>
        </w:rPr>
        <w:t>Psidium guajava</w:t>
      </w:r>
      <w:r w:rsidRPr="00725A34">
        <w:rPr>
          <w:rFonts w:ascii="Times New Roman" w:hAnsi="Times New Roman"/>
          <w:sz w:val="20"/>
          <w:szCs w:val="20"/>
          <w:lang w:val="en-GB"/>
        </w:rPr>
        <w:t xml:space="preserve"> L. methanol leaf extract against plant pathogenic pacteria in the genera </w:t>
      </w:r>
      <w:r w:rsidRPr="00725A34">
        <w:rPr>
          <w:rFonts w:ascii="Times New Roman" w:hAnsi="Times New Roman"/>
          <w:i/>
          <w:iCs/>
          <w:sz w:val="20"/>
          <w:szCs w:val="20"/>
          <w:lang w:val="en-GB"/>
        </w:rPr>
        <w:t>Pectobacterium</w:t>
      </w:r>
      <w:r w:rsidRPr="00725A34">
        <w:rPr>
          <w:rFonts w:ascii="Times New Roman" w:hAnsi="Times New Roman"/>
          <w:sz w:val="20"/>
          <w:szCs w:val="20"/>
          <w:lang w:val="en-GB"/>
        </w:rPr>
        <w:t xml:space="preserve"> and </w:t>
      </w:r>
      <w:r w:rsidRPr="00725A34">
        <w:rPr>
          <w:rFonts w:ascii="Times New Roman" w:hAnsi="Times New Roman"/>
          <w:i/>
          <w:iCs/>
          <w:sz w:val="20"/>
          <w:szCs w:val="20"/>
          <w:lang w:val="en-GB"/>
        </w:rPr>
        <w:t>Xanthomonas</w:t>
      </w:r>
      <w:r w:rsidRPr="00725A34">
        <w:rPr>
          <w:rFonts w:ascii="Times New Roman" w:hAnsi="Times New Roman"/>
          <w:sz w:val="20"/>
          <w:szCs w:val="20"/>
          <w:lang w:val="en-GB"/>
        </w:rPr>
        <w:t xml:space="preserve">. </w:t>
      </w:r>
      <w:r w:rsidRPr="00725A34">
        <w:rPr>
          <w:rFonts w:ascii="Times New Roman" w:hAnsi="Times New Roman"/>
          <w:i/>
          <w:iCs/>
          <w:sz w:val="20"/>
          <w:szCs w:val="20"/>
          <w:lang w:val="en-GB"/>
        </w:rPr>
        <w:t>International Journal of Applied Biology and Pharmaceutical Technology</w:t>
      </w:r>
      <w:r w:rsidRPr="00725A34">
        <w:rPr>
          <w:rFonts w:ascii="Times New Roman" w:hAnsi="Times New Roman"/>
          <w:sz w:val="20"/>
          <w:szCs w:val="20"/>
          <w:lang w:val="en-GB"/>
        </w:rPr>
        <w:t>, 3(1): 246-252.</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Arya, V., Thakur, N. and Kashyap, C. P. (2012). Preliminary phytochemical analysis of the extracts of </w:t>
      </w:r>
      <w:r w:rsidRPr="00725A34">
        <w:rPr>
          <w:rFonts w:ascii="Times New Roman" w:hAnsi="Times New Roman"/>
          <w:i/>
          <w:sz w:val="20"/>
          <w:szCs w:val="20"/>
          <w:lang w:val="en-GB"/>
        </w:rPr>
        <w:t xml:space="preserve">Psidium </w:t>
      </w:r>
      <w:r w:rsidRPr="00725A34">
        <w:rPr>
          <w:rFonts w:ascii="Times New Roman" w:hAnsi="Times New Roman"/>
          <w:sz w:val="20"/>
          <w:szCs w:val="20"/>
          <w:lang w:val="en-GB"/>
        </w:rPr>
        <w:t xml:space="preserve">leaves. </w:t>
      </w:r>
      <w:r w:rsidRPr="00725A34">
        <w:rPr>
          <w:rFonts w:ascii="Times New Roman" w:hAnsi="Times New Roman"/>
          <w:i/>
          <w:sz w:val="20"/>
          <w:szCs w:val="20"/>
          <w:lang w:val="en-GB"/>
        </w:rPr>
        <w:t>Journal of Pharmacognosy and Phytochemistry</w:t>
      </w:r>
      <w:r w:rsidRPr="00725A34">
        <w:rPr>
          <w:rFonts w:ascii="Times New Roman" w:hAnsi="Times New Roman"/>
          <w:sz w:val="20"/>
          <w:szCs w:val="20"/>
          <w:lang w:val="en-GB"/>
        </w:rPr>
        <w:t>, 1(1): 1-5.</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Pooja, S and Vidyasagar, G. M. (2016). Phytochemical screening for secondary metabolites of </w:t>
      </w:r>
      <w:r w:rsidRPr="00725A34">
        <w:rPr>
          <w:rFonts w:ascii="Times New Roman" w:hAnsi="Times New Roman"/>
          <w:i/>
          <w:sz w:val="20"/>
          <w:szCs w:val="20"/>
          <w:lang w:val="en-GB"/>
        </w:rPr>
        <w:t>Opuntia dillenii</w:t>
      </w:r>
      <w:r w:rsidRPr="00725A34">
        <w:rPr>
          <w:rFonts w:ascii="Times New Roman" w:hAnsi="Times New Roman"/>
          <w:sz w:val="20"/>
          <w:szCs w:val="20"/>
          <w:lang w:val="en-GB"/>
        </w:rPr>
        <w:t xml:space="preserve"> haw. </w:t>
      </w:r>
      <w:r w:rsidRPr="00725A34">
        <w:rPr>
          <w:rFonts w:ascii="Times New Roman" w:hAnsi="Times New Roman"/>
          <w:i/>
          <w:sz w:val="20"/>
          <w:szCs w:val="20"/>
          <w:lang w:val="en-GB"/>
        </w:rPr>
        <w:t>Journal of Medicinal Plants Studies</w:t>
      </w:r>
      <w:r w:rsidRPr="00725A34">
        <w:rPr>
          <w:rFonts w:ascii="Times New Roman" w:hAnsi="Times New Roman"/>
          <w:sz w:val="20"/>
          <w:szCs w:val="20"/>
          <w:lang w:val="en-GB"/>
        </w:rPr>
        <w:t>, 4(5): 39-43.</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Khanam, Z., Wen, C. S. and Bhat, I. U. H. (2015). Phytochemical screening and antimicrobial activity of root and stem extracts of wild </w:t>
      </w:r>
      <w:r w:rsidRPr="00725A34">
        <w:rPr>
          <w:rFonts w:ascii="Times New Roman" w:hAnsi="Times New Roman"/>
          <w:i/>
          <w:sz w:val="20"/>
          <w:szCs w:val="20"/>
          <w:lang w:val="en-GB"/>
        </w:rPr>
        <w:t>Eurycoma longifolia</w:t>
      </w:r>
      <w:r w:rsidRPr="00725A34">
        <w:rPr>
          <w:rFonts w:ascii="Times New Roman" w:hAnsi="Times New Roman"/>
          <w:sz w:val="20"/>
          <w:szCs w:val="20"/>
          <w:lang w:val="en-GB"/>
        </w:rPr>
        <w:t xml:space="preserve"> jack (Tongkat Ali). </w:t>
      </w:r>
      <w:r w:rsidRPr="00725A34">
        <w:rPr>
          <w:rFonts w:ascii="Times New Roman" w:hAnsi="Times New Roman"/>
          <w:i/>
          <w:sz w:val="20"/>
          <w:szCs w:val="20"/>
          <w:lang w:val="en-GB"/>
        </w:rPr>
        <w:t>Journal of King Saud University – Science</w:t>
      </w:r>
      <w:r w:rsidRPr="00725A34">
        <w:rPr>
          <w:rFonts w:ascii="Times New Roman" w:hAnsi="Times New Roman"/>
          <w:sz w:val="20"/>
          <w:szCs w:val="20"/>
          <w:lang w:val="en-GB"/>
        </w:rPr>
        <w:t>, 27: 23-30.</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Zulkifli, K. S., Abdullah, N., Abdullah, A., Aziman, N. and Wan Kamarudin, W. S. S. (2012). Phytochemical screening and activities of hydrophilic and lipophilic antioxidant of some fruit peels.</w:t>
      </w:r>
      <w:r w:rsidRPr="00725A34">
        <w:rPr>
          <w:rFonts w:ascii="Times New Roman" w:hAnsi="Times New Roman"/>
          <w:i/>
          <w:sz w:val="20"/>
          <w:szCs w:val="20"/>
          <w:lang w:val="en-GB"/>
        </w:rPr>
        <w:t xml:space="preserve"> Malaysian Journal of Analytical Sciences</w:t>
      </w:r>
      <w:r w:rsidRPr="00725A34">
        <w:rPr>
          <w:rFonts w:ascii="Times New Roman" w:hAnsi="Times New Roman"/>
          <w:sz w:val="20"/>
          <w:szCs w:val="20"/>
          <w:lang w:val="en-GB"/>
        </w:rPr>
        <w:t>, 16(3): 309-317.</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Rao, U. S. M., Abdurrazak, M. and Mohd, K. S. (2016). Phytochemical screening, total flavonoid and phenolic content assays of various solvent extracts of tepal of </w:t>
      </w:r>
      <w:r w:rsidRPr="00725A34">
        <w:rPr>
          <w:rFonts w:ascii="Times New Roman" w:hAnsi="Times New Roman"/>
          <w:i/>
          <w:sz w:val="20"/>
          <w:szCs w:val="20"/>
          <w:lang w:val="en-GB"/>
        </w:rPr>
        <w:t>Musa paradisiaca</w:t>
      </w:r>
      <w:r w:rsidRPr="00725A34">
        <w:rPr>
          <w:rFonts w:ascii="Times New Roman" w:hAnsi="Times New Roman"/>
          <w:sz w:val="20"/>
          <w:szCs w:val="20"/>
          <w:lang w:val="en-GB"/>
        </w:rPr>
        <w:t xml:space="preserve">. </w:t>
      </w:r>
      <w:r w:rsidRPr="00725A34">
        <w:rPr>
          <w:rFonts w:ascii="Times New Roman" w:hAnsi="Times New Roman"/>
          <w:i/>
          <w:sz w:val="20"/>
          <w:szCs w:val="20"/>
          <w:lang w:val="en-GB"/>
        </w:rPr>
        <w:t>Malaysian Journal of Analytical Sciences</w:t>
      </w:r>
      <w:r w:rsidRPr="00725A34">
        <w:rPr>
          <w:rFonts w:ascii="Times New Roman" w:hAnsi="Times New Roman"/>
          <w:sz w:val="20"/>
          <w:szCs w:val="20"/>
          <w:lang w:val="en-GB"/>
        </w:rPr>
        <w:t>, 20(5): 1181-1190.</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Tagashira, M. and Ohtake, Y. A. (1998). New antioxidative 1,3-benzodioxole from </w:t>
      </w:r>
      <w:r w:rsidRPr="00725A34">
        <w:rPr>
          <w:rFonts w:ascii="Times New Roman" w:hAnsi="Times New Roman"/>
          <w:i/>
          <w:sz w:val="20"/>
          <w:szCs w:val="20"/>
          <w:lang w:val="en-GB"/>
        </w:rPr>
        <w:t>Melissa officinalis</w:t>
      </w:r>
      <w:r w:rsidRPr="00725A34">
        <w:rPr>
          <w:rFonts w:ascii="Times New Roman" w:hAnsi="Times New Roman"/>
          <w:sz w:val="20"/>
          <w:szCs w:val="20"/>
          <w:lang w:val="en-GB"/>
        </w:rPr>
        <w:t xml:space="preserve">. </w:t>
      </w:r>
      <w:r w:rsidRPr="00725A34">
        <w:rPr>
          <w:rFonts w:ascii="Times New Roman" w:hAnsi="Times New Roman"/>
          <w:i/>
          <w:sz w:val="20"/>
          <w:szCs w:val="20"/>
          <w:lang w:val="en-GB"/>
        </w:rPr>
        <w:t>Planta Medica</w:t>
      </w:r>
      <w:r w:rsidRPr="00725A34">
        <w:rPr>
          <w:rFonts w:ascii="Times New Roman" w:hAnsi="Times New Roman"/>
          <w:sz w:val="20"/>
          <w:szCs w:val="20"/>
          <w:lang w:val="en-GB"/>
        </w:rPr>
        <w:t>, 64: 555-558.</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Markom, M., Hasan, M., Wan Daud, W. R., Singh, H. and Jahim, J. M. (2007). Extraction of hydrolysable tannins from </w:t>
      </w:r>
      <w:r w:rsidRPr="00725A34">
        <w:rPr>
          <w:rFonts w:ascii="Times New Roman" w:hAnsi="Times New Roman"/>
          <w:i/>
          <w:sz w:val="20"/>
          <w:szCs w:val="20"/>
          <w:lang w:val="en-GB"/>
        </w:rPr>
        <w:t>Phyllanthus niruri</w:t>
      </w:r>
      <w:r w:rsidRPr="00725A34">
        <w:rPr>
          <w:rFonts w:ascii="Times New Roman" w:hAnsi="Times New Roman"/>
          <w:sz w:val="20"/>
          <w:szCs w:val="20"/>
          <w:lang w:val="en-GB"/>
        </w:rPr>
        <w:t xml:space="preserve"> linn.: Effects of solvents and extraction methods. </w:t>
      </w:r>
      <w:r w:rsidRPr="00725A34">
        <w:rPr>
          <w:rFonts w:ascii="Times New Roman" w:hAnsi="Times New Roman"/>
          <w:i/>
          <w:sz w:val="20"/>
          <w:szCs w:val="20"/>
          <w:lang w:val="en-GB"/>
        </w:rPr>
        <w:t>Separation and Purification Technology</w:t>
      </w:r>
      <w:r w:rsidRPr="00725A34">
        <w:rPr>
          <w:rFonts w:ascii="Times New Roman" w:hAnsi="Times New Roman"/>
          <w:sz w:val="20"/>
          <w:szCs w:val="20"/>
          <w:lang w:val="en-GB"/>
        </w:rPr>
        <w:t>, 52: 487-496.</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Jamuna, S., Paulsamy, S. and Karthika, K. (2014). Phytochemical analysis and evaluation of leaf and root parts of the medicinal herb, </w:t>
      </w:r>
      <w:r w:rsidRPr="00725A34">
        <w:rPr>
          <w:rFonts w:ascii="Times New Roman" w:hAnsi="Times New Roman"/>
          <w:i/>
          <w:sz w:val="20"/>
          <w:szCs w:val="20"/>
          <w:lang w:val="en-GB"/>
        </w:rPr>
        <w:t>Hypochaeris radicata</w:t>
      </w:r>
      <w:r w:rsidRPr="00725A34">
        <w:rPr>
          <w:rFonts w:ascii="Times New Roman" w:hAnsi="Times New Roman"/>
          <w:sz w:val="20"/>
          <w:szCs w:val="20"/>
          <w:lang w:val="en-GB"/>
        </w:rPr>
        <w:t xml:space="preserve"> L. for </w:t>
      </w:r>
      <w:r w:rsidRPr="00725A34">
        <w:rPr>
          <w:rFonts w:ascii="Times New Roman" w:hAnsi="Times New Roman"/>
          <w:i/>
          <w:sz w:val="20"/>
          <w:szCs w:val="20"/>
          <w:lang w:val="en-GB"/>
        </w:rPr>
        <w:t>In vitro</w:t>
      </w:r>
      <w:r w:rsidRPr="00725A34">
        <w:rPr>
          <w:rFonts w:ascii="Times New Roman" w:hAnsi="Times New Roman"/>
          <w:sz w:val="20"/>
          <w:szCs w:val="20"/>
          <w:lang w:val="en-GB"/>
        </w:rPr>
        <w:t xml:space="preserve"> antioxidant activities. </w:t>
      </w:r>
      <w:r w:rsidRPr="00725A34">
        <w:rPr>
          <w:rFonts w:ascii="Times New Roman" w:hAnsi="Times New Roman"/>
          <w:i/>
          <w:sz w:val="20"/>
          <w:szCs w:val="20"/>
          <w:lang w:val="en-GB"/>
        </w:rPr>
        <w:t>Asian Pacific Journal of Tropical Biomedicine</w:t>
      </w:r>
      <w:r w:rsidRPr="00725A34">
        <w:rPr>
          <w:rFonts w:ascii="Times New Roman" w:hAnsi="Times New Roman"/>
          <w:sz w:val="20"/>
          <w:szCs w:val="20"/>
          <w:lang w:val="en-GB"/>
        </w:rPr>
        <w:t>, 4 (Suppl 1): S359-S367.</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Bouaziz, A., Khennouf, S., Zarga, M. A., Abdalla, S., Baghiani, A. and Charef, N. (2015). Phytochemical analysis, hypotensive effect and antioxidant properties of </w:t>
      </w:r>
      <w:r w:rsidRPr="00725A34">
        <w:rPr>
          <w:rFonts w:ascii="Times New Roman" w:hAnsi="Times New Roman"/>
          <w:i/>
          <w:sz w:val="20"/>
          <w:szCs w:val="20"/>
          <w:lang w:val="en-GB"/>
        </w:rPr>
        <w:t>Myrtus communis</w:t>
      </w:r>
      <w:r w:rsidRPr="00725A34">
        <w:rPr>
          <w:rFonts w:ascii="Times New Roman" w:hAnsi="Times New Roman"/>
          <w:sz w:val="20"/>
          <w:szCs w:val="20"/>
          <w:lang w:val="en-GB"/>
        </w:rPr>
        <w:t xml:space="preserve"> L. growing in Algeria. </w:t>
      </w:r>
      <w:r w:rsidRPr="00725A34">
        <w:rPr>
          <w:rFonts w:ascii="Times New Roman" w:hAnsi="Times New Roman"/>
          <w:i/>
          <w:sz w:val="20"/>
          <w:szCs w:val="20"/>
          <w:lang w:val="en-GB"/>
        </w:rPr>
        <w:t>Asian Pacific Journal of Tropical Biomedicine</w:t>
      </w:r>
      <w:r w:rsidRPr="00725A34">
        <w:rPr>
          <w:rFonts w:ascii="Times New Roman" w:hAnsi="Times New Roman"/>
          <w:sz w:val="20"/>
          <w:szCs w:val="20"/>
          <w:lang w:val="en-GB"/>
        </w:rPr>
        <w:t>, 5(1): 19-28.</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lastRenderedPageBreak/>
        <w:t xml:space="preserve">Türkyılmaz, M., Tağı, Ş, Dereli, U. and Özkan, M. (2013). Effects of various pressing programs and yields on the antioxidant activity, antimicrobial activity, phenolic content and colour of pomegranate juices. </w:t>
      </w:r>
      <w:r w:rsidRPr="00725A34">
        <w:rPr>
          <w:rFonts w:ascii="Times New Roman" w:hAnsi="Times New Roman"/>
          <w:i/>
          <w:sz w:val="20"/>
          <w:szCs w:val="20"/>
          <w:lang w:val="en-GB"/>
        </w:rPr>
        <w:t>Food Chemistry</w:t>
      </w:r>
      <w:r w:rsidRPr="00725A34">
        <w:rPr>
          <w:rFonts w:ascii="Times New Roman" w:hAnsi="Times New Roman"/>
          <w:sz w:val="20"/>
          <w:szCs w:val="20"/>
          <w:lang w:val="en-GB"/>
        </w:rPr>
        <w:t>, 138: 1810-1818.</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da Gama, R. M., Guimarães, M., de Abreu, L. C. and Armando-Junior, J. (2014). Phytochemical screening and antioxidant activity of ethanol extract of </w:t>
      </w:r>
      <w:r w:rsidRPr="00725A34">
        <w:rPr>
          <w:rFonts w:ascii="Times New Roman" w:hAnsi="Times New Roman"/>
          <w:i/>
          <w:sz w:val="20"/>
          <w:szCs w:val="20"/>
          <w:lang w:val="en-GB"/>
        </w:rPr>
        <w:t>Tithonia diversifolia</w:t>
      </w:r>
      <w:r w:rsidRPr="00725A34">
        <w:rPr>
          <w:rFonts w:ascii="Times New Roman" w:hAnsi="Times New Roman"/>
          <w:sz w:val="20"/>
          <w:szCs w:val="20"/>
          <w:lang w:val="en-GB"/>
        </w:rPr>
        <w:t xml:space="preserve"> (Hemsl) A. gray dry flowers. </w:t>
      </w:r>
      <w:r w:rsidRPr="00725A34">
        <w:rPr>
          <w:rFonts w:ascii="Times New Roman" w:hAnsi="Times New Roman"/>
          <w:i/>
          <w:sz w:val="20"/>
          <w:szCs w:val="20"/>
          <w:lang w:val="en-GB"/>
        </w:rPr>
        <w:t>Asian Pacific Journal of Tropical Biomedicine</w:t>
      </w:r>
      <w:r w:rsidRPr="00725A34">
        <w:rPr>
          <w:rFonts w:ascii="Times New Roman" w:hAnsi="Times New Roman"/>
          <w:sz w:val="20"/>
          <w:szCs w:val="20"/>
          <w:lang w:val="en-GB"/>
        </w:rPr>
        <w:t>, 4(9): 740-742.</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 xml:space="preserve">Keller, A. C., Ma, J., Kavalier, A., He, K., Brillantes, A. M. B. and Kennelly, E. J. (2011). Saponins from the traditional medicinal plant </w:t>
      </w:r>
      <w:r w:rsidRPr="00725A34">
        <w:rPr>
          <w:rFonts w:ascii="Times New Roman" w:hAnsi="Times New Roman"/>
          <w:i/>
          <w:sz w:val="20"/>
          <w:szCs w:val="20"/>
          <w:lang w:val="en-GB"/>
        </w:rPr>
        <w:t>Momordica charantia</w:t>
      </w:r>
      <w:r w:rsidRPr="00725A34">
        <w:rPr>
          <w:rFonts w:ascii="Times New Roman" w:hAnsi="Times New Roman"/>
          <w:sz w:val="20"/>
          <w:szCs w:val="20"/>
          <w:lang w:val="en-GB"/>
        </w:rPr>
        <w:t xml:space="preserve"> stimulate insulin secretion </w:t>
      </w:r>
      <w:r w:rsidRPr="00725A34">
        <w:rPr>
          <w:rFonts w:ascii="Times New Roman" w:hAnsi="Times New Roman"/>
          <w:i/>
          <w:sz w:val="20"/>
          <w:szCs w:val="20"/>
          <w:lang w:val="en-GB"/>
        </w:rPr>
        <w:t>In vitro</w:t>
      </w:r>
      <w:r w:rsidRPr="00725A34">
        <w:rPr>
          <w:rFonts w:ascii="Times New Roman" w:hAnsi="Times New Roman"/>
          <w:sz w:val="20"/>
          <w:szCs w:val="20"/>
          <w:lang w:val="en-GB"/>
        </w:rPr>
        <w:t xml:space="preserve">. </w:t>
      </w:r>
      <w:r w:rsidRPr="00725A34">
        <w:rPr>
          <w:rFonts w:ascii="Times New Roman" w:hAnsi="Times New Roman"/>
          <w:i/>
          <w:sz w:val="20"/>
          <w:szCs w:val="20"/>
          <w:lang w:val="en-GB"/>
        </w:rPr>
        <w:t>Phytomedicine</w:t>
      </w:r>
      <w:r w:rsidRPr="00725A34">
        <w:rPr>
          <w:rFonts w:ascii="Times New Roman" w:hAnsi="Times New Roman"/>
          <w:sz w:val="20"/>
          <w:szCs w:val="20"/>
          <w:lang w:val="en-GB"/>
        </w:rPr>
        <w:t>, 19: 32-37.</w:t>
      </w:r>
    </w:p>
    <w:p w:rsidR="00745C4C" w:rsidRPr="00725A34" w:rsidRDefault="00745C4C" w:rsidP="00745C4C">
      <w:pPr>
        <w:pStyle w:val="ListParagraph"/>
        <w:widowControl w:val="0"/>
        <w:numPr>
          <w:ilvl w:val="0"/>
          <w:numId w:val="3"/>
        </w:numPr>
        <w:wordWrap w:val="0"/>
        <w:autoSpaceDE w:val="0"/>
        <w:autoSpaceDN w:val="0"/>
        <w:spacing w:after="0" w:line="240" w:lineRule="auto"/>
        <w:ind w:left="360"/>
        <w:contextualSpacing w:val="0"/>
        <w:jc w:val="both"/>
        <w:outlineLvl w:val="0"/>
        <w:rPr>
          <w:rFonts w:ascii="Times New Roman" w:hAnsi="Times New Roman"/>
          <w:sz w:val="20"/>
          <w:szCs w:val="20"/>
          <w:lang w:val="en-GB"/>
        </w:rPr>
      </w:pPr>
      <w:r w:rsidRPr="00725A34">
        <w:rPr>
          <w:rFonts w:ascii="Times New Roman" w:hAnsi="Times New Roman"/>
          <w:sz w:val="20"/>
          <w:szCs w:val="20"/>
          <w:lang w:val="en-GB"/>
        </w:rPr>
        <w:t>Mbaveng, A. T., Hamm, R. and Kuete, V. (2014). Harmful and protective effects of terpenoids from African medicinal plants. in toxicological survey of African medicinal plants. Elsevier, London: pp. 557-576.</w:t>
      </w:r>
    </w:p>
    <w:p w:rsidR="00745C4C" w:rsidRDefault="00745C4C"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p w:rsidR="00095557" w:rsidRDefault="00095557" w:rsidP="001573E3">
      <w:pPr>
        <w:spacing w:after="0" w:line="240" w:lineRule="auto"/>
        <w:rPr>
          <w:rFonts w:ascii="Times New Roman" w:hAnsi="Times New Roman" w:cs="Times New Roman"/>
          <w:sz w:val="24"/>
          <w:szCs w:val="24"/>
        </w:rPr>
      </w:pPr>
    </w:p>
    <w:sectPr w:rsidR="00095557" w:rsidSect="001573E3">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1">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3E3"/>
    <w:rsid w:val="00095557"/>
    <w:rsid w:val="001573E3"/>
    <w:rsid w:val="002F626B"/>
    <w:rsid w:val="0044292C"/>
    <w:rsid w:val="00487993"/>
    <w:rsid w:val="005F401D"/>
    <w:rsid w:val="00745C4C"/>
    <w:rsid w:val="007D0E7F"/>
    <w:rsid w:val="00832F59"/>
    <w:rsid w:val="00834CDE"/>
    <w:rsid w:val="00900BAC"/>
    <w:rsid w:val="00975E1A"/>
    <w:rsid w:val="00AC72D0"/>
    <w:rsid w:val="00C71438"/>
    <w:rsid w:val="00C72F3E"/>
    <w:rsid w:val="00C73A4A"/>
    <w:rsid w:val="00D04BC8"/>
    <w:rsid w:val="00D0718B"/>
    <w:rsid w:val="00D40B1F"/>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1283</Words>
  <Characters>7485</Characters>
  <Application>Microsoft Office Word</Application>
  <DocSecurity>0</DocSecurity>
  <Lines>138</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cp:lastModifiedBy>
  <cp:revision>2</cp:revision>
  <dcterms:created xsi:type="dcterms:W3CDTF">2020-03-24T04:59:00Z</dcterms:created>
  <dcterms:modified xsi:type="dcterms:W3CDTF">2020-03-24T04:59:00Z</dcterms:modified>
</cp:coreProperties>
</file>