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F3E" w:rsidRDefault="001573E3" w:rsidP="001573E3">
      <w:pPr>
        <w:spacing w:after="0" w:line="240" w:lineRule="auto"/>
        <w:rPr>
          <w:rFonts w:ascii="Times New Roman" w:hAnsi="Times New Roman" w:cs="Times New Roman"/>
          <w:sz w:val="24"/>
          <w:szCs w:val="24"/>
        </w:rPr>
      </w:pPr>
      <w:r w:rsidRPr="001573E3">
        <w:rPr>
          <w:rFonts w:ascii="Times New Roman" w:hAnsi="Times New Roman" w:cs="Times New Roman"/>
          <w:sz w:val="24"/>
          <w:szCs w:val="24"/>
        </w:rPr>
        <w:t>Malaysian Journal of</w:t>
      </w:r>
      <w:r w:rsidR="00D04BC8">
        <w:rPr>
          <w:rFonts w:ascii="Times New Roman" w:hAnsi="Times New Roman" w:cs="Times New Roman"/>
          <w:sz w:val="24"/>
          <w:szCs w:val="24"/>
        </w:rPr>
        <w:t xml:space="preserve"> Analytical Sciences Vol 24 No 2</w:t>
      </w:r>
      <w:r w:rsidR="00C72F3E">
        <w:rPr>
          <w:rFonts w:ascii="Times New Roman" w:hAnsi="Times New Roman" w:cs="Times New Roman"/>
          <w:sz w:val="24"/>
          <w:szCs w:val="24"/>
        </w:rPr>
        <w:t xml:space="preserve"> (2020</w:t>
      </w:r>
      <w:r w:rsidRPr="001573E3">
        <w:rPr>
          <w:rFonts w:ascii="Times New Roman" w:hAnsi="Times New Roman" w:cs="Times New Roman"/>
          <w:sz w:val="24"/>
          <w:szCs w:val="24"/>
        </w:rPr>
        <w:t xml:space="preserve">): </w:t>
      </w:r>
      <w:r w:rsidR="00571157">
        <w:rPr>
          <w:rFonts w:ascii="Times New Roman" w:hAnsi="Times New Roman" w:cs="Times New Roman"/>
          <w:sz w:val="24"/>
          <w:szCs w:val="24"/>
        </w:rPr>
        <w:t>179 - 187</w:t>
      </w:r>
    </w:p>
    <w:p w:rsidR="00571157" w:rsidRDefault="00571157" w:rsidP="001573E3">
      <w:pPr>
        <w:spacing w:after="0" w:line="240" w:lineRule="auto"/>
        <w:rPr>
          <w:rFonts w:ascii="Times New Roman" w:hAnsi="Times New Roman" w:cs="Times New Roman"/>
          <w:sz w:val="24"/>
          <w:szCs w:val="24"/>
        </w:rPr>
      </w:pPr>
    </w:p>
    <w:p w:rsidR="00571157" w:rsidRDefault="00571157" w:rsidP="001573E3">
      <w:pPr>
        <w:spacing w:after="0" w:line="240" w:lineRule="auto"/>
        <w:rPr>
          <w:rFonts w:ascii="Times New Roman" w:hAnsi="Times New Roman" w:cs="Times New Roman"/>
          <w:sz w:val="24"/>
          <w:szCs w:val="24"/>
        </w:rPr>
      </w:pPr>
    </w:p>
    <w:p w:rsidR="00571157" w:rsidRDefault="00571157" w:rsidP="001573E3">
      <w:pPr>
        <w:spacing w:after="0" w:line="240" w:lineRule="auto"/>
        <w:rPr>
          <w:rFonts w:ascii="Times New Roman" w:hAnsi="Times New Roman" w:cs="Times New Roman"/>
          <w:sz w:val="24"/>
          <w:szCs w:val="24"/>
        </w:rPr>
      </w:pPr>
    </w:p>
    <w:p w:rsidR="00571157" w:rsidRDefault="00571157" w:rsidP="001573E3">
      <w:pPr>
        <w:spacing w:after="0" w:line="240" w:lineRule="auto"/>
        <w:rPr>
          <w:rFonts w:ascii="Times New Roman" w:hAnsi="Times New Roman" w:cs="Times New Roman"/>
          <w:sz w:val="24"/>
          <w:szCs w:val="24"/>
        </w:rPr>
      </w:pPr>
    </w:p>
    <w:p w:rsidR="00571157" w:rsidRPr="00D9037C" w:rsidRDefault="00571157" w:rsidP="00571157">
      <w:pPr>
        <w:spacing w:after="0" w:line="240" w:lineRule="auto"/>
        <w:jc w:val="center"/>
        <w:rPr>
          <w:rFonts w:ascii="Times New Roman" w:hAnsi="Times New Roman" w:cs="Times New Roman"/>
          <w:sz w:val="28"/>
          <w:szCs w:val="28"/>
        </w:rPr>
      </w:pPr>
      <w:r w:rsidRPr="00D9037C">
        <w:rPr>
          <w:rFonts w:ascii="Times New Roman" w:hAnsi="Times New Roman" w:cs="Times New Roman"/>
          <w:sz w:val="28"/>
          <w:szCs w:val="28"/>
        </w:rPr>
        <w:t>DEVELOPMENT OF AN ENZYME-LINKED IMMUNOSORBENT ASSAY (ELISA) FOR DOMOIC ACID DETECTION IN SELECTED SHELLFISH SEAFOOD USING α-AMINO-3-HYDROXY-5-METHYL-4-ISOXAZOLEPROPIONIC ACID (AMPA) RECEPTOR</w:t>
      </w:r>
    </w:p>
    <w:p w:rsidR="00571157" w:rsidRPr="00D9037C" w:rsidRDefault="00571157" w:rsidP="00571157">
      <w:pPr>
        <w:spacing w:after="0" w:line="240" w:lineRule="auto"/>
        <w:jc w:val="center"/>
        <w:rPr>
          <w:rFonts w:ascii="Times New Roman" w:hAnsi="Times New Roman" w:cs="Times New Roman"/>
          <w:sz w:val="24"/>
          <w:szCs w:val="24"/>
        </w:rPr>
      </w:pPr>
    </w:p>
    <w:p w:rsidR="00571157" w:rsidRPr="00D9037C" w:rsidRDefault="00571157" w:rsidP="00571157">
      <w:pPr>
        <w:spacing w:after="0" w:line="240" w:lineRule="auto"/>
        <w:jc w:val="center"/>
        <w:rPr>
          <w:rFonts w:ascii="Times New Roman" w:hAnsi="Times New Roman" w:cs="Times New Roman"/>
          <w:sz w:val="24"/>
          <w:szCs w:val="24"/>
        </w:rPr>
      </w:pPr>
      <w:r w:rsidRPr="00D9037C">
        <w:rPr>
          <w:rFonts w:ascii="Times New Roman" w:hAnsi="Times New Roman" w:cs="Times New Roman"/>
          <w:sz w:val="24"/>
          <w:szCs w:val="24"/>
        </w:rPr>
        <w:t>(</w:t>
      </w:r>
      <w:r w:rsidRPr="00D9037C">
        <w:rPr>
          <w:rFonts w:ascii="Times New Roman" w:hAnsi="Times New Roman" w:cs="Times New Roman"/>
          <w:noProof/>
          <w:sz w:val="24"/>
          <w:szCs w:val="24"/>
        </w:rPr>
        <w:t xml:space="preserve">Pembangunan Imunojerapan Berpaut Enzim Berpesaingan Tak Langsung (ELISA) </w:t>
      </w:r>
      <w:r>
        <w:rPr>
          <w:rFonts w:ascii="Times New Roman" w:hAnsi="Times New Roman"/>
          <w:noProof/>
          <w:sz w:val="24"/>
          <w:szCs w:val="24"/>
        </w:rPr>
        <w:t xml:space="preserve">bagi </w:t>
      </w:r>
      <w:r>
        <w:rPr>
          <w:rFonts w:ascii="Times New Roman" w:hAnsi="Times New Roman" w:cs="Times New Roman"/>
          <w:noProof/>
          <w:sz w:val="24"/>
          <w:szCs w:val="24"/>
        </w:rPr>
        <w:t>P</w:t>
      </w:r>
      <w:r w:rsidRPr="00D9037C">
        <w:rPr>
          <w:rFonts w:ascii="Times New Roman" w:hAnsi="Times New Roman" w:cs="Times New Roman"/>
          <w:noProof/>
          <w:sz w:val="24"/>
          <w:szCs w:val="24"/>
        </w:rPr>
        <w:t>engesanan Domoik Asid dalam Makanan Laut Bercengkerang Terpilih menggunakan Reseptor α-Amino-3-Hidroksi-5-Metil-4-Iso</w:t>
      </w:r>
      <w:r>
        <w:rPr>
          <w:rFonts w:ascii="Times New Roman" w:hAnsi="Times New Roman" w:cs="Times New Roman"/>
          <w:noProof/>
          <w:sz w:val="24"/>
          <w:szCs w:val="24"/>
        </w:rPr>
        <w:t>ks</w:t>
      </w:r>
      <w:r w:rsidRPr="00D9037C">
        <w:rPr>
          <w:rFonts w:ascii="Times New Roman" w:hAnsi="Times New Roman" w:cs="Times New Roman"/>
          <w:noProof/>
          <w:sz w:val="24"/>
          <w:szCs w:val="24"/>
        </w:rPr>
        <w:t>azolepropionik Asid (AMPA)</w:t>
      </w:r>
      <w:r w:rsidRPr="00D9037C">
        <w:rPr>
          <w:rFonts w:ascii="Times New Roman" w:hAnsi="Times New Roman" w:cs="Times New Roman"/>
          <w:sz w:val="24"/>
          <w:szCs w:val="24"/>
        </w:rPr>
        <w:t>)</w:t>
      </w:r>
    </w:p>
    <w:p w:rsidR="00571157" w:rsidRPr="00D83B6A" w:rsidRDefault="00571157" w:rsidP="00571157">
      <w:pPr>
        <w:spacing w:after="0" w:line="240" w:lineRule="auto"/>
        <w:jc w:val="center"/>
        <w:rPr>
          <w:rFonts w:ascii="Times New Roman" w:hAnsi="Times New Roman" w:cs="Times New Roman"/>
          <w:sz w:val="20"/>
          <w:szCs w:val="20"/>
        </w:rPr>
      </w:pPr>
    </w:p>
    <w:p w:rsidR="00571157" w:rsidRPr="007B7D07" w:rsidRDefault="00571157" w:rsidP="00571157">
      <w:pPr>
        <w:spacing w:after="0" w:line="240" w:lineRule="auto"/>
        <w:ind w:right="4"/>
        <w:jc w:val="center"/>
        <w:outlineLvl w:val="0"/>
        <w:rPr>
          <w:rFonts w:ascii="Times New Roman" w:hAnsi="Times New Roman" w:cs="Times New Roman"/>
          <w:bCs/>
          <w:noProof/>
          <w:sz w:val="20"/>
          <w:szCs w:val="20"/>
          <w:lang w:val="ms-MY"/>
        </w:rPr>
      </w:pPr>
      <w:r w:rsidRPr="007B7D07">
        <w:rPr>
          <w:rFonts w:ascii="Times New Roman" w:hAnsi="Times New Roman" w:cs="Times New Roman"/>
          <w:bCs/>
          <w:noProof/>
          <w:sz w:val="20"/>
          <w:szCs w:val="20"/>
          <w:lang w:val="ms-MY"/>
        </w:rPr>
        <w:t>Hafiza Mohamed Zuki</w:t>
      </w:r>
      <w:r w:rsidRPr="00D83B6A">
        <w:rPr>
          <w:rFonts w:ascii="Times New Roman" w:hAnsi="Times New Roman" w:cs="Times New Roman"/>
          <w:bCs/>
          <w:noProof/>
          <w:sz w:val="20"/>
          <w:szCs w:val="20"/>
          <w:lang w:val="ms-MY"/>
        </w:rPr>
        <w:t>*</w:t>
      </w:r>
      <w:r w:rsidRPr="007B7D07">
        <w:rPr>
          <w:rFonts w:ascii="Times New Roman" w:hAnsi="Times New Roman" w:cs="Times New Roman"/>
          <w:bCs/>
          <w:noProof/>
          <w:sz w:val="20"/>
          <w:szCs w:val="20"/>
          <w:lang w:val="ms-MY"/>
        </w:rPr>
        <w:t>, Lai Yun Ru, Noor Sheryna Jusoh, Azrilawani Ahmad, Marinah Mohd Ariffin</w:t>
      </w:r>
    </w:p>
    <w:p w:rsidR="00571157" w:rsidRPr="00571157" w:rsidRDefault="00571157" w:rsidP="00571157">
      <w:pPr>
        <w:spacing w:after="0" w:line="240" w:lineRule="auto"/>
        <w:jc w:val="center"/>
        <w:rPr>
          <w:rFonts w:ascii="Times New Roman" w:hAnsi="Times New Roman" w:cs="Times New Roman"/>
          <w:bCs/>
          <w:noProof/>
          <w:sz w:val="20"/>
          <w:szCs w:val="20"/>
          <w:lang w:val="ms-MY"/>
        </w:rPr>
      </w:pPr>
    </w:p>
    <w:p w:rsidR="00571157" w:rsidRPr="00571157" w:rsidRDefault="00571157" w:rsidP="00571157">
      <w:pPr>
        <w:spacing w:after="0" w:line="240" w:lineRule="auto"/>
        <w:ind w:right="4"/>
        <w:jc w:val="center"/>
        <w:rPr>
          <w:rFonts w:ascii="Times New Roman" w:hAnsi="Times New Roman" w:cs="Times New Roman"/>
          <w:bCs/>
          <w:sz w:val="20"/>
          <w:szCs w:val="20"/>
        </w:rPr>
      </w:pPr>
      <w:r w:rsidRPr="00571157">
        <w:rPr>
          <w:rFonts w:ascii="Times New Roman" w:hAnsi="Times New Roman" w:cs="Times New Roman"/>
          <w:i/>
          <w:sz w:val="20"/>
          <w:szCs w:val="20"/>
        </w:rPr>
        <w:t>Faculty of Science and Marine Environment,</w:t>
      </w:r>
    </w:p>
    <w:p w:rsidR="00571157" w:rsidRPr="00571157" w:rsidRDefault="00571157" w:rsidP="00571157">
      <w:pPr>
        <w:spacing w:after="0" w:line="240" w:lineRule="auto"/>
        <w:ind w:right="4"/>
        <w:jc w:val="center"/>
        <w:rPr>
          <w:rFonts w:ascii="Times New Roman" w:hAnsi="Times New Roman" w:cs="Times New Roman"/>
          <w:i/>
          <w:sz w:val="20"/>
          <w:szCs w:val="20"/>
        </w:rPr>
      </w:pPr>
      <w:r w:rsidRPr="00571157">
        <w:rPr>
          <w:rFonts w:ascii="Times New Roman" w:hAnsi="Times New Roman" w:cs="Times New Roman"/>
          <w:i/>
          <w:sz w:val="20"/>
          <w:szCs w:val="20"/>
        </w:rPr>
        <w:t>Universiti Malaysia Terengganu,</w:t>
      </w:r>
    </w:p>
    <w:p w:rsidR="00571157" w:rsidRPr="00571157" w:rsidRDefault="00571157" w:rsidP="00571157">
      <w:pPr>
        <w:spacing w:after="0" w:line="240" w:lineRule="auto"/>
        <w:ind w:right="4"/>
        <w:jc w:val="center"/>
        <w:rPr>
          <w:rFonts w:ascii="Times New Roman" w:hAnsi="Times New Roman" w:cs="Times New Roman"/>
          <w:i/>
          <w:sz w:val="20"/>
          <w:szCs w:val="20"/>
        </w:rPr>
      </w:pPr>
      <w:r w:rsidRPr="00571157">
        <w:rPr>
          <w:rFonts w:ascii="Times New Roman" w:hAnsi="Times New Roman" w:cs="Times New Roman"/>
          <w:i/>
          <w:sz w:val="20"/>
          <w:szCs w:val="20"/>
        </w:rPr>
        <w:t>21030 Kuala Nerus, Terengganu, Malaysia</w:t>
      </w:r>
    </w:p>
    <w:p w:rsidR="00571157" w:rsidRPr="00571157" w:rsidRDefault="00571157" w:rsidP="00571157">
      <w:pPr>
        <w:spacing w:after="0" w:line="240" w:lineRule="auto"/>
        <w:ind w:right="4"/>
        <w:jc w:val="center"/>
        <w:rPr>
          <w:rFonts w:ascii="Times New Roman" w:hAnsi="Times New Roman" w:cs="Times New Roman"/>
          <w:i/>
          <w:sz w:val="20"/>
          <w:szCs w:val="20"/>
        </w:rPr>
      </w:pPr>
    </w:p>
    <w:p w:rsidR="00571157" w:rsidRPr="00571157" w:rsidRDefault="00571157" w:rsidP="00571157">
      <w:pPr>
        <w:spacing w:after="0" w:line="240" w:lineRule="auto"/>
        <w:ind w:right="4"/>
        <w:jc w:val="center"/>
        <w:rPr>
          <w:rFonts w:ascii="Times New Roman" w:hAnsi="Times New Roman" w:cs="Times New Roman"/>
          <w:bCs/>
          <w:i/>
          <w:color w:val="0000FF" w:themeColor="hyperlink"/>
          <w:sz w:val="20"/>
          <w:szCs w:val="20"/>
          <w:u w:val="single"/>
        </w:rPr>
      </w:pPr>
      <w:r w:rsidRPr="00571157">
        <w:rPr>
          <w:rFonts w:ascii="Times New Roman" w:hAnsi="Times New Roman" w:cs="Times New Roman"/>
          <w:bCs/>
          <w:i/>
          <w:sz w:val="20"/>
          <w:szCs w:val="20"/>
        </w:rPr>
        <w:t xml:space="preserve">*Corresponding author: </w:t>
      </w:r>
      <w:r w:rsidRPr="00571157">
        <w:rPr>
          <w:rFonts w:ascii="Times New Roman" w:hAnsi="Times New Roman"/>
          <w:bCs/>
          <w:i/>
          <w:sz w:val="20"/>
          <w:szCs w:val="20"/>
        </w:rPr>
        <w:t xml:space="preserve"> </w:t>
      </w:r>
      <w:r w:rsidRPr="00571157">
        <w:rPr>
          <w:rFonts w:ascii="Times New Roman" w:hAnsi="Times New Roman"/>
          <w:i/>
          <w:sz w:val="20"/>
          <w:szCs w:val="20"/>
        </w:rPr>
        <w:t>hafiza@umt.edu.my</w:t>
      </w:r>
    </w:p>
    <w:p w:rsidR="00571157" w:rsidRPr="00571157" w:rsidRDefault="00571157" w:rsidP="00571157">
      <w:pPr>
        <w:spacing w:after="0" w:line="240" w:lineRule="auto"/>
        <w:jc w:val="center"/>
        <w:rPr>
          <w:rFonts w:ascii="Times New Roman" w:hAnsi="Times New Roman"/>
          <w:noProof/>
          <w:sz w:val="20"/>
          <w:szCs w:val="20"/>
        </w:rPr>
      </w:pPr>
    </w:p>
    <w:p w:rsidR="00571157" w:rsidRPr="00571157" w:rsidRDefault="00571157" w:rsidP="00571157">
      <w:pPr>
        <w:spacing w:after="0" w:line="240" w:lineRule="auto"/>
        <w:jc w:val="center"/>
        <w:rPr>
          <w:rFonts w:ascii="Times New Roman" w:hAnsi="Times New Roman"/>
          <w:noProof/>
          <w:sz w:val="20"/>
          <w:szCs w:val="20"/>
        </w:rPr>
      </w:pPr>
    </w:p>
    <w:p w:rsidR="00571157" w:rsidRPr="00571157" w:rsidRDefault="00571157" w:rsidP="00571157">
      <w:pPr>
        <w:spacing w:after="0" w:line="240" w:lineRule="auto"/>
        <w:jc w:val="center"/>
        <w:rPr>
          <w:rFonts w:ascii="Times New Roman" w:hAnsi="Times New Roman"/>
          <w:noProof/>
          <w:sz w:val="20"/>
          <w:szCs w:val="20"/>
        </w:rPr>
      </w:pPr>
      <w:r w:rsidRPr="00571157">
        <w:rPr>
          <w:rFonts w:ascii="Times New Roman" w:hAnsi="Times New Roman"/>
          <w:noProof/>
          <w:sz w:val="20"/>
          <w:szCs w:val="20"/>
        </w:rPr>
        <w:t>Received: 20 November 2019; Accepted: 12 March 2020</w:t>
      </w:r>
    </w:p>
    <w:p w:rsidR="00571157" w:rsidRPr="00571157" w:rsidRDefault="00571157" w:rsidP="00571157">
      <w:pPr>
        <w:spacing w:after="0" w:line="240" w:lineRule="auto"/>
        <w:jc w:val="center"/>
        <w:rPr>
          <w:rFonts w:ascii="Times New Roman" w:hAnsi="Times New Roman"/>
          <w:noProof/>
          <w:sz w:val="20"/>
          <w:szCs w:val="20"/>
        </w:rPr>
      </w:pPr>
    </w:p>
    <w:p w:rsidR="00571157" w:rsidRPr="00571157" w:rsidRDefault="00571157" w:rsidP="00571157">
      <w:pPr>
        <w:spacing w:after="0" w:line="240" w:lineRule="auto"/>
        <w:jc w:val="center"/>
        <w:rPr>
          <w:rFonts w:ascii="Times New Roman" w:hAnsi="Times New Roman"/>
          <w:noProof/>
          <w:sz w:val="20"/>
          <w:szCs w:val="20"/>
        </w:rPr>
      </w:pPr>
    </w:p>
    <w:p w:rsidR="00571157" w:rsidRPr="00571157" w:rsidRDefault="00571157" w:rsidP="00571157">
      <w:pPr>
        <w:spacing w:after="0" w:line="240" w:lineRule="auto"/>
        <w:jc w:val="center"/>
        <w:rPr>
          <w:rFonts w:ascii="Times New Roman" w:hAnsi="Times New Roman"/>
          <w:b/>
          <w:noProof/>
          <w:sz w:val="20"/>
          <w:szCs w:val="20"/>
        </w:rPr>
      </w:pPr>
      <w:r w:rsidRPr="00571157">
        <w:rPr>
          <w:rFonts w:ascii="Times New Roman" w:hAnsi="Times New Roman"/>
          <w:b/>
          <w:noProof/>
          <w:sz w:val="20"/>
          <w:szCs w:val="20"/>
        </w:rPr>
        <w:t>Abstract</w:t>
      </w:r>
    </w:p>
    <w:p w:rsidR="00571157" w:rsidRPr="00571157" w:rsidRDefault="00571157" w:rsidP="00571157">
      <w:pPr>
        <w:spacing w:after="0" w:line="240" w:lineRule="auto"/>
        <w:jc w:val="both"/>
        <w:rPr>
          <w:rFonts w:ascii="Times New Roman" w:hAnsi="Times New Roman" w:cs="Times New Roman"/>
          <w:sz w:val="20"/>
          <w:szCs w:val="20"/>
        </w:rPr>
      </w:pPr>
      <w:r w:rsidRPr="00571157">
        <w:rPr>
          <w:rFonts w:ascii="Times New Roman" w:hAnsi="Times New Roman" w:cs="Times New Roman"/>
          <w:sz w:val="20"/>
          <w:szCs w:val="20"/>
        </w:rPr>
        <w:t>In this study, a selective and sensitive enzyme-linked immunosorbent assay (ELISA) method using ionotropic glutamate receptor of amino-3-hydroxy-5-methyl-4-isoxazolepropionic acid (AMPA) was successfully developed in order to determine the presence of domoic acid (DA) in shellfish seafood. The optimum concentration of AMPA receptor and goat anti-mouse IgG alkaline phosphate (AP) were obtained at 1.3 ppm and 1.7 ppm, respectively. Absorbance response of the optimised assay towards DA recorded limit of detection (LOD) and limit of quantification (LOQ) at 0.72 ppm and 1.2 ppm, respectively. Cross-reaction with glutamic acid (GA) showed that the assay was less sensitive than DA, with cross-reactivity values of 12.96%. The competency of the immunoassay towards real samples analysis was studied using mussel</w:t>
      </w:r>
      <w:r w:rsidRPr="00571157" w:rsidDel="0004328E">
        <w:rPr>
          <w:rFonts w:ascii="Times New Roman" w:hAnsi="Times New Roman" w:cs="Times New Roman"/>
          <w:sz w:val="20"/>
          <w:szCs w:val="20"/>
        </w:rPr>
        <w:t xml:space="preserve"> </w:t>
      </w:r>
      <w:r w:rsidRPr="00571157">
        <w:rPr>
          <w:rFonts w:ascii="Times New Roman" w:hAnsi="Times New Roman" w:cs="Times New Roman"/>
          <w:sz w:val="20"/>
          <w:szCs w:val="20"/>
        </w:rPr>
        <w:t>and cockle. Detection of non-spiked samples recorded the presence of DA at 0.96 ppm for mussel and 0.56 ppm for cockle. Meanwhile, recovery of the spike samples with 3 ppm DA was found at 2.69 ppm for mussel and 2.60 ppm for cockle, with recovery percentages of 86.7% and 89.7%, respectively.</w:t>
      </w:r>
    </w:p>
    <w:p w:rsidR="00571157" w:rsidRPr="00571157" w:rsidRDefault="00571157" w:rsidP="00571157">
      <w:pPr>
        <w:spacing w:after="0" w:line="240" w:lineRule="auto"/>
        <w:jc w:val="both"/>
        <w:rPr>
          <w:rFonts w:ascii="Times New Roman" w:hAnsi="Times New Roman" w:cs="Times New Roman"/>
          <w:sz w:val="20"/>
          <w:szCs w:val="20"/>
        </w:rPr>
      </w:pPr>
    </w:p>
    <w:p w:rsidR="00571157" w:rsidRPr="00571157" w:rsidRDefault="00571157" w:rsidP="00571157">
      <w:pPr>
        <w:tabs>
          <w:tab w:val="left" w:pos="9356"/>
        </w:tabs>
        <w:spacing w:after="0" w:line="240" w:lineRule="auto"/>
        <w:ind w:left="990" w:right="4" w:hanging="990"/>
        <w:jc w:val="both"/>
        <w:rPr>
          <w:rFonts w:ascii="Times New Roman" w:hAnsi="Times New Roman" w:cs="Times New Roman"/>
          <w:sz w:val="20"/>
          <w:szCs w:val="20"/>
        </w:rPr>
      </w:pPr>
      <w:r w:rsidRPr="00571157">
        <w:rPr>
          <w:rFonts w:ascii="Times New Roman" w:hAnsi="Times New Roman" w:cs="Times New Roman"/>
          <w:b/>
          <w:sz w:val="20"/>
          <w:szCs w:val="20"/>
        </w:rPr>
        <w:t>Keywords</w:t>
      </w:r>
      <w:r w:rsidRPr="00571157">
        <w:rPr>
          <w:rFonts w:ascii="Times New Roman" w:hAnsi="Times New Roman" w:cs="Times New Roman"/>
          <w:b/>
          <w:bCs/>
          <w:sz w:val="20"/>
          <w:szCs w:val="20"/>
        </w:rPr>
        <w:t>:</w:t>
      </w:r>
      <w:r w:rsidRPr="00571157">
        <w:rPr>
          <w:rFonts w:ascii="Times New Roman" w:hAnsi="Times New Roman"/>
          <w:sz w:val="20"/>
          <w:szCs w:val="20"/>
        </w:rPr>
        <w:tab/>
        <w:t>e</w:t>
      </w:r>
      <w:r w:rsidRPr="00571157">
        <w:rPr>
          <w:rFonts w:ascii="Times New Roman" w:hAnsi="Times New Roman" w:cs="Times New Roman"/>
          <w:sz w:val="20"/>
          <w:szCs w:val="20"/>
        </w:rPr>
        <w:t>nzyme-linked immunosorbent assay, α-amino-3-hydroxy-5-methyl-4-isoxazolepropionic acid, domoic acid, shellfish seafood</w:t>
      </w:r>
    </w:p>
    <w:p w:rsidR="00571157" w:rsidRPr="00571157" w:rsidRDefault="00571157" w:rsidP="00571157">
      <w:pPr>
        <w:spacing w:after="0" w:line="240" w:lineRule="auto"/>
        <w:jc w:val="center"/>
        <w:rPr>
          <w:rFonts w:ascii="Times New Roman" w:hAnsi="Times New Roman" w:cs="Times New Roman"/>
          <w:sz w:val="20"/>
          <w:szCs w:val="20"/>
        </w:rPr>
      </w:pPr>
    </w:p>
    <w:p w:rsidR="00571157" w:rsidRPr="00571157" w:rsidRDefault="00571157" w:rsidP="00571157">
      <w:pPr>
        <w:spacing w:after="0" w:line="240" w:lineRule="auto"/>
        <w:jc w:val="center"/>
        <w:rPr>
          <w:rFonts w:ascii="Times New Roman" w:hAnsi="Times New Roman" w:cs="Times New Roman"/>
          <w:b/>
          <w:noProof/>
          <w:sz w:val="20"/>
          <w:szCs w:val="20"/>
          <w:lang w:val="ms-MY"/>
        </w:rPr>
      </w:pPr>
      <w:r w:rsidRPr="00571157">
        <w:rPr>
          <w:rFonts w:ascii="Times New Roman" w:hAnsi="Times New Roman" w:cs="Times New Roman"/>
          <w:b/>
          <w:noProof/>
          <w:sz w:val="20"/>
          <w:szCs w:val="20"/>
          <w:lang w:val="ms-MY"/>
        </w:rPr>
        <w:t>Abstrak</w:t>
      </w:r>
    </w:p>
    <w:p w:rsidR="00571157" w:rsidRPr="00571157" w:rsidRDefault="00571157" w:rsidP="00571157">
      <w:pPr>
        <w:spacing w:after="0" w:line="240" w:lineRule="auto"/>
        <w:jc w:val="both"/>
        <w:rPr>
          <w:rFonts w:ascii="Times New Roman" w:hAnsi="Times New Roman" w:cs="Times New Roman"/>
          <w:noProof/>
          <w:sz w:val="20"/>
          <w:szCs w:val="20"/>
          <w:lang w:val="ms-MY"/>
        </w:rPr>
      </w:pPr>
      <w:r w:rsidRPr="00571157">
        <w:rPr>
          <w:rFonts w:ascii="Times New Roman" w:hAnsi="Times New Roman" w:cs="Times New Roman"/>
          <w:noProof/>
          <w:sz w:val="20"/>
          <w:szCs w:val="20"/>
          <w:lang w:val="ms-MY"/>
        </w:rPr>
        <w:t xml:space="preserve">Dalam kajian ini, satu kaedah imunojerapan berpaut enzim berpesaingan tak langsung (ELISA) yang selektif dan sensitif dengan menggunakan reseptor glutamat ionotropik asid α-amino-3-hidroksi-5-metil-4-isoksazolepropionik (AMPA) telah berjaya dibangunkan untuk menentukan kehadiran asid domoik (DA) dalam makanan laut bercengkerang. Kepekatan optimum reseptor AMPA dan anti-tikus kambing IgG alkali fosfat (AP) masing-masing adalah didapati pada 1.3 ppm dan 1.7 ppm. Tindak balas penyerapan terhadap ujian optimum DA mencatatkan had pengesanan (LOD) dan had kuantifikasi (LOQ) masing-masing diperolehi sebanyak 0.72 ppm dan 1.2 ppm. Tindak balas silang dengan asid glutamat (GA) menunjukkan bahawa ujian GA adalah kurang sensitif daripada DA, dengan </w:t>
      </w:r>
      <w:r w:rsidRPr="00571157">
        <w:rPr>
          <w:rFonts w:ascii="Times New Roman" w:hAnsi="Times New Roman" w:cs="Times New Roman"/>
          <w:noProof/>
          <w:sz w:val="20"/>
          <w:szCs w:val="20"/>
          <w:lang w:val="ms-MY"/>
        </w:rPr>
        <w:lastRenderedPageBreak/>
        <w:t>nilai tindak balas-silang 12.96%. Kecekapan imunoasai bagi analisis sampel sebenar telah dikaji menggunakan kupang</w:t>
      </w:r>
      <w:r w:rsidRPr="00571157" w:rsidDel="00656D4A">
        <w:rPr>
          <w:rFonts w:ascii="Times New Roman" w:hAnsi="Times New Roman" w:cs="Times New Roman"/>
          <w:noProof/>
          <w:sz w:val="20"/>
          <w:szCs w:val="20"/>
          <w:lang w:val="ms-MY"/>
        </w:rPr>
        <w:t xml:space="preserve"> </w:t>
      </w:r>
      <w:r w:rsidRPr="00571157">
        <w:rPr>
          <w:rFonts w:ascii="Times New Roman" w:hAnsi="Times New Roman" w:cs="Times New Roman"/>
          <w:noProof/>
          <w:sz w:val="20"/>
          <w:szCs w:val="20"/>
          <w:lang w:val="ms-MY"/>
        </w:rPr>
        <w:t xml:space="preserve">dan kerang. Pengesanan sampel yang tidak dipaku mencatatkan kehadiran DA pada 0.96 ppm untuk kupang dan 0.56 ppm untuk kerang. Sementara itu, perolehan semula sampel yang dipaku dengan 3 ppm DA diperolehi pada 2.69 ppm bagi kupang dan 2.6 ppm bagi kerang, dengan peratusan pemulihan masing-masing sebanyak 86.7% dan 89.7%. </w:t>
      </w:r>
    </w:p>
    <w:p w:rsidR="00571157" w:rsidRPr="00571157" w:rsidRDefault="00571157" w:rsidP="00571157">
      <w:pPr>
        <w:tabs>
          <w:tab w:val="left" w:pos="9356"/>
        </w:tabs>
        <w:spacing w:after="0" w:line="240" w:lineRule="auto"/>
        <w:ind w:right="4"/>
        <w:jc w:val="both"/>
        <w:rPr>
          <w:rFonts w:ascii="Times New Roman" w:hAnsi="Times New Roman" w:cs="Times New Roman"/>
          <w:noProof/>
          <w:sz w:val="20"/>
          <w:szCs w:val="20"/>
          <w:lang w:val="ms-MY"/>
        </w:rPr>
      </w:pPr>
    </w:p>
    <w:p w:rsidR="00571157" w:rsidRDefault="00571157" w:rsidP="00571157">
      <w:pPr>
        <w:tabs>
          <w:tab w:val="left" w:pos="9356"/>
        </w:tabs>
        <w:spacing w:after="0" w:line="240" w:lineRule="auto"/>
        <w:ind w:left="1080" w:right="4" w:hanging="1080"/>
        <w:jc w:val="both"/>
        <w:rPr>
          <w:rFonts w:ascii="Times New Roman" w:hAnsi="Times New Roman" w:cs="Times New Roman"/>
          <w:noProof/>
          <w:sz w:val="20"/>
          <w:szCs w:val="20"/>
          <w:lang w:val="ms-MY"/>
        </w:rPr>
      </w:pPr>
      <w:r w:rsidRPr="00571157">
        <w:rPr>
          <w:rFonts w:ascii="Times New Roman" w:hAnsi="Times New Roman"/>
          <w:b/>
          <w:noProof/>
          <w:sz w:val="20"/>
          <w:szCs w:val="20"/>
          <w:lang w:val="ms-MY"/>
        </w:rPr>
        <w:t xml:space="preserve">Kata </w:t>
      </w:r>
      <w:r w:rsidRPr="00571157">
        <w:rPr>
          <w:rFonts w:ascii="Times New Roman" w:hAnsi="Times New Roman" w:cs="Times New Roman"/>
          <w:b/>
          <w:noProof/>
          <w:sz w:val="20"/>
          <w:szCs w:val="20"/>
          <w:lang w:val="ms-MY"/>
        </w:rPr>
        <w:t>kunci</w:t>
      </w:r>
      <w:r w:rsidRPr="00571157">
        <w:rPr>
          <w:rFonts w:ascii="Times New Roman" w:hAnsi="Times New Roman" w:cs="Times New Roman"/>
          <w:b/>
          <w:bCs/>
          <w:noProof/>
          <w:sz w:val="20"/>
          <w:szCs w:val="20"/>
          <w:lang w:val="ms-MY"/>
        </w:rPr>
        <w:t>:</w:t>
      </w:r>
      <w:r w:rsidRPr="00571157">
        <w:rPr>
          <w:rFonts w:ascii="Times New Roman" w:hAnsi="Times New Roman"/>
          <w:noProof/>
          <w:sz w:val="20"/>
          <w:szCs w:val="20"/>
          <w:lang w:val="ms-MY"/>
        </w:rPr>
        <w:tab/>
      </w:r>
      <w:r w:rsidRPr="00571157">
        <w:rPr>
          <w:rFonts w:ascii="Times New Roman" w:hAnsi="Times New Roman" w:cs="Times New Roman"/>
          <w:noProof/>
          <w:sz w:val="20"/>
          <w:szCs w:val="20"/>
          <w:lang w:val="ms-MY"/>
        </w:rPr>
        <w:t>Ujian imunojerapan berpaut enzim berpesaingan tak langsung, asid α-mino-3-hidroksi-5-metil-4-isoksazolepropionik, asid domoik, makanan laut bercengkerang</w:t>
      </w:r>
    </w:p>
    <w:p w:rsidR="00571157" w:rsidRDefault="00571157" w:rsidP="00571157">
      <w:pPr>
        <w:tabs>
          <w:tab w:val="left" w:pos="9356"/>
        </w:tabs>
        <w:spacing w:after="0" w:line="240" w:lineRule="auto"/>
        <w:ind w:left="1080" w:right="4" w:hanging="1080"/>
        <w:jc w:val="both"/>
        <w:rPr>
          <w:rFonts w:ascii="Times New Roman" w:hAnsi="Times New Roman"/>
          <w:noProof/>
          <w:sz w:val="20"/>
          <w:szCs w:val="20"/>
          <w:lang w:val="ms-MY" w:bidi="en-US"/>
        </w:rPr>
      </w:pPr>
    </w:p>
    <w:p w:rsidR="00571157" w:rsidRPr="000B4DEA" w:rsidRDefault="00571157" w:rsidP="00571157">
      <w:pPr>
        <w:spacing w:after="0" w:line="240" w:lineRule="auto"/>
        <w:jc w:val="center"/>
        <w:rPr>
          <w:rFonts w:ascii="Times New Roman" w:hAnsi="Times New Roman"/>
          <w:b/>
          <w:noProof/>
          <w:sz w:val="20"/>
          <w:szCs w:val="20"/>
        </w:rPr>
      </w:pPr>
      <w:r w:rsidRPr="00F447A7">
        <w:rPr>
          <w:rFonts w:ascii="Times New Roman" w:hAnsi="Times New Roman"/>
          <w:b/>
          <w:noProof/>
          <w:sz w:val="20"/>
          <w:szCs w:val="20"/>
        </w:rPr>
        <w:t>References</w:t>
      </w:r>
    </w:p>
    <w:p w:rsidR="00571157" w:rsidRPr="00C33219" w:rsidRDefault="00571157" w:rsidP="00571157">
      <w:pPr>
        <w:pStyle w:val="ListParagraph"/>
        <w:numPr>
          <w:ilvl w:val="0"/>
          <w:numId w:val="5"/>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Botana, L.M., (2014), Seafood and freshwater toxins: Pharmacology, physiology, and detection, Third Edition. CRC Press, Boca Raton, Fl: pp 326-327.</w:t>
      </w:r>
    </w:p>
    <w:p w:rsidR="00571157" w:rsidRPr="00C33219" w:rsidRDefault="00571157" w:rsidP="00571157">
      <w:pPr>
        <w:pStyle w:val="ListParagraph"/>
        <w:numPr>
          <w:ilvl w:val="0"/>
          <w:numId w:val="5"/>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 xml:space="preserve">Fehling, J., Green, D. H., Davidson, K., Bolch, C. J., and Bates, S. S. (2004). Domoic acid production by </w:t>
      </w:r>
      <w:r w:rsidRPr="00C33219">
        <w:rPr>
          <w:rFonts w:ascii="Times New Roman" w:hAnsi="Times New Roman"/>
          <w:i/>
          <w:sz w:val="20"/>
          <w:szCs w:val="20"/>
        </w:rPr>
        <w:t>Pseudo-Nitzschia Seriata</w:t>
      </w:r>
      <w:r w:rsidRPr="00C33219">
        <w:rPr>
          <w:rFonts w:ascii="Times New Roman" w:hAnsi="Times New Roman"/>
          <w:sz w:val="20"/>
          <w:szCs w:val="20"/>
        </w:rPr>
        <w:t xml:space="preserve"> (Bacillariophyceae) in Scottish waters. </w:t>
      </w:r>
      <w:r w:rsidRPr="00C33219">
        <w:rPr>
          <w:rFonts w:ascii="Times New Roman" w:hAnsi="Times New Roman"/>
          <w:i/>
          <w:sz w:val="20"/>
          <w:szCs w:val="20"/>
        </w:rPr>
        <w:t>Journal of Phycology</w:t>
      </w:r>
      <w:r w:rsidRPr="00C33219">
        <w:rPr>
          <w:rFonts w:ascii="Times New Roman" w:hAnsi="Times New Roman"/>
          <w:sz w:val="20"/>
          <w:szCs w:val="20"/>
        </w:rPr>
        <w:t xml:space="preserve">, 40: 622-630. </w:t>
      </w:r>
    </w:p>
    <w:p w:rsidR="00571157" w:rsidRPr="00C33219" w:rsidRDefault="00571157" w:rsidP="00571157">
      <w:pPr>
        <w:pStyle w:val="ListParagraph"/>
        <w:numPr>
          <w:ilvl w:val="0"/>
          <w:numId w:val="5"/>
        </w:numPr>
        <w:spacing w:after="0" w:line="240" w:lineRule="auto"/>
        <w:ind w:left="360" w:right="-46"/>
        <w:contextualSpacing w:val="0"/>
        <w:jc w:val="both"/>
        <w:rPr>
          <w:rFonts w:ascii="Times New Roman" w:hAnsi="Times New Roman"/>
          <w:iCs/>
          <w:sz w:val="20"/>
          <w:szCs w:val="20"/>
        </w:rPr>
      </w:pPr>
      <w:r w:rsidRPr="00C33219">
        <w:rPr>
          <w:rFonts w:ascii="Times New Roman" w:hAnsi="Times New Roman"/>
          <w:sz w:val="20"/>
          <w:szCs w:val="20"/>
        </w:rPr>
        <w:t xml:space="preserve">Teng, S.T., Lim, P.T., Lim, H.C. and Leaw, C.P. (2014). </w:t>
      </w:r>
      <w:r w:rsidRPr="00C33219">
        <w:rPr>
          <w:rFonts w:ascii="Times New Roman" w:hAnsi="Times New Roman"/>
          <w:i/>
          <w:sz w:val="20"/>
          <w:szCs w:val="20"/>
        </w:rPr>
        <w:t>Pseudo-nitzschia</w:t>
      </w:r>
      <w:r w:rsidRPr="00C33219">
        <w:rPr>
          <w:rFonts w:ascii="Times New Roman" w:hAnsi="Times New Roman"/>
          <w:sz w:val="20"/>
          <w:szCs w:val="20"/>
        </w:rPr>
        <w:t xml:space="preserve"> (Bacillariophyceae) in Malaysia: A record of taxa from field investigations. </w:t>
      </w:r>
      <w:r w:rsidRPr="00C33219">
        <w:rPr>
          <w:rFonts w:ascii="Times New Roman" w:hAnsi="Times New Roman"/>
          <w:i/>
          <w:sz w:val="20"/>
          <w:szCs w:val="20"/>
        </w:rPr>
        <w:t>15</w:t>
      </w:r>
      <w:r w:rsidRPr="00C33219">
        <w:rPr>
          <w:rFonts w:ascii="Times New Roman" w:hAnsi="Times New Roman"/>
          <w:i/>
          <w:sz w:val="20"/>
          <w:szCs w:val="20"/>
          <w:vertAlign w:val="superscript"/>
        </w:rPr>
        <w:t>th</w:t>
      </w:r>
      <w:r w:rsidRPr="00C33219">
        <w:rPr>
          <w:rFonts w:ascii="Times New Roman" w:hAnsi="Times New Roman"/>
          <w:i/>
          <w:sz w:val="20"/>
          <w:szCs w:val="20"/>
        </w:rPr>
        <w:t xml:space="preserve"> International Conference on Harmful Algae (ICHA), </w:t>
      </w:r>
      <w:r w:rsidRPr="00C33219">
        <w:rPr>
          <w:rFonts w:ascii="Times New Roman" w:hAnsi="Times New Roman"/>
          <w:iCs/>
          <w:sz w:val="20"/>
          <w:szCs w:val="20"/>
        </w:rPr>
        <w:t>2014: pp. 1-4.</w:t>
      </w:r>
    </w:p>
    <w:p w:rsidR="00571157" w:rsidRPr="00C33219" w:rsidRDefault="00571157" w:rsidP="00571157">
      <w:pPr>
        <w:pStyle w:val="BodyText"/>
        <w:numPr>
          <w:ilvl w:val="0"/>
          <w:numId w:val="5"/>
        </w:numPr>
        <w:ind w:left="360" w:right="95"/>
        <w:jc w:val="both"/>
        <w:rPr>
          <w:sz w:val="20"/>
          <w:szCs w:val="20"/>
        </w:rPr>
      </w:pPr>
      <w:r w:rsidRPr="00C33219">
        <w:rPr>
          <w:sz w:val="20"/>
          <w:szCs w:val="20"/>
        </w:rPr>
        <w:t xml:space="preserve">Zuki, H. M., Nasri, N. M., Muhammad, F. N., Jusoh, N. S., Ahmad, A., and Ariffin, M. M. (2019). Modification of gold screen printed electrode for the detection of toxic domoic acid. </w:t>
      </w:r>
      <w:r w:rsidRPr="00C33219">
        <w:rPr>
          <w:i/>
          <w:sz w:val="20"/>
          <w:szCs w:val="20"/>
        </w:rPr>
        <w:t>Malaysian Journal of Analytical Sciences</w:t>
      </w:r>
      <w:r w:rsidRPr="00C33219">
        <w:rPr>
          <w:sz w:val="20"/>
          <w:szCs w:val="20"/>
        </w:rPr>
        <w:t>, 23 (6): 991-1000.</w:t>
      </w:r>
    </w:p>
    <w:p w:rsidR="00571157" w:rsidRPr="00C33219" w:rsidRDefault="00571157" w:rsidP="00571157">
      <w:pPr>
        <w:pStyle w:val="ListParagraph"/>
        <w:numPr>
          <w:ilvl w:val="0"/>
          <w:numId w:val="5"/>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 xml:space="preserve">Friedman, M. (2004). Applications of the ninhydrin reaction for analysis of amino acids, peptides, and proteins to agricultural and biomedical sciences. </w:t>
      </w:r>
      <w:r w:rsidRPr="00C33219">
        <w:rPr>
          <w:rFonts w:ascii="Times New Roman" w:hAnsi="Times New Roman"/>
          <w:i/>
          <w:sz w:val="20"/>
          <w:szCs w:val="20"/>
        </w:rPr>
        <w:t>Journal of Agriculture and Food Chemistry</w:t>
      </w:r>
      <w:r w:rsidRPr="00C33219">
        <w:rPr>
          <w:rFonts w:ascii="Times New Roman" w:hAnsi="Times New Roman"/>
          <w:sz w:val="20"/>
          <w:szCs w:val="20"/>
        </w:rPr>
        <w:t>, 52: 385-406.</w:t>
      </w:r>
    </w:p>
    <w:p w:rsidR="00571157" w:rsidRPr="00C33219" w:rsidRDefault="00571157" w:rsidP="00571157">
      <w:pPr>
        <w:pStyle w:val="ListParagraph"/>
        <w:numPr>
          <w:ilvl w:val="0"/>
          <w:numId w:val="5"/>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 xml:space="preserve">Mos, L. (2001). Domoic acid: A fascinating marine toxin. </w:t>
      </w:r>
      <w:r w:rsidRPr="00C33219">
        <w:rPr>
          <w:rFonts w:ascii="Times New Roman" w:hAnsi="Times New Roman"/>
          <w:i/>
          <w:sz w:val="20"/>
          <w:szCs w:val="20"/>
        </w:rPr>
        <w:t>Environmental Toxicology and Pharmacology</w:t>
      </w:r>
      <w:r w:rsidRPr="00C33219">
        <w:rPr>
          <w:rFonts w:ascii="Times New Roman" w:hAnsi="Times New Roman"/>
          <w:sz w:val="20"/>
          <w:szCs w:val="20"/>
        </w:rPr>
        <w:t xml:space="preserve">, 9: 79-85. </w:t>
      </w:r>
    </w:p>
    <w:p w:rsidR="00571157" w:rsidRPr="00C33219" w:rsidRDefault="00571157" w:rsidP="00571157">
      <w:pPr>
        <w:pStyle w:val="ListParagraph"/>
        <w:numPr>
          <w:ilvl w:val="0"/>
          <w:numId w:val="5"/>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 xml:space="preserve">Saeed, A. F., Awan, S. A., Ling, S., Wang, R. and Wang, S. (2017). Domoic acid: Attributes, exposure risks, innovative detection techniques and therapeutics. </w:t>
      </w:r>
      <w:r w:rsidRPr="00C33219">
        <w:rPr>
          <w:rFonts w:ascii="Times New Roman" w:hAnsi="Times New Roman"/>
          <w:i/>
          <w:sz w:val="20"/>
          <w:szCs w:val="20"/>
        </w:rPr>
        <w:t>Algal Research</w:t>
      </w:r>
      <w:r w:rsidRPr="00C33219">
        <w:rPr>
          <w:rFonts w:ascii="Times New Roman" w:hAnsi="Times New Roman"/>
          <w:sz w:val="20"/>
          <w:szCs w:val="20"/>
        </w:rPr>
        <w:t>, 24: 97-110.</w:t>
      </w:r>
    </w:p>
    <w:p w:rsidR="00571157" w:rsidRPr="00C33219" w:rsidRDefault="00571157" w:rsidP="00571157">
      <w:pPr>
        <w:pStyle w:val="ListParagraph"/>
        <w:numPr>
          <w:ilvl w:val="0"/>
          <w:numId w:val="5"/>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 xml:space="preserve">Andjelkovic, M., Vandevijvere, S., Klaveren, J. V., Oyen, H. V., and Loco J. V. (2012). Exposure to domoic acid through shellfish consumption in Belgium. </w:t>
      </w:r>
      <w:r w:rsidRPr="00C33219">
        <w:rPr>
          <w:rFonts w:ascii="Times New Roman" w:hAnsi="Times New Roman"/>
          <w:i/>
          <w:sz w:val="20"/>
          <w:szCs w:val="20"/>
        </w:rPr>
        <w:t>Environment International</w:t>
      </w:r>
      <w:r w:rsidRPr="00C33219">
        <w:rPr>
          <w:rFonts w:ascii="Times New Roman" w:hAnsi="Times New Roman"/>
          <w:sz w:val="20"/>
          <w:szCs w:val="20"/>
        </w:rPr>
        <w:t>, 49: 115-119.</w:t>
      </w:r>
    </w:p>
    <w:p w:rsidR="00571157" w:rsidRPr="00C33219" w:rsidRDefault="00571157" w:rsidP="00571157">
      <w:pPr>
        <w:pStyle w:val="ListParagraph"/>
        <w:numPr>
          <w:ilvl w:val="0"/>
          <w:numId w:val="5"/>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Purves, D., Augustine, G. J.  Fitzpatrick, D., Katz, L. C., LaMantia, A. S., McNamara, J. O. and Williams, S. M. (2001). Neuroscience. htt</w:t>
      </w:r>
      <w:hyperlink r:id="rId6">
        <w:r w:rsidRPr="00C33219">
          <w:rPr>
            <w:rFonts w:ascii="Times New Roman" w:hAnsi="Times New Roman"/>
            <w:sz w:val="20"/>
            <w:szCs w:val="20"/>
          </w:rPr>
          <w:t>ps://www.ncbi.nlm.nih.gov/books/NBK10802/</w:t>
        </w:r>
      </w:hyperlink>
      <w:r w:rsidRPr="00C33219">
        <w:rPr>
          <w:rFonts w:ascii="Times New Roman" w:hAnsi="Times New Roman"/>
          <w:sz w:val="20"/>
          <w:szCs w:val="20"/>
        </w:rPr>
        <w:t xml:space="preserve"> [Accessed online 13</w:t>
      </w:r>
      <w:r w:rsidRPr="00C33219">
        <w:rPr>
          <w:rFonts w:ascii="Times New Roman" w:hAnsi="Times New Roman"/>
          <w:position w:val="9"/>
          <w:sz w:val="20"/>
          <w:szCs w:val="20"/>
        </w:rPr>
        <w:t xml:space="preserve"> </w:t>
      </w:r>
      <w:r w:rsidRPr="00C33219">
        <w:rPr>
          <w:rFonts w:ascii="Times New Roman" w:hAnsi="Times New Roman"/>
          <w:sz w:val="20"/>
          <w:szCs w:val="20"/>
        </w:rPr>
        <w:t>March 2018].</w:t>
      </w:r>
    </w:p>
    <w:p w:rsidR="00571157" w:rsidRPr="00C33219" w:rsidRDefault="00571157" w:rsidP="00571157">
      <w:pPr>
        <w:pStyle w:val="BodyText"/>
        <w:numPr>
          <w:ilvl w:val="0"/>
          <w:numId w:val="5"/>
        </w:numPr>
        <w:ind w:left="360" w:right="4"/>
        <w:jc w:val="both"/>
        <w:rPr>
          <w:sz w:val="20"/>
          <w:szCs w:val="20"/>
        </w:rPr>
      </w:pPr>
      <w:r w:rsidRPr="00C33219">
        <w:rPr>
          <w:sz w:val="20"/>
          <w:szCs w:val="20"/>
        </w:rPr>
        <w:t xml:space="preserve">Chelsea, A. B. and Shawn, C. B. (2017). The zinc paradigm for metalloneurochemistry. </w:t>
      </w:r>
      <w:r w:rsidRPr="00C33219">
        <w:rPr>
          <w:i/>
          <w:sz w:val="20"/>
          <w:szCs w:val="20"/>
        </w:rPr>
        <w:t>Essays in Biochemistry</w:t>
      </w:r>
      <w:r w:rsidRPr="00C33219">
        <w:rPr>
          <w:sz w:val="20"/>
          <w:szCs w:val="20"/>
        </w:rPr>
        <w:t>, 61(2): 225-235.</w:t>
      </w:r>
    </w:p>
    <w:p w:rsidR="00571157" w:rsidRPr="00C33219" w:rsidRDefault="00571157" w:rsidP="00571157">
      <w:pPr>
        <w:pStyle w:val="BodyText"/>
        <w:numPr>
          <w:ilvl w:val="0"/>
          <w:numId w:val="5"/>
        </w:numPr>
        <w:ind w:left="360" w:right="4"/>
        <w:jc w:val="both"/>
        <w:rPr>
          <w:sz w:val="20"/>
          <w:szCs w:val="20"/>
        </w:rPr>
      </w:pPr>
      <w:r w:rsidRPr="00C33219">
        <w:rPr>
          <w:sz w:val="20"/>
          <w:szCs w:val="20"/>
        </w:rPr>
        <w:t>Berman,</w:t>
      </w:r>
      <w:r w:rsidRPr="00C33219">
        <w:rPr>
          <w:spacing w:val="-14"/>
          <w:sz w:val="20"/>
          <w:szCs w:val="20"/>
        </w:rPr>
        <w:t xml:space="preserve"> </w:t>
      </w:r>
      <w:r w:rsidRPr="00C33219">
        <w:rPr>
          <w:sz w:val="20"/>
          <w:szCs w:val="20"/>
        </w:rPr>
        <w:t>F. W.,</w:t>
      </w:r>
      <w:r w:rsidRPr="00C33219">
        <w:rPr>
          <w:spacing w:val="-13"/>
          <w:sz w:val="20"/>
          <w:szCs w:val="20"/>
        </w:rPr>
        <w:t xml:space="preserve"> </w:t>
      </w:r>
      <w:r w:rsidRPr="00C33219">
        <w:rPr>
          <w:sz w:val="20"/>
          <w:szCs w:val="20"/>
        </w:rPr>
        <w:t>Murray,</w:t>
      </w:r>
      <w:r w:rsidRPr="00C33219">
        <w:rPr>
          <w:spacing w:val="-13"/>
          <w:sz w:val="20"/>
          <w:szCs w:val="20"/>
        </w:rPr>
        <w:t xml:space="preserve"> </w:t>
      </w:r>
      <w:r w:rsidRPr="00C33219">
        <w:rPr>
          <w:sz w:val="20"/>
          <w:szCs w:val="20"/>
        </w:rPr>
        <w:t>T. F.</w:t>
      </w:r>
      <w:r w:rsidRPr="00C33219">
        <w:rPr>
          <w:spacing w:val="-11"/>
          <w:sz w:val="20"/>
          <w:szCs w:val="20"/>
        </w:rPr>
        <w:t xml:space="preserve"> </w:t>
      </w:r>
      <w:r w:rsidRPr="00C33219">
        <w:rPr>
          <w:sz w:val="20"/>
          <w:szCs w:val="20"/>
        </w:rPr>
        <w:t>and</w:t>
      </w:r>
      <w:r w:rsidRPr="00C33219">
        <w:rPr>
          <w:spacing w:val="-13"/>
          <w:sz w:val="20"/>
          <w:szCs w:val="20"/>
        </w:rPr>
        <w:t xml:space="preserve"> </w:t>
      </w:r>
      <w:r w:rsidRPr="00C33219">
        <w:rPr>
          <w:sz w:val="20"/>
          <w:szCs w:val="20"/>
        </w:rPr>
        <w:t>Lepage,</w:t>
      </w:r>
      <w:r w:rsidRPr="00C33219">
        <w:rPr>
          <w:spacing w:val="-11"/>
          <w:sz w:val="20"/>
          <w:szCs w:val="20"/>
        </w:rPr>
        <w:t xml:space="preserve"> </w:t>
      </w:r>
      <w:r w:rsidRPr="00C33219">
        <w:rPr>
          <w:sz w:val="20"/>
          <w:szCs w:val="20"/>
        </w:rPr>
        <w:t>K. T.</w:t>
      </w:r>
      <w:r w:rsidRPr="00C33219">
        <w:rPr>
          <w:spacing w:val="-13"/>
          <w:sz w:val="20"/>
          <w:szCs w:val="20"/>
        </w:rPr>
        <w:t xml:space="preserve"> </w:t>
      </w:r>
      <w:r w:rsidRPr="00C33219">
        <w:rPr>
          <w:sz w:val="20"/>
          <w:szCs w:val="20"/>
        </w:rPr>
        <w:t>(2002).</w:t>
      </w:r>
      <w:r w:rsidRPr="00C33219">
        <w:rPr>
          <w:spacing w:val="-14"/>
          <w:sz w:val="20"/>
          <w:szCs w:val="20"/>
        </w:rPr>
        <w:t xml:space="preserve"> </w:t>
      </w:r>
      <w:r w:rsidRPr="00C33219">
        <w:rPr>
          <w:sz w:val="20"/>
          <w:szCs w:val="20"/>
        </w:rPr>
        <w:t>Domoic</w:t>
      </w:r>
      <w:r w:rsidRPr="00C33219">
        <w:rPr>
          <w:spacing w:val="-14"/>
          <w:sz w:val="20"/>
          <w:szCs w:val="20"/>
        </w:rPr>
        <w:t xml:space="preserve"> </w:t>
      </w:r>
      <w:r w:rsidRPr="00C33219">
        <w:rPr>
          <w:sz w:val="20"/>
          <w:szCs w:val="20"/>
        </w:rPr>
        <w:t>acid</w:t>
      </w:r>
      <w:r w:rsidRPr="00C33219">
        <w:rPr>
          <w:spacing w:val="-13"/>
          <w:sz w:val="20"/>
          <w:szCs w:val="20"/>
        </w:rPr>
        <w:t xml:space="preserve"> </w:t>
      </w:r>
      <w:r w:rsidRPr="00C33219">
        <w:rPr>
          <w:sz w:val="20"/>
          <w:szCs w:val="20"/>
        </w:rPr>
        <w:t>neurotoxicity</w:t>
      </w:r>
      <w:r w:rsidRPr="00C33219">
        <w:rPr>
          <w:spacing w:val="-18"/>
          <w:sz w:val="20"/>
          <w:szCs w:val="20"/>
        </w:rPr>
        <w:t xml:space="preserve"> </w:t>
      </w:r>
      <w:r w:rsidRPr="00C33219">
        <w:rPr>
          <w:sz w:val="20"/>
          <w:szCs w:val="20"/>
        </w:rPr>
        <w:t>in</w:t>
      </w:r>
      <w:r w:rsidRPr="00C33219">
        <w:rPr>
          <w:spacing w:val="-11"/>
          <w:sz w:val="20"/>
          <w:szCs w:val="20"/>
        </w:rPr>
        <w:t xml:space="preserve"> </w:t>
      </w:r>
      <w:r w:rsidRPr="00C33219">
        <w:rPr>
          <w:sz w:val="20"/>
          <w:szCs w:val="20"/>
        </w:rPr>
        <w:t>cultured cerebellar granule neurons is controlled preferentially by the NMDA receptor</w:t>
      </w:r>
      <w:r w:rsidRPr="00C33219">
        <w:rPr>
          <w:spacing w:val="-31"/>
          <w:sz w:val="20"/>
          <w:szCs w:val="20"/>
        </w:rPr>
        <w:t xml:space="preserve">  </w:t>
      </w:r>
      <w:r w:rsidRPr="00C33219">
        <w:rPr>
          <w:sz w:val="20"/>
          <w:szCs w:val="20"/>
        </w:rPr>
        <w:t>Ca</w:t>
      </w:r>
      <w:r w:rsidRPr="00C33219">
        <w:rPr>
          <w:position w:val="9"/>
          <w:sz w:val="20"/>
          <w:szCs w:val="20"/>
          <w:vertAlign w:val="superscript"/>
        </w:rPr>
        <w:t>2+</w:t>
      </w:r>
      <w:r w:rsidRPr="00C33219">
        <w:rPr>
          <w:position w:val="9"/>
          <w:sz w:val="20"/>
          <w:szCs w:val="20"/>
        </w:rPr>
        <w:t xml:space="preserve"> </w:t>
      </w:r>
      <w:r w:rsidRPr="00C33219">
        <w:rPr>
          <w:sz w:val="20"/>
          <w:szCs w:val="20"/>
        </w:rPr>
        <w:t xml:space="preserve">influx pathway. </w:t>
      </w:r>
      <w:r w:rsidRPr="00C33219">
        <w:rPr>
          <w:i/>
          <w:sz w:val="20"/>
          <w:szCs w:val="20"/>
        </w:rPr>
        <w:t>Brain Research</w:t>
      </w:r>
      <w:r w:rsidRPr="00C33219">
        <w:rPr>
          <w:sz w:val="20"/>
          <w:szCs w:val="20"/>
        </w:rPr>
        <w:t>, 924(1):</w:t>
      </w:r>
      <w:r w:rsidRPr="00C33219">
        <w:rPr>
          <w:spacing w:val="2"/>
          <w:sz w:val="20"/>
          <w:szCs w:val="20"/>
        </w:rPr>
        <w:t xml:space="preserve"> </w:t>
      </w:r>
      <w:r w:rsidRPr="00C33219">
        <w:rPr>
          <w:sz w:val="20"/>
          <w:szCs w:val="20"/>
        </w:rPr>
        <w:t>20-29.</w:t>
      </w:r>
    </w:p>
    <w:p w:rsidR="00571157" w:rsidRPr="00C33219" w:rsidRDefault="00571157" w:rsidP="00571157">
      <w:pPr>
        <w:pStyle w:val="BodyText"/>
        <w:numPr>
          <w:ilvl w:val="0"/>
          <w:numId w:val="5"/>
        </w:numPr>
        <w:ind w:left="360" w:right="4"/>
        <w:jc w:val="both"/>
        <w:rPr>
          <w:sz w:val="20"/>
          <w:szCs w:val="20"/>
        </w:rPr>
      </w:pPr>
      <w:r w:rsidRPr="00C33219">
        <w:rPr>
          <w:sz w:val="20"/>
          <w:szCs w:val="20"/>
        </w:rPr>
        <w:t xml:space="preserve">Berman, F. W. and Murray, T. F. (1997). Domoic acid neurotoxicity in cultured cerebellar granule neurons is mediated predominately by NMDA receptors that are activated as a consequence of excitatory amino acid release. </w:t>
      </w:r>
      <w:r w:rsidRPr="00C33219">
        <w:rPr>
          <w:i/>
          <w:sz w:val="20"/>
          <w:szCs w:val="20"/>
        </w:rPr>
        <w:t xml:space="preserve">Journal of Neurochemistry, </w:t>
      </w:r>
      <w:r w:rsidRPr="00C33219">
        <w:rPr>
          <w:sz w:val="20"/>
          <w:szCs w:val="20"/>
        </w:rPr>
        <w:t>69(2): 693-703.</w:t>
      </w:r>
    </w:p>
    <w:p w:rsidR="00571157" w:rsidRPr="00C33219" w:rsidRDefault="00571157" w:rsidP="00571157">
      <w:pPr>
        <w:pStyle w:val="BodyText"/>
        <w:numPr>
          <w:ilvl w:val="0"/>
          <w:numId w:val="5"/>
        </w:numPr>
        <w:ind w:left="360" w:right="95"/>
        <w:jc w:val="both"/>
        <w:rPr>
          <w:sz w:val="20"/>
          <w:szCs w:val="20"/>
        </w:rPr>
      </w:pPr>
      <w:r w:rsidRPr="00C33219">
        <w:rPr>
          <w:sz w:val="20"/>
          <w:szCs w:val="20"/>
        </w:rPr>
        <w:t xml:space="preserve">Suriyanti, S. N. and Usup, G. (2015). First report of the toxigenic </w:t>
      </w:r>
      <w:r w:rsidRPr="00C33219">
        <w:rPr>
          <w:i/>
          <w:sz w:val="20"/>
          <w:szCs w:val="20"/>
        </w:rPr>
        <w:t xml:space="preserve">Nitzschia Navis-Varingica </w:t>
      </w:r>
      <w:r w:rsidRPr="00C33219">
        <w:rPr>
          <w:sz w:val="20"/>
          <w:szCs w:val="20"/>
        </w:rPr>
        <w:t xml:space="preserve">(Bacillariophyceae) isolated from Tebrau Straits, Johor, Malaysia. </w:t>
      </w:r>
      <w:r w:rsidRPr="00C33219">
        <w:rPr>
          <w:i/>
          <w:sz w:val="20"/>
          <w:szCs w:val="20"/>
        </w:rPr>
        <w:t>Toxicon</w:t>
      </w:r>
      <w:r w:rsidRPr="00C33219">
        <w:rPr>
          <w:sz w:val="20"/>
          <w:szCs w:val="20"/>
        </w:rPr>
        <w:t>, 108: 257-263.</w:t>
      </w:r>
    </w:p>
    <w:p w:rsidR="00571157" w:rsidRPr="00C33219" w:rsidRDefault="00571157" w:rsidP="00571157">
      <w:pPr>
        <w:pStyle w:val="BodyText"/>
        <w:numPr>
          <w:ilvl w:val="0"/>
          <w:numId w:val="5"/>
        </w:numPr>
        <w:ind w:left="360" w:right="95"/>
        <w:jc w:val="both"/>
        <w:rPr>
          <w:sz w:val="20"/>
          <w:szCs w:val="20"/>
        </w:rPr>
      </w:pPr>
      <w:r w:rsidRPr="00C33219">
        <w:rPr>
          <w:sz w:val="20"/>
          <w:szCs w:val="20"/>
        </w:rPr>
        <w:t xml:space="preserve">Aulakh, J. S., Malik, A. K., Varinder, K. and Philippe, S. K. (2005). A review on solid phase micro extraction-high performance liquid chromatography (SPME-HPLC) analysis of pesticides. </w:t>
      </w:r>
      <w:r w:rsidRPr="00C33219">
        <w:rPr>
          <w:i/>
          <w:sz w:val="20"/>
          <w:szCs w:val="20"/>
        </w:rPr>
        <w:t>Critical Reviews in Analytical Chemistry</w:t>
      </w:r>
      <w:r w:rsidRPr="00C33219">
        <w:rPr>
          <w:sz w:val="20"/>
          <w:szCs w:val="20"/>
        </w:rPr>
        <w:t>, 35: 71-85.</w:t>
      </w:r>
    </w:p>
    <w:p w:rsidR="00571157" w:rsidRPr="00C33219" w:rsidRDefault="00571157" w:rsidP="00571157">
      <w:pPr>
        <w:pStyle w:val="BodyText"/>
        <w:numPr>
          <w:ilvl w:val="0"/>
          <w:numId w:val="5"/>
        </w:numPr>
        <w:ind w:left="360" w:right="4"/>
        <w:jc w:val="both"/>
        <w:rPr>
          <w:sz w:val="20"/>
          <w:szCs w:val="20"/>
        </w:rPr>
      </w:pPr>
      <w:r w:rsidRPr="00C33219">
        <w:rPr>
          <w:sz w:val="20"/>
          <w:szCs w:val="20"/>
          <w:shd w:val="clear" w:color="auto" w:fill="FFFFFF"/>
        </w:rPr>
        <w:t xml:space="preserve">Alexander, J., Benford, D., Boobis, A., Ceccatelli, S., Cravedi, J. P., Domenico, A. D., Doerge, D., Dogliotti, E., Edler, L., Farmer, P., Filipic, M., Gremmels, J. F., Fürst, P., Guerin, T., Knutsen, H. K., Livesey, C.  Machala, M., Mutti, A., Schlatter, J., Leeuwen, R. V. and Verger, P. </w:t>
      </w:r>
      <w:r w:rsidRPr="00C33219">
        <w:rPr>
          <w:sz w:val="20"/>
          <w:szCs w:val="20"/>
        </w:rPr>
        <w:t xml:space="preserve">(2009). Marine biotoxins in shellfish – domoic acid. </w:t>
      </w:r>
      <w:r w:rsidRPr="00C33219">
        <w:rPr>
          <w:i/>
          <w:sz w:val="20"/>
          <w:szCs w:val="20"/>
        </w:rPr>
        <w:t xml:space="preserve">The EFSA Journal. </w:t>
      </w:r>
      <w:r w:rsidRPr="00C33219">
        <w:rPr>
          <w:sz w:val="20"/>
          <w:szCs w:val="20"/>
        </w:rPr>
        <w:t>1181: 1-61.</w:t>
      </w:r>
    </w:p>
    <w:p w:rsidR="00571157" w:rsidRPr="00C33219" w:rsidRDefault="00571157" w:rsidP="00571157">
      <w:pPr>
        <w:pStyle w:val="BodyText"/>
        <w:numPr>
          <w:ilvl w:val="0"/>
          <w:numId w:val="5"/>
        </w:numPr>
        <w:ind w:left="360" w:right="-46"/>
        <w:jc w:val="both"/>
        <w:rPr>
          <w:sz w:val="20"/>
          <w:szCs w:val="20"/>
        </w:rPr>
      </w:pPr>
      <w:r w:rsidRPr="00C33219">
        <w:rPr>
          <w:sz w:val="20"/>
          <w:szCs w:val="20"/>
        </w:rPr>
        <w:t>Yu, F.</w:t>
      </w:r>
      <w:r w:rsidRPr="00C33219" w:rsidDel="0064138B">
        <w:rPr>
          <w:sz w:val="20"/>
          <w:szCs w:val="20"/>
        </w:rPr>
        <w:t xml:space="preserve"> </w:t>
      </w:r>
      <w:r w:rsidRPr="00C33219">
        <w:rPr>
          <w:sz w:val="20"/>
          <w:szCs w:val="20"/>
        </w:rPr>
        <w:t>Y., Liu, B.</w:t>
      </w:r>
      <w:r w:rsidRPr="00C33219" w:rsidDel="0064138B">
        <w:rPr>
          <w:sz w:val="20"/>
          <w:szCs w:val="20"/>
        </w:rPr>
        <w:t xml:space="preserve"> </w:t>
      </w:r>
      <w:r w:rsidRPr="00C33219">
        <w:rPr>
          <w:sz w:val="20"/>
          <w:szCs w:val="20"/>
        </w:rPr>
        <w:t>H., Wu, T.</w:t>
      </w:r>
      <w:r w:rsidRPr="00C33219" w:rsidDel="0064138B">
        <w:rPr>
          <w:sz w:val="20"/>
          <w:szCs w:val="20"/>
        </w:rPr>
        <w:t xml:space="preserve"> </w:t>
      </w:r>
      <w:r w:rsidRPr="00C33219">
        <w:rPr>
          <w:sz w:val="20"/>
          <w:szCs w:val="20"/>
        </w:rPr>
        <w:t>S., Chi, T. F. and Su, M.</w:t>
      </w:r>
      <w:r w:rsidRPr="00C33219" w:rsidDel="0064138B">
        <w:rPr>
          <w:sz w:val="20"/>
          <w:szCs w:val="20"/>
        </w:rPr>
        <w:t xml:space="preserve"> </w:t>
      </w:r>
      <w:r w:rsidRPr="00C33219">
        <w:rPr>
          <w:sz w:val="20"/>
          <w:szCs w:val="20"/>
        </w:rPr>
        <w:t xml:space="preserve">C. (2004). Development of a sensitive enzyme-linked immunosorbent assay for the determination of domoic acid in shellfish. </w:t>
      </w:r>
      <w:r w:rsidRPr="00C33219">
        <w:rPr>
          <w:i/>
          <w:sz w:val="20"/>
          <w:szCs w:val="20"/>
        </w:rPr>
        <w:t xml:space="preserve">Journal of Agricultural and Food Chemistry, </w:t>
      </w:r>
      <w:r w:rsidRPr="00C33219">
        <w:rPr>
          <w:sz w:val="20"/>
          <w:szCs w:val="20"/>
        </w:rPr>
        <w:t>52(17): 5334-5339.</w:t>
      </w:r>
    </w:p>
    <w:p w:rsidR="00571157" w:rsidRPr="00C33219" w:rsidRDefault="00571157" w:rsidP="00571157">
      <w:pPr>
        <w:pStyle w:val="ListParagraph"/>
        <w:numPr>
          <w:ilvl w:val="0"/>
          <w:numId w:val="5"/>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Kleivdal, H., Kristiansen, S.</w:t>
      </w:r>
      <w:r w:rsidRPr="00C33219" w:rsidDel="00DF36A6">
        <w:rPr>
          <w:rFonts w:ascii="Times New Roman" w:hAnsi="Times New Roman"/>
          <w:sz w:val="20"/>
          <w:szCs w:val="20"/>
        </w:rPr>
        <w:t xml:space="preserve"> </w:t>
      </w:r>
      <w:r w:rsidRPr="00C33219">
        <w:rPr>
          <w:rFonts w:ascii="Times New Roman" w:hAnsi="Times New Roman"/>
          <w:sz w:val="20"/>
          <w:szCs w:val="20"/>
        </w:rPr>
        <w:t xml:space="preserve">I., Nilsen, M. V., Goksoyr, A., Briggs, l., Holland, P. and McNabb, P. (2007). Determination of domoic acid toxins in shellfish by biosense ASP ELISA – a direct competitive enzyme-linked immunosorbent assay: Collaborative study. </w:t>
      </w:r>
      <w:r w:rsidRPr="00C33219">
        <w:rPr>
          <w:rFonts w:ascii="Times New Roman" w:hAnsi="Times New Roman"/>
          <w:i/>
          <w:sz w:val="20"/>
          <w:szCs w:val="20"/>
        </w:rPr>
        <w:t xml:space="preserve">Journal of AOAC International, </w:t>
      </w:r>
      <w:r w:rsidRPr="00C33219">
        <w:rPr>
          <w:rFonts w:ascii="Times New Roman" w:hAnsi="Times New Roman"/>
          <w:sz w:val="20"/>
          <w:szCs w:val="20"/>
        </w:rPr>
        <w:t>90(4): 1011-1027.</w:t>
      </w:r>
    </w:p>
    <w:p w:rsidR="00571157" w:rsidRPr="00C33219" w:rsidRDefault="00571157" w:rsidP="00571157">
      <w:pPr>
        <w:pStyle w:val="ListParagraph"/>
        <w:numPr>
          <w:ilvl w:val="0"/>
          <w:numId w:val="5"/>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 xml:space="preserve">Crowther, J. R. (2009). </w:t>
      </w:r>
      <w:r w:rsidRPr="00C33219">
        <w:rPr>
          <w:rFonts w:ascii="Times New Roman" w:hAnsi="Times New Roman"/>
          <w:iCs/>
          <w:sz w:val="20"/>
          <w:szCs w:val="20"/>
        </w:rPr>
        <w:t>The ELISA Guidebook</w:t>
      </w:r>
      <w:r w:rsidRPr="00C33219">
        <w:rPr>
          <w:rFonts w:ascii="Times New Roman" w:hAnsi="Times New Roman"/>
          <w:sz w:val="20"/>
          <w:szCs w:val="20"/>
        </w:rPr>
        <w:t xml:space="preserve"> (2</w:t>
      </w:r>
      <w:r w:rsidRPr="00C33219">
        <w:rPr>
          <w:rFonts w:ascii="Times New Roman" w:hAnsi="Times New Roman"/>
          <w:sz w:val="20"/>
          <w:szCs w:val="20"/>
          <w:vertAlign w:val="superscript"/>
        </w:rPr>
        <w:t>nd</w:t>
      </w:r>
      <w:r w:rsidRPr="00C33219">
        <w:rPr>
          <w:rFonts w:ascii="Times New Roman" w:hAnsi="Times New Roman"/>
          <w:sz w:val="20"/>
          <w:szCs w:val="20"/>
        </w:rPr>
        <w:t xml:space="preserve"> Edition). Humana Press, New Jersey: pp 43-78.</w:t>
      </w:r>
    </w:p>
    <w:p w:rsidR="00571157" w:rsidRPr="00C33219" w:rsidRDefault="00571157" w:rsidP="00571157">
      <w:pPr>
        <w:pStyle w:val="BodyText"/>
        <w:numPr>
          <w:ilvl w:val="0"/>
          <w:numId w:val="5"/>
        </w:numPr>
        <w:ind w:left="360" w:right="4"/>
        <w:jc w:val="both"/>
        <w:rPr>
          <w:sz w:val="20"/>
          <w:szCs w:val="20"/>
        </w:rPr>
      </w:pPr>
      <w:r w:rsidRPr="000B4DEA">
        <w:rPr>
          <w:rFonts w:eastAsiaTheme="majorEastAsia"/>
          <w:sz w:val="20"/>
          <w:szCs w:val="20"/>
        </w:rPr>
        <w:lastRenderedPageBreak/>
        <w:t>Dmitriev, A. D</w:t>
      </w:r>
      <w:r w:rsidRPr="00C33219">
        <w:rPr>
          <w:sz w:val="20"/>
          <w:szCs w:val="20"/>
        </w:rPr>
        <w:t>.</w:t>
      </w:r>
      <w:r w:rsidRPr="00C33219">
        <w:rPr>
          <w:sz w:val="20"/>
          <w:szCs w:val="20"/>
          <w:shd w:val="clear" w:color="auto" w:fill="FFFFFF"/>
        </w:rPr>
        <w:t>, </w:t>
      </w:r>
      <w:r w:rsidRPr="000B4DEA">
        <w:rPr>
          <w:rFonts w:eastAsiaTheme="majorEastAsia"/>
          <w:sz w:val="20"/>
          <w:szCs w:val="20"/>
        </w:rPr>
        <w:t>Tarakanova, J. N</w:t>
      </w:r>
      <w:r w:rsidRPr="00C33219">
        <w:rPr>
          <w:sz w:val="20"/>
          <w:szCs w:val="20"/>
        </w:rPr>
        <w:t>.</w:t>
      </w:r>
      <w:r w:rsidRPr="00C33219">
        <w:rPr>
          <w:sz w:val="20"/>
          <w:szCs w:val="20"/>
          <w:shd w:val="clear" w:color="auto" w:fill="FFFFFF"/>
        </w:rPr>
        <w:t>, </w:t>
      </w:r>
      <w:r w:rsidRPr="000B4DEA">
        <w:rPr>
          <w:rFonts w:eastAsiaTheme="majorEastAsia"/>
          <w:sz w:val="20"/>
          <w:szCs w:val="20"/>
        </w:rPr>
        <w:t>Yakovleva, D. A</w:t>
      </w:r>
      <w:r w:rsidRPr="00C33219">
        <w:rPr>
          <w:sz w:val="20"/>
          <w:szCs w:val="20"/>
        </w:rPr>
        <w:t>.</w:t>
      </w:r>
      <w:r w:rsidRPr="00C33219">
        <w:rPr>
          <w:sz w:val="20"/>
          <w:szCs w:val="20"/>
          <w:shd w:val="clear" w:color="auto" w:fill="FFFFFF"/>
        </w:rPr>
        <w:t>, </w:t>
      </w:r>
      <w:r w:rsidRPr="000B4DEA">
        <w:rPr>
          <w:rFonts w:eastAsiaTheme="majorEastAsia"/>
          <w:sz w:val="20"/>
          <w:szCs w:val="20"/>
        </w:rPr>
        <w:t>Dmitriev, D. A</w:t>
      </w:r>
      <w:r w:rsidRPr="00C33219">
        <w:rPr>
          <w:sz w:val="20"/>
          <w:szCs w:val="20"/>
        </w:rPr>
        <w:t>.</w:t>
      </w:r>
      <w:r w:rsidRPr="00C33219">
        <w:rPr>
          <w:sz w:val="20"/>
          <w:szCs w:val="20"/>
          <w:shd w:val="clear" w:color="auto" w:fill="FFFFFF"/>
        </w:rPr>
        <w:t>, </w:t>
      </w:r>
      <w:r w:rsidRPr="000B4DEA">
        <w:rPr>
          <w:rFonts w:eastAsiaTheme="majorEastAsia"/>
          <w:sz w:val="20"/>
          <w:szCs w:val="20"/>
        </w:rPr>
        <w:t>Phartooshnaya, O. V</w:t>
      </w:r>
      <w:r w:rsidRPr="00C33219">
        <w:rPr>
          <w:sz w:val="20"/>
          <w:szCs w:val="20"/>
        </w:rPr>
        <w:t>.</w:t>
      </w:r>
      <w:r w:rsidRPr="00C33219">
        <w:rPr>
          <w:sz w:val="20"/>
          <w:szCs w:val="20"/>
          <w:shd w:val="clear" w:color="auto" w:fill="FFFFFF"/>
        </w:rPr>
        <w:t>, </w:t>
      </w:r>
      <w:r w:rsidRPr="000B4DEA">
        <w:rPr>
          <w:rFonts w:eastAsiaTheme="majorEastAsia"/>
          <w:sz w:val="20"/>
          <w:szCs w:val="20"/>
        </w:rPr>
        <w:t>Kolyaskina, G. I</w:t>
      </w:r>
      <w:r w:rsidRPr="00C33219">
        <w:rPr>
          <w:sz w:val="20"/>
          <w:szCs w:val="20"/>
        </w:rPr>
        <w:t>.</w:t>
      </w:r>
      <w:r w:rsidRPr="00C33219">
        <w:rPr>
          <w:sz w:val="20"/>
          <w:szCs w:val="20"/>
          <w:shd w:val="clear" w:color="auto" w:fill="FFFFFF"/>
        </w:rPr>
        <w:t>, </w:t>
      </w:r>
      <w:r w:rsidRPr="000B4DEA">
        <w:rPr>
          <w:rFonts w:eastAsiaTheme="majorEastAsia"/>
          <w:sz w:val="20"/>
          <w:szCs w:val="20"/>
        </w:rPr>
        <w:t>Massino, Y. S</w:t>
      </w:r>
      <w:r w:rsidRPr="00C33219">
        <w:rPr>
          <w:sz w:val="20"/>
          <w:szCs w:val="20"/>
        </w:rPr>
        <w:t>.</w:t>
      </w:r>
      <w:r w:rsidRPr="00C33219">
        <w:rPr>
          <w:sz w:val="20"/>
          <w:szCs w:val="20"/>
          <w:shd w:val="clear" w:color="auto" w:fill="FFFFFF"/>
        </w:rPr>
        <w:t>, </w:t>
      </w:r>
      <w:r w:rsidRPr="000B4DEA">
        <w:rPr>
          <w:rFonts w:eastAsiaTheme="majorEastAsia"/>
          <w:sz w:val="20"/>
          <w:szCs w:val="20"/>
        </w:rPr>
        <w:t>Borisova, O. V</w:t>
      </w:r>
      <w:r w:rsidRPr="00C33219">
        <w:rPr>
          <w:sz w:val="20"/>
          <w:szCs w:val="20"/>
        </w:rPr>
        <w:t>.</w:t>
      </w:r>
      <w:r w:rsidRPr="00C33219">
        <w:rPr>
          <w:sz w:val="20"/>
          <w:szCs w:val="20"/>
          <w:shd w:val="clear" w:color="auto" w:fill="FFFFFF"/>
        </w:rPr>
        <w:t>, </w:t>
      </w:r>
      <w:r w:rsidRPr="000B4DEA">
        <w:rPr>
          <w:rFonts w:eastAsiaTheme="majorEastAsia"/>
          <w:sz w:val="20"/>
          <w:szCs w:val="20"/>
        </w:rPr>
        <w:t>Segal, O. L</w:t>
      </w:r>
      <w:r w:rsidRPr="00C33219">
        <w:rPr>
          <w:sz w:val="20"/>
          <w:szCs w:val="20"/>
        </w:rPr>
        <w:t>.</w:t>
      </w:r>
      <w:r w:rsidRPr="00C33219">
        <w:rPr>
          <w:sz w:val="20"/>
          <w:szCs w:val="20"/>
          <w:shd w:val="clear" w:color="auto" w:fill="FFFFFF"/>
        </w:rPr>
        <w:t>, </w:t>
      </w:r>
      <w:r w:rsidRPr="000B4DEA">
        <w:rPr>
          <w:rFonts w:eastAsiaTheme="majorEastAsia"/>
          <w:sz w:val="20"/>
          <w:szCs w:val="20"/>
        </w:rPr>
        <w:t>Smirnova, M. B</w:t>
      </w:r>
      <w:r w:rsidRPr="00C33219">
        <w:rPr>
          <w:sz w:val="20"/>
          <w:szCs w:val="20"/>
        </w:rPr>
        <w:t>.</w:t>
      </w:r>
      <w:r w:rsidRPr="00C33219">
        <w:rPr>
          <w:sz w:val="20"/>
          <w:szCs w:val="20"/>
          <w:shd w:val="clear" w:color="auto" w:fill="FFFFFF"/>
        </w:rPr>
        <w:t>, </w:t>
      </w:r>
      <w:r w:rsidRPr="000B4DEA">
        <w:rPr>
          <w:rFonts w:eastAsiaTheme="majorEastAsia"/>
          <w:sz w:val="20"/>
          <w:szCs w:val="20"/>
        </w:rPr>
        <w:t>Ulanova, T. I</w:t>
      </w:r>
      <w:r w:rsidRPr="00C33219">
        <w:rPr>
          <w:sz w:val="20"/>
          <w:szCs w:val="20"/>
        </w:rPr>
        <w:t>.</w:t>
      </w:r>
      <w:r w:rsidRPr="00C33219">
        <w:rPr>
          <w:sz w:val="20"/>
          <w:szCs w:val="20"/>
          <w:shd w:val="clear" w:color="auto" w:fill="FFFFFF"/>
        </w:rPr>
        <w:t xml:space="preserve"> and </w:t>
      </w:r>
      <w:r w:rsidRPr="000B4DEA">
        <w:rPr>
          <w:rFonts w:eastAsiaTheme="majorEastAsia"/>
          <w:sz w:val="20"/>
          <w:szCs w:val="20"/>
        </w:rPr>
        <w:t>Lavrov, V. F</w:t>
      </w:r>
      <w:r w:rsidRPr="00C33219">
        <w:rPr>
          <w:sz w:val="20"/>
          <w:szCs w:val="20"/>
        </w:rPr>
        <w:t>.</w:t>
      </w:r>
      <w:r w:rsidRPr="00C33219">
        <w:rPr>
          <w:spacing w:val="-17"/>
          <w:sz w:val="20"/>
          <w:szCs w:val="20"/>
        </w:rPr>
        <w:t xml:space="preserve"> </w:t>
      </w:r>
      <w:r w:rsidRPr="00C33219">
        <w:rPr>
          <w:sz w:val="20"/>
          <w:szCs w:val="20"/>
        </w:rPr>
        <w:t xml:space="preserve">(2013). Monoclonal antibodies requiring coating buffer with low pH for efficient antigen capture in sandwich ELISA: rarities or practically important phenomena? </w:t>
      </w:r>
      <w:r w:rsidRPr="00C33219">
        <w:rPr>
          <w:i/>
          <w:sz w:val="20"/>
          <w:szCs w:val="20"/>
        </w:rPr>
        <w:t>Journal Immunoassay Immunochemistry</w:t>
      </w:r>
      <w:r w:rsidRPr="00C33219">
        <w:rPr>
          <w:sz w:val="20"/>
          <w:szCs w:val="20"/>
        </w:rPr>
        <w:t>, 34(4): 414-437.</w:t>
      </w:r>
    </w:p>
    <w:p w:rsidR="00571157" w:rsidRPr="00C33219" w:rsidRDefault="00571157" w:rsidP="00571157">
      <w:pPr>
        <w:pStyle w:val="BodyText"/>
        <w:numPr>
          <w:ilvl w:val="0"/>
          <w:numId w:val="5"/>
        </w:numPr>
        <w:ind w:left="360" w:right="-46"/>
        <w:jc w:val="both"/>
        <w:rPr>
          <w:spacing w:val="-3"/>
          <w:w w:val="99"/>
          <w:sz w:val="20"/>
          <w:szCs w:val="20"/>
        </w:rPr>
      </w:pPr>
      <w:r w:rsidRPr="00C33219">
        <w:rPr>
          <w:sz w:val="20"/>
          <w:szCs w:val="20"/>
        </w:rPr>
        <w:t>Xiao, Y. and Isaacs, S. N. (2012). Enzyme-linked immunosorbent</w:t>
      </w:r>
      <w:r w:rsidRPr="00C33219">
        <w:rPr>
          <w:spacing w:val="-6"/>
          <w:sz w:val="20"/>
          <w:szCs w:val="20"/>
        </w:rPr>
        <w:t xml:space="preserve"> </w:t>
      </w:r>
      <w:r w:rsidRPr="00C33219">
        <w:rPr>
          <w:sz w:val="20"/>
          <w:szCs w:val="20"/>
        </w:rPr>
        <w:t>assay (ELISA)</w:t>
      </w:r>
      <w:r w:rsidRPr="00C33219">
        <w:rPr>
          <w:spacing w:val="38"/>
          <w:sz w:val="20"/>
          <w:szCs w:val="20"/>
        </w:rPr>
        <w:t xml:space="preserve"> </w:t>
      </w:r>
      <w:r w:rsidRPr="00C33219">
        <w:rPr>
          <w:sz w:val="20"/>
          <w:szCs w:val="20"/>
        </w:rPr>
        <w:t>and blocking</w:t>
      </w:r>
      <w:r w:rsidRPr="00C33219">
        <w:rPr>
          <w:spacing w:val="-11"/>
          <w:sz w:val="20"/>
          <w:szCs w:val="20"/>
        </w:rPr>
        <w:t xml:space="preserve"> </w:t>
      </w:r>
      <w:r w:rsidRPr="00C33219">
        <w:rPr>
          <w:sz w:val="20"/>
          <w:szCs w:val="20"/>
        </w:rPr>
        <w:t>with</w:t>
      </w:r>
      <w:r w:rsidRPr="00C33219">
        <w:rPr>
          <w:spacing w:val="-10"/>
          <w:sz w:val="20"/>
          <w:szCs w:val="20"/>
        </w:rPr>
        <w:t xml:space="preserve"> </w:t>
      </w:r>
      <w:r w:rsidRPr="00C33219">
        <w:rPr>
          <w:sz w:val="20"/>
          <w:szCs w:val="20"/>
        </w:rPr>
        <w:t>bovine</w:t>
      </w:r>
      <w:r w:rsidRPr="00C33219">
        <w:rPr>
          <w:spacing w:val="-11"/>
          <w:sz w:val="20"/>
          <w:szCs w:val="20"/>
        </w:rPr>
        <w:t xml:space="preserve"> </w:t>
      </w:r>
      <w:r w:rsidRPr="00C33219">
        <w:rPr>
          <w:sz w:val="20"/>
          <w:szCs w:val="20"/>
        </w:rPr>
        <w:t>serum</w:t>
      </w:r>
      <w:r w:rsidRPr="00C33219">
        <w:rPr>
          <w:spacing w:val="-10"/>
          <w:sz w:val="20"/>
          <w:szCs w:val="20"/>
        </w:rPr>
        <w:t xml:space="preserve"> </w:t>
      </w:r>
      <w:r w:rsidRPr="00C33219">
        <w:rPr>
          <w:sz w:val="20"/>
          <w:szCs w:val="20"/>
        </w:rPr>
        <w:t>albumin</w:t>
      </w:r>
      <w:r w:rsidRPr="00C33219">
        <w:rPr>
          <w:spacing w:val="-10"/>
          <w:sz w:val="20"/>
          <w:szCs w:val="20"/>
        </w:rPr>
        <w:t xml:space="preserve"> </w:t>
      </w:r>
      <w:r w:rsidRPr="00C33219">
        <w:rPr>
          <w:sz w:val="20"/>
          <w:szCs w:val="20"/>
        </w:rPr>
        <w:t>(BSA).</w:t>
      </w:r>
      <w:r w:rsidRPr="00C33219">
        <w:rPr>
          <w:spacing w:val="-8"/>
          <w:sz w:val="20"/>
          <w:szCs w:val="20"/>
        </w:rPr>
        <w:t xml:space="preserve"> </w:t>
      </w:r>
      <w:r w:rsidRPr="00C33219">
        <w:rPr>
          <w:i/>
          <w:sz w:val="20"/>
          <w:szCs w:val="20"/>
        </w:rPr>
        <w:t>Journal</w:t>
      </w:r>
      <w:r w:rsidRPr="00C33219">
        <w:rPr>
          <w:i/>
          <w:spacing w:val="-8"/>
          <w:sz w:val="20"/>
          <w:szCs w:val="20"/>
        </w:rPr>
        <w:t xml:space="preserve"> of </w:t>
      </w:r>
      <w:r w:rsidRPr="00C33219">
        <w:rPr>
          <w:i/>
          <w:sz w:val="20"/>
          <w:szCs w:val="20"/>
        </w:rPr>
        <w:t>Immunology</w:t>
      </w:r>
      <w:r w:rsidRPr="00C33219">
        <w:rPr>
          <w:i/>
          <w:spacing w:val="-10"/>
          <w:sz w:val="20"/>
          <w:szCs w:val="20"/>
        </w:rPr>
        <w:t xml:space="preserve"> </w:t>
      </w:r>
      <w:r w:rsidRPr="00C33219">
        <w:rPr>
          <w:i/>
          <w:sz w:val="20"/>
          <w:szCs w:val="20"/>
        </w:rPr>
        <w:t>Methods</w:t>
      </w:r>
      <w:r w:rsidRPr="00C33219">
        <w:rPr>
          <w:sz w:val="20"/>
          <w:szCs w:val="20"/>
        </w:rPr>
        <w:t>,</w:t>
      </w:r>
      <w:r w:rsidRPr="00C33219">
        <w:rPr>
          <w:spacing w:val="-10"/>
          <w:sz w:val="20"/>
          <w:szCs w:val="20"/>
        </w:rPr>
        <w:t xml:space="preserve"> </w:t>
      </w:r>
      <w:r w:rsidRPr="00C33219">
        <w:rPr>
          <w:sz w:val="20"/>
          <w:szCs w:val="20"/>
        </w:rPr>
        <w:t>384(1-2):</w:t>
      </w:r>
      <w:r w:rsidRPr="00C33219">
        <w:rPr>
          <w:spacing w:val="-10"/>
          <w:sz w:val="20"/>
          <w:szCs w:val="20"/>
        </w:rPr>
        <w:t xml:space="preserve"> </w:t>
      </w:r>
      <w:r w:rsidRPr="00C33219">
        <w:rPr>
          <w:sz w:val="20"/>
          <w:szCs w:val="20"/>
        </w:rPr>
        <w:t>148-151.</w:t>
      </w:r>
      <w:r w:rsidRPr="00C33219">
        <w:rPr>
          <w:w w:val="99"/>
          <w:sz w:val="20"/>
          <w:szCs w:val="20"/>
        </w:rPr>
        <w:t xml:space="preserve"> </w:t>
      </w:r>
      <w:r w:rsidRPr="00C33219">
        <w:rPr>
          <w:spacing w:val="-3"/>
          <w:w w:val="99"/>
          <w:sz w:val="20"/>
          <w:szCs w:val="20"/>
        </w:rPr>
        <w:t xml:space="preserve"> </w:t>
      </w:r>
    </w:p>
    <w:p w:rsidR="00571157" w:rsidRDefault="00571157" w:rsidP="00571157">
      <w:pPr>
        <w:spacing w:after="0" w:line="240" w:lineRule="auto"/>
        <w:jc w:val="both"/>
        <w:rPr>
          <w:rFonts w:ascii="Times New Roman" w:hAnsi="Times New Roman"/>
          <w:noProof/>
          <w:sz w:val="20"/>
          <w:szCs w:val="20"/>
        </w:rPr>
      </w:pPr>
    </w:p>
    <w:p w:rsidR="00571157" w:rsidRPr="00571157" w:rsidRDefault="00571157" w:rsidP="00571157">
      <w:pPr>
        <w:tabs>
          <w:tab w:val="left" w:pos="9356"/>
        </w:tabs>
        <w:spacing w:after="0" w:line="240" w:lineRule="auto"/>
        <w:ind w:right="4"/>
        <w:jc w:val="both"/>
        <w:rPr>
          <w:rFonts w:ascii="Times New Roman" w:hAnsi="Times New Roman"/>
          <w:noProof/>
          <w:sz w:val="20"/>
          <w:szCs w:val="20"/>
          <w:lang w:val="ms-MY" w:bidi="en-US"/>
        </w:rPr>
      </w:pPr>
      <w:bookmarkStart w:id="0" w:name="_GoBack"/>
      <w:bookmarkEnd w:id="0"/>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sectPr w:rsidR="00095557" w:rsidSect="001573E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56242"/>
    <w:multiLevelType w:val="hybridMultilevel"/>
    <w:tmpl w:val="29A650F6"/>
    <w:lvl w:ilvl="0" w:tplc="5AEA3B88">
      <w:start w:val="1"/>
      <w:numFmt w:val="decimal"/>
      <w:lvlText w:val="%1."/>
      <w:lvlJc w:val="left"/>
      <w:pPr>
        <w:ind w:left="720" w:hanging="360"/>
      </w:pPr>
      <w:rPr>
        <w:sz w:val="20"/>
        <w:szCs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2">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E3"/>
    <w:rsid w:val="00095557"/>
    <w:rsid w:val="001573E3"/>
    <w:rsid w:val="002F626B"/>
    <w:rsid w:val="0044292C"/>
    <w:rsid w:val="00487993"/>
    <w:rsid w:val="00571157"/>
    <w:rsid w:val="005F401D"/>
    <w:rsid w:val="007D0E7F"/>
    <w:rsid w:val="00832F59"/>
    <w:rsid w:val="00834CDE"/>
    <w:rsid w:val="00900BAC"/>
    <w:rsid w:val="00975E1A"/>
    <w:rsid w:val="00AC72D0"/>
    <w:rsid w:val="00C71438"/>
    <w:rsid w:val="00C72F3E"/>
    <w:rsid w:val="00C73A4A"/>
    <w:rsid w:val="00D04BC8"/>
    <w:rsid w:val="00D0718B"/>
    <w:rsid w:val="00D40B1F"/>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1"/>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styleId="BodyText">
    <w:name w:val="Body Text"/>
    <w:basedOn w:val="Normal"/>
    <w:link w:val="BodyTextChar"/>
    <w:uiPriority w:val="1"/>
    <w:qFormat/>
    <w:rsid w:val="00571157"/>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571157"/>
    <w:rPr>
      <w:rFonts w:ascii="Times New Roman" w:eastAsia="Times New Roman" w:hAnsi="Times New Roman" w:cs="Times New Roman"/>
      <w:sz w:val="24"/>
      <w:szCs w:val="24"/>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1"/>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styleId="BodyText">
    <w:name w:val="Body Text"/>
    <w:basedOn w:val="Normal"/>
    <w:link w:val="BodyTextChar"/>
    <w:uiPriority w:val="1"/>
    <w:qFormat/>
    <w:rsid w:val="00571157"/>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571157"/>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cbi.nlm.nih.gov/books/NBK1080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1212</Words>
  <Characters>6660</Characters>
  <Application>Microsoft Office Word</Application>
  <DocSecurity>0</DocSecurity>
  <Lines>114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cp:lastModifiedBy>
  <cp:revision>2</cp:revision>
  <dcterms:created xsi:type="dcterms:W3CDTF">2020-03-24T06:04:00Z</dcterms:created>
  <dcterms:modified xsi:type="dcterms:W3CDTF">2020-03-24T06:04:00Z</dcterms:modified>
</cp:coreProperties>
</file>