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4262AA">
        <w:rPr>
          <w:rFonts w:ascii="Times New Roman" w:hAnsi="Times New Roman" w:cs="Times New Roman"/>
          <w:sz w:val="24"/>
          <w:szCs w:val="24"/>
        </w:rPr>
        <w:t>1</w:t>
      </w:r>
      <w:r w:rsidR="00C73A4A">
        <w:rPr>
          <w:rFonts w:ascii="Times New Roman" w:hAnsi="Times New Roman" w:cs="Times New Roman"/>
          <w:sz w:val="24"/>
          <w:szCs w:val="24"/>
        </w:rPr>
        <w:t>97</w:t>
      </w:r>
      <w:r w:rsidR="004262AA">
        <w:rPr>
          <w:rFonts w:ascii="Times New Roman" w:hAnsi="Times New Roman" w:cs="Times New Roman"/>
          <w:sz w:val="24"/>
          <w:szCs w:val="24"/>
        </w:rPr>
        <w:t xml:space="preserve"> - 208</w:t>
      </w:r>
      <w:bookmarkStart w:id="0" w:name="_GoBack"/>
      <w:bookmarkEnd w:id="0"/>
    </w:p>
    <w:p w:rsidR="004262AA" w:rsidRDefault="004262AA" w:rsidP="001573E3">
      <w:pPr>
        <w:spacing w:after="0" w:line="240" w:lineRule="auto"/>
        <w:rPr>
          <w:rFonts w:ascii="Times New Roman" w:hAnsi="Times New Roman" w:cs="Times New Roman"/>
          <w:sz w:val="24"/>
          <w:szCs w:val="24"/>
        </w:rPr>
      </w:pPr>
    </w:p>
    <w:p w:rsidR="004262AA" w:rsidRDefault="004262AA" w:rsidP="001573E3">
      <w:pPr>
        <w:spacing w:after="0" w:line="240" w:lineRule="auto"/>
        <w:rPr>
          <w:rFonts w:ascii="Times New Roman" w:hAnsi="Times New Roman" w:cs="Times New Roman"/>
          <w:sz w:val="24"/>
          <w:szCs w:val="24"/>
        </w:rPr>
      </w:pPr>
    </w:p>
    <w:p w:rsidR="004262AA" w:rsidRDefault="004262AA" w:rsidP="001573E3">
      <w:pPr>
        <w:spacing w:after="0" w:line="240" w:lineRule="auto"/>
        <w:rPr>
          <w:rFonts w:ascii="Times New Roman" w:hAnsi="Times New Roman" w:cs="Times New Roman"/>
          <w:sz w:val="24"/>
          <w:szCs w:val="24"/>
        </w:rPr>
      </w:pPr>
    </w:p>
    <w:p w:rsidR="004262AA" w:rsidRDefault="004262AA" w:rsidP="001573E3">
      <w:pPr>
        <w:spacing w:after="0" w:line="240" w:lineRule="auto"/>
        <w:rPr>
          <w:rFonts w:ascii="Times New Roman" w:hAnsi="Times New Roman" w:cs="Times New Roman"/>
          <w:sz w:val="24"/>
          <w:szCs w:val="24"/>
        </w:rPr>
      </w:pPr>
    </w:p>
    <w:p w:rsidR="004262AA" w:rsidRPr="00E36E1D" w:rsidRDefault="004262AA" w:rsidP="004262AA">
      <w:pPr>
        <w:keepNext/>
        <w:suppressAutoHyphens/>
        <w:spacing w:after="0" w:line="240" w:lineRule="auto"/>
        <w:ind w:right="2"/>
        <w:jc w:val="center"/>
        <w:rPr>
          <w:rFonts w:ascii="Times New Roman" w:hAnsi="Times New Roman" w:cs="Times New Roman"/>
          <w:sz w:val="28"/>
        </w:rPr>
      </w:pPr>
      <w:r w:rsidRPr="00E36E1D">
        <w:rPr>
          <w:rFonts w:ascii="Times New Roman" w:hAnsi="Times New Roman" w:cs="Times New Roman"/>
          <w:sz w:val="28"/>
        </w:rPr>
        <w:t>VORTEX-ASSISTED SUPRAMOLECULAR-BASED DISPERSIVE LIQUID PHASE MICROEXTRACTION FOR SPECTROPHOTOMETRIC DETERMINATION OF RHODAMINE B IN CHILI POWDER</w:t>
      </w:r>
    </w:p>
    <w:p w:rsidR="004262AA" w:rsidRPr="00E36E1D" w:rsidRDefault="004262AA" w:rsidP="004262AA">
      <w:pPr>
        <w:keepNext/>
        <w:suppressAutoHyphens/>
        <w:spacing w:after="0" w:line="240" w:lineRule="auto"/>
        <w:ind w:right="2"/>
        <w:jc w:val="center"/>
        <w:rPr>
          <w:rFonts w:ascii="Times New Roman" w:hAnsi="Times New Roman" w:cs="Times New Roman"/>
          <w:sz w:val="24"/>
          <w:szCs w:val="24"/>
        </w:rPr>
      </w:pPr>
    </w:p>
    <w:p w:rsidR="004262AA" w:rsidRPr="00E36E1D" w:rsidRDefault="004262AA" w:rsidP="004262AA">
      <w:pPr>
        <w:keepNext/>
        <w:suppressAutoHyphens/>
        <w:spacing w:after="0" w:line="240" w:lineRule="auto"/>
        <w:ind w:right="2"/>
        <w:jc w:val="center"/>
        <w:rPr>
          <w:rFonts w:ascii="Times New Roman" w:hAnsi="Times New Roman" w:cs="Times New Roman"/>
          <w:sz w:val="24"/>
        </w:rPr>
      </w:pPr>
      <w:r w:rsidRPr="00E36E1D">
        <w:rPr>
          <w:rFonts w:ascii="Times New Roman" w:hAnsi="Times New Roman" w:cs="Times New Roman"/>
          <w:b/>
          <w:sz w:val="24"/>
        </w:rPr>
        <w:t>(</w:t>
      </w:r>
      <w:r w:rsidRPr="00E36E1D">
        <w:rPr>
          <w:rFonts w:ascii="Times New Roman" w:hAnsi="Times New Roman" w:cs="Times New Roman"/>
          <w:noProof/>
          <w:sz w:val="24"/>
        </w:rPr>
        <w:t>Supramolekul Berasaskan Serakan Cecair Fasa Pengekstrakan Mikro Berbantu-Vorteks untuk Penentuan Spektrofotometrik Rhodamin B dalam Serbuk Cili</w:t>
      </w:r>
      <w:r w:rsidRPr="00E36E1D">
        <w:rPr>
          <w:rFonts w:ascii="Times New Roman" w:hAnsi="Times New Roman" w:cs="Times New Roman"/>
          <w:sz w:val="24"/>
        </w:rPr>
        <w:t>)</w:t>
      </w:r>
    </w:p>
    <w:p w:rsidR="004262AA" w:rsidRPr="00E36E1D" w:rsidRDefault="004262AA" w:rsidP="004262AA">
      <w:pPr>
        <w:keepNext/>
        <w:suppressAutoHyphens/>
        <w:spacing w:after="0" w:line="240" w:lineRule="auto"/>
        <w:ind w:right="2"/>
        <w:jc w:val="center"/>
        <w:rPr>
          <w:rFonts w:ascii="Times New Roman" w:hAnsi="Times New Roman" w:cs="Times New Roman"/>
          <w:sz w:val="20"/>
          <w:szCs w:val="20"/>
        </w:rPr>
      </w:pPr>
    </w:p>
    <w:p w:rsidR="004262AA" w:rsidRPr="00E36E1D" w:rsidRDefault="004262AA" w:rsidP="004262AA">
      <w:pPr>
        <w:keepNext/>
        <w:suppressAutoHyphens/>
        <w:spacing w:after="0" w:line="240" w:lineRule="auto"/>
        <w:ind w:right="2"/>
        <w:jc w:val="center"/>
        <w:rPr>
          <w:rFonts w:ascii="Times New Roman" w:eastAsia="SimSun" w:hAnsi="Times New Roman" w:cs="Times New Roman"/>
          <w:noProof/>
          <w:sz w:val="20"/>
          <w:szCs w:val="20"/>
          <w:lang w:val="en-GB"/>
        </w:rPr>
      </w:pPr>
      <w:r w:rsidRPr="00E36E1D">
        <w:rPr>
          <w:rFonts w:ascii="Times New Roman" w:eastAsia="SimSun" w:hAnsi="Times New Roman" w:cs="Times New Roman"/>
          <w:noProof/>
          <w:sz w:val="20"/>
          <w:szCs w:val="20"/>
        </w:rPr>
        <w:t>Renitha Harikrishnan</w:t>
      </w:r>
      <w:r w:rsidRPr="00E36E1D">
        <w:rPr>
          <w:rFonts w:ascii="Times New Roman" w:eastAsia="SimSun" w:hAnsi="Times New Roman" w:cs="Times New Roman"/>
          <w:noProof/>
          <w:sz w:val="20"/>
          <w:szCs w:val="20"/>
          <w:vertAlign w:val="superscript"/>
        </w:rPr>
        <w:t>1</w:t>
      </w:r>
      <w:r w:rsidRPr="00E36E1D">
        <w:rPr>
          <w:rFonts w:ascii="Times New Roman" w:eastAsia="SimSun" w:hAnsi="Times New Roman" w:cs="Times New Roman"/>
          <w:noProof/>
          <w:sz w:val="20"/>
          <w:szCs w:val="20"/>
        </w:rPr>
        <w:t>, Kavisha Sundraraj</w:t>
      </w:r>
      <w:r w:rsidRPr="00E36E1D">
        <w:rPr>
          <w:rFonts w:ascii="Times New Roman" w:eastAsia="SimSun" w:hAnsi="Times New Roman" w:cs="Times New Roman"/>
          <w:noProof/>
          <w:sz w:val="20"/>
          <w:szCs w:val="20"/>
          <w:vertAlign w:val="superscript"/>
        </w:rPr>
        <w:t>2</w:t>
      </w:r>
      <w:r w:rsidRPr="00E36E1D">
        <w:rPr>
          <w:rFonts w:ascii="Times New Roman" w:eastAsia="SimSun" w:hAnsi="Times New Roman" w:cs="Times New Roman"/>
          <w:noProof/>
          <w:sz w:val="20"/>
          <w:szCs w:val="20"/>
        </w:rPr>
        <w:t>, Boon Yih Hui</w:t>
      </w:r>
      <w:r w:rsidRPr="00E36E1D">
        <w:rPr>
          <w:rFonts w:ascii="Times New Roman" w:eastAsia="SimSun" w:hAnsi="Times New Roman" w:cs="Times New Roman"/>
          <w:noProof/>
          <w:sz w:val="20"/>
          <w:szCs w:val="20"/>
          <w:vertAlign w:val="superscript"/>
        </w:rPr>
        <w:t>3</w:t>
      </w:r>
      <w:r w:rsidRPr="00E36E1D">
        <w:rPr>
          <w:rFonts w:ascii="Times New Roman" w:eastAsia="SimSun" w:hAnsi="Times New Roman" w:cs="Times New Roman"/>
          <w:noProof/>
          <w:sz w:val="20"/>
          <w:szCs w:val="20"/>
          <w:lang w:val="en-GB"/>
        </w:rPr>
        <w:t>, Nur Nadhirah Mohamad Zain</w:t>
      </w:r>
      <w:r w:rsidRPr="00E36E1D">
        <w:rPr>
          <w:rFonts w:ascii="Times New Roman" w:eastAsia="SimSun" w:hAnsi="Times New Roman" w:cs="Times New Roman"/>
          <w:noProof/>
          <w:sz w:val="20"/>
          <w:szCs w:val="20"/>
          <w:vertAlign w:val="superscript"/>
          <w:lang w:val="en-GB"/>
        </w:rPr>
        <w:t>3</w:t>
      </w:r>
      <w:r w:rsidRPr="00E36E1D">
        <w:rPr>
          <w:rFonts w:ascii="Times New Roman" w:eastAsia="SimSun" w:hAnsi="Times New Roman" w:cs="Times New Roman"/>
          <w:noProof/>
          <w:sz w:val="20"/>
          <w:szCs w:val="20"/>
          <w:lang w:val="en-GB"/>
        </w:rPr>
        <w:t>, Noorfatimah Yahaya</w:t>
      </w:r>
      <w:r w:rsidRPr="00E36E1D">
        <w:rPr>
          <w:rFonts w:ascii="Times New Roman" w:eastAsia="SimSun" w:hAnsi="Times New Roman" w:cs="Times New Roman"/>
          <w:noProof/>
          <w:sz w:val="20"/>
          <w:szCs w:val="20"/>
          <w:vertAlign w:val="superscript"/>
          <w:lang w:val="en-GB"/>
        </w:rPr>
        <w:t>3</w:t>
      </w:r>
      <w:r w:rsidRPr="00E36E1D">
        <w:rPr>
          <w:rFonts w:ascii="Times New Roman" w:eastAsia="SimSun" w:hAnsi="Times New Roman" w:cs="Times New Roman"/>
          <w:noProof/>
          <w:sz w:val="20"/>
          <w:szCs w:val="20"/>
          <w:lang w:val="en-GB"/>
        </w:rPr>
        <w:t>, Kavirajaa Pandian Sambasevam</w:t>
      </w:r>
      <w:r w:rsidRPr="00E36E1D">
        <w:rPr>
          <w:rFonts w:ascii="Times New Roman" w:eastAsia="SimSun" w:hAnsi="Times New Roman" w:cs="Times New Roman"/>
          <w:noProof/>
          <w:sz w:val="20"/>
          <w:szCs w:val="20"/>
          <w:vertAlign w:val="superscript"/>
          <w:lang w:val="en-GB"/>
        </w:rPr>
        <w:t>4</w:t>
      </w:r>
      <w:r w:rsidRPr="00E36E1D">
        <w:rPr>
          <w:rFonts w:ascii="Times New Roman" w:eastAsia="SimSun" w:hAnsi="Times New Roman" w:cs="Times New Roman"/>
          <w:noProof/>
          <w:sz w:val="20"/>
          <w:szCs w:val="20"/>
          <w:lang w:val="en-GB"/>
        </w:rPr>
        <w:t>,</w:t>
      </w:r>
      <w:r w:rsidRPr="00E36E1D">
        <w:rPr>
          <w:rFonts w:ascii="Times New Roman" w:hAnsi="Times New Roman" w:cs="Times New Roman"/>
          <w:sz w:val="20"/>
          <w:szCs w:val="20"/>
        </w:rPr>
        <w:t xml:space="preserve"> </w:t>
      </w:r>
      <w:r w:rsidRPr="00E36E1D">
        <w:rPr>
          <w:rFonts w:ascii="Times New Roman" w:eastAsia="SimSun" w:hAnsi="Times New Roman" w:cs="Times New Roman"/>
          <w:noProof/>
          <w:sz w:val="20"/>
          <w:szCs w:val="20"/>
          <w:lang w:val="en-GB"/>
        </w:rPr>
        <w:t>Sharifah Mohamad</w:t>
      </w:r>
      <w:r w:rsidRPr="00E36E1D">
        <w:rPr>
          <w:rFonts w:ascii="Times New Roman" w:eastAsia="SimSun" w:hAnsi="Times New Roman" w:cs="Times New Roman"/>
          <w:noProof/>
          <w:sz w:val="20"/>
          <w:szCs w:val="20"/>
          <w:vertAlign w:val="superscript"/>
          <w:lang w:val="en-GB"/>
        </w:rPr>
        <w:t>5.,6</w:t>
      </w:r>
      <w:r w:rsidRPr="00E36E1D">
        <w:rPr>
          <w:rFonts w:ascii="Times New Roman" w:eastAsia="SimSun" w:hAnsi="Times New Roman" w:cs="Times New Roman"/>
          <w:noProof/>
          <w:sz w:val="20"/>
          <w:szCs w:val="20"/>
          <w:lang w:val="en-GB"/>
        </w:rPr>
        <w:t>, Yatimah Alias</w:t>
      </w:r>
      <w:r w:rsidRPr="00E36E1D">
        <w:rPr>
          <w:rFonts w:ascii="Times New Roman" w:eastAsia="SimSun" w:hAnsi="Times New Roman" w:cs="Times New Roman"/>
          <w:noProof/>
          <w:sz w:val="20"/>
          <w:szCs w:val="20"/>
          <w:vertAlign w:val="superscript"/>
          <w:lang w:val="en-GB"/>
        </w:rPr>
        <w:t>5,6</w:t>
      </w:r>
      <w:r w:rsidRPr="00E36E1D">
        <w:rPr>
          <w:rFonts w:ascii="Times New Roman" w:eastAsia="SimSun" w:hAnsi="Times New Roman" w:cs="Times New Roman"/>
          <w:noProof/>
          <w:sz w:val="20"/>
          <w:szCs w:val="20"/>
          <w:lang w:val="en-GB"/>
        </w:rPr>
        <w:t>,</w:t>
      </w:r>
      <w:r>
        <w:rPr>
          <w:rFonts w:ascii="Times New Roman" w:eastAsia="SimSun" w:hAnsi="Times New Roman"/>
          <w:noProof/>
          <w:sz w:val="20"/>
          <w:szCs w:val="20"/>
          <w:lang w:val="en-GB"/>
        </w:rPr>
        <w:t xml:space="preserve"> </w:t>
      </w:r>
      <w:r w:rsidRPr="00E36E1D">
        <w:rPr>
          <w:rFonts w:ascii="Times New Roman" w:eastAsia="SimSun" w:hAnsi="Times New Roman" w:cs="Times New Roman"/>
          <w:noProof/>
          <w:sz w:val="20"/>
          <w:szCs w:val="20"/>
          <w:lang w:val="en-GB"/>
        </w:rPr>
        <w:t>Muggundha Raoov</w:t>
      </w:r>
      <w:r w:rsidRPr="00E36E1D">
        <w:rPr>
          <w:rFonts w:ascii="Times New Roman" w:eastAsia="SimSun" w:hAnsi="Times New Roman" w:cs="Times New Roman"/>
          <w:noProof/>
          <w:sz w:val="20"/>
          <w:szCs w:val="20"/>
          <w:vertAlign w:val="superscript"/>
          <w:lang w:val="en-GB"/>
        </w:rPr>
        <w:t>5,6</w:t>
      </w:r>
      <w:r w:rsidRPr="00E36E1D">
        <w:rPr>
          <w:rFonts w:ascii="Times New Roman" w:eastAsia="SimSun" w:hAnsi="Times New Roman" w:cs="Times New Roman"/>
          <w:noProof/>
          <w:sz w:val="20"/>
          <w:szCs w:val="20"/>
          <w:lang w:val="en-GB"/>
        </w:rPr>
        <w:t>*</w:t>
      </w:r>
    </w:p>
    <w:p w:rsidR="004262AA" w:rsidRPr="004262AA" w:rsidRDefault="004262AA" w:rsidP="004262AA">
      <w:pPr>
        <w:keepNext/>
        <w:suppressAutoHyphens/>
        <w:spacing w:after="0" w:line="240" w:lineRule="auto"/>
        <w:ind w:right="2"/>
        <w:jc w:val="center"/>
        <w:rPr>
          <w:rFonts w:ascii="Times New Roman" w:eastAsia="SimSun" w:hAnsi="Times New Roman" w:cs="Times New Roman"/>
          <w:noProof/>
          <w:sz w:val="20"/>
          <w:szCs w:val="20"/>
          <w:lang w:val="en-GB"/>
        </w:rPr>
      </w:pP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eastAsia="SimSun" w:hAnsi="Times New Roman" w:cs="Times New Roman"/>
          <w:i/>
          <w:noProof/>
          <w:sz w:val="20"/>
          <w:szCs w:val="20"/>
          <w:vertAlign w:val="superscript"/>
          <w:lang w:val="en-GB"/>
        </w:rPr>
        <w:t>1</w:t>
      </w:r>
      <w:r w:rsidRPr="004262AA">
        <w:rPr>
          <w:rFonts w:ascii="Times New Roman" w:eastAsia="SimSun" w:hAnsi="Times New Roman" w:cs="Times New Roman"/>
          <w:i/>
          <w:noProof/>
          <w:sz w:val="20"/>
          <w:szCs w:val="20"/>
          <w:lang w:val="en-GB"/>
        </w:rPr>
        <w:t xml:space="preserve"> School of Distance Education,</w:t>
      </w: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eastAsia="SimSun" w:hAnsi="Times New Roman" w:cs="Times New Roman"/>
          <w:i/>
          <w:noProof/>
          <w:sz w:val="20"/>
          <w:szCs w:val="20"/>
          <w:lang w:val="en-GB"/>
        </w:rPr>
        <w:t>Universiti Sains Malaysia, 11800, Pulau Pinang, Malaysia</w:t>
      </w:r>
    </w:p>
    <w:p w:rsidR="004262AA" w:rsidRPr="004262AA" w:rsidRDefault="004262AA" w:rsidP="004262AA">
      <w:pPr>
        <w:suppressAutoHyphens/>
        <w:spacing w:after="0" w:line="240" w:lineRule="auto"/>
        <w:jc w:val="center"/>
        <w:rPr>
          <w:rFonts w:ascii="Times New Roman" w:eastAsia="SimSun" w:hAnsi="Times New Roman"/>
          <w:i/>
          <w:noProof/>
          <w:sz w:val="20"/>
          <w:szCs w:val="20"/>
          <w:lang w:val="en-GB"/>
        </w:rPr>
      </w:pPr>
      <w:r w:rsidRPr="004262AA">
        <w:rPr>
          <w:rFonts w:ascii="Times New Roman" w:eastAsia="SimSun" w:hAnsi="Times New Roman" w:cs="Times New Roman"/>
          <w:i/>
          <w:noProof/>
          <w:sz w:val="20"/>
          <w:szCs w:val="20"/>
          <w:vertAlign w:val="superscript"/>
          <w:lang w:val="en-GB"/>
        </w:rPr>
        <w:t>2</w:t>
      </w:r>
      <w:r w:rsidRPr="004262AA">
        <w:rPr>
          <w:rFonts w:ascii="Times New Roman" w:eastAsia="SimSun" w:hAnsi="Times New Roman" w:cs="Times New Roman"/>
          <w:i/>
          <w:noProof/>
          <w:sz w:val="20"/>
          <w:szCs w:val="20"/>
          <w:lang w:val="en-GB"/>
        </w:rPr>
        <w:t xml:space="preserve"> Department of Chemical Science, </w:t>
      </w:r>
      <w:r w:rsidRPr="004262AA">
        <w:rPr>
          <w:rFonts w:ascii="Times New Roman" w:eastAsia="SimSun" w:hAnsi="Times New Roman"/>
          <w:i/>
          <w:noProof/>
          <w:sz w:val="20"/>
          <w:szCs w:val="20"/>
          <w:lang w:val="en-GB"/>
        </w:rPr>
        <w:t>Faculty of Science,</w:t>
      </w: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eastAsia="SimSun" w:hAnsi="Times New Roman" w:cs="Times New Roman"/>
          <w:i/>
          <w:noProof/>
          <w:sz w:val="20"/>
          <w:szCs w:val="20"/>
          <w:lang w:val="en-GB"/>
        </w:rPr>
        <w:t>Universiti Tunku Abdul Rahman, Kampar 31900, Malaysia</w:t>
      </w: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eastAsia="SimSun" w:hAnsi="Times New Roman"/>
          <w:i/>
          <w:noProof/>
          <w:sz w:val="20"/>
          <w:szCs w:val="20"/>
          <w:vertAlign w:val="superscript"/>
          <w:lang w:val="en-GB"/>
        </w:rPr>
        <w:t xml:space="preserve">3 </w:t>
      </w:r>
      <w:r w:rsidRPr="004262AA">
        <w:rPr>
          <w:rFonts w:ascii="Times New Roman" w:eastAsia="SimSun" w:hAnsi="Times New Roman" w:cs="Times New Roman"/>
          <w:i/>
          <w:noProof/>
          <w:sz w:val="20"/>
          <w:szCs w:val="20"/>
          <w:lang w:val="en-GB"/>
        </w:rPr>
        <w:t>Integrative Medicine Cluster, Advanced Medical &amp; Dental Institute,</w:t>
      </w: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eastAsia="SimSun" w:hAnsi="Times New Roman" w:cs="Times New Roman"/>
          <w:i/>
          <w:noProof/>
          <w:sz w:val="20"/>
          <w:szCs w:val="20"/>
          <w:lang w:val="en-GB"/>
        </w:rPr>
        <w:t>Universiti Sains Malaysia, Pulau Pinang 13200, Malaysia</w:t>
      </w:r>
    </w:p>
    <w:p w:rsidR="004262AA" w:rsidRPr="004262AA" w:rsidRDefault="004262AA" w:rsidP="004262AA">
      <w:pPr>
        <w:suppressAutoHyphens/>
        <w:spacing w:after="0" w:line="240" w:lineRule="auto"/>
        <w:jc w:val="center"/>
        <w:rPr>
          <w:rFonts w:ascii="Times New Roman" w:hAnsi="Times New Roman" w:cs="Times New Roman"/>
          <w:i/>
          <w:sz w:val="20"/>
          <w:szCs w:val="20"/>
        </w:rPr>
      </w:pPr>
      <w:r w:rsidRPr="004262AA">
        <w:rPr>
          <w:rFonts w:ascii="Times New Roman" w:hAnsi="Times New Roman" w:cs="Times New Roman"/>
          <w:i/>
          <w:sz w:val="20"/>
          <w:szCs w:val="20"/>
          <w:vertAlign w:val="superscript"/>
          <w:lang w:val="en-GB"/>
        </w:rPr>
        <w:t xml:space="preserve">4 </w:t>
      </w:r>
      <w:r w:rsidRPr="004262AA">
        <w:rPr>
          <w:rFonts w:ascii="Times New Roman" w:hAnsi="Times New Roman" w:cs="Times New Roman"/>
          <w:i/>
          <w:sz w:val="20"/>
          <w:szCs w:val="20"/>
        </w:rPr>
        <w:t>School of Chemistry and Environment,</w:t>
      </w: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hAnsi="Times New Roman" w:cs="Times New Roman"/>
          <w:i/>
          <w:sz w:val="20"/>
          <w:szCs w:val="20"/>
        </w:rPr>
        <w:t>Universiti Teknologi MARA, Kuala Pilah, Negeri Sembilan, Malaysia</w:t>
      </w:r>
    </w:p>
    <w:p w:rsidR="004262AA" w:rsidRPr="004262AA" w:rsidRDefault="004262AA" w:rsidP="004262AA">
      <w:pPr>
        <w:suppressAutoHyphens/>
        <w:spacing w:after="0" w:line="240" w:lineRule="auto"/>
        <w:jc w:val="center"/>
        <w:rPr>
          <w:rFonts w:ascii="Times New Roman" w:eastAsia="SimSun" w:hAnsi="Times New Roman"/>
          <w:i/>
          <w:noProof/>
          <w:sz w:val="20"/>
          <w:szCs w:val="20"/>
          <w:lang w:val="en-GB"/>
        </w:rPr>
      </w:pPr>
      <w:r w:rsidRPr="004262AA">
        <w:rPr>
          <w:rFonts w:ascii="Times New Roman" w:eastAsia="SimSun" w:hAnsi="Times New Roman" w:cs="Times New Roman"/>
          <w:i/>
          <w:noProof/>
          <w:sz w:val="20"/>
          <w:szCs w:val="20"/>
          <w:vertAlign w:val="superscript"/>
          <w:lang w:val="en-GB"/>
        </w:rPr>
        <w:t xml:space="preserve">5 </w:t>
      </w:r>
      <w:r w:rsidRPr="004262AA">
        <w:rPr>
          <w:rFonts w:ascii="Times New Roman" w:eastAsia="SimSun" w:hAnsi="Times New Roman" w:cs="Times New Roman"/>
          <w:i/>
          <w:noProof/>
          <w:sz w:val="20"/>
          <w:szCs w:val="20"/>
          <w:lang w:val="en-GB"/>
        </w:rPr>
        <w:t>Department of Chemistry,</w:t>
      </w:r>
      <w:r w:rsidRPr="004262AA">
        <w:rPr>
          <w:rFonts w:ascii="Times New Roman" w:eastAsia="SimSun" w:hAnsi="Times New Roman"/>
          <w:i/>
          <w:noProof/>
          <w:sz w:val="20"/>
          <w:szCs w:val="20"/>
          <w:lang w:val="en-GB"/>
        </w:rPr>
        <w:t xml:space="preserve"> Faculty of Science</w:t>
      </w:r>
    </w:p>
    <w:p w:rsidR="004262AA" w:rsidRPr="004262AA" w:rsidRDefault="004262AA" w:rsidP="004262AA">
      <w:pPr>
        <w:suppressAutoHyphens/>
        <w:spacing w:after="0" w:line="240" w:lineRule="auto"/>
        <w:jc w:val="center"/>
        <w:rPr>
          <w:rFonts w:ascii="Times New Roman" w:eastAsia="SimSun" w:hAnsi="Times New Roman"/>
          <w:i/>
          <w:noProof/>
          <w:sz w:val="20"/>
          <w:szCs w:val="20"/>
          <w:lang w:val="en-GB"/>
        </w:rPr>
      </w:pPr>
      <w:r w:rsidRPr="004262AA">
        <w:rPr>
          <w:rFonts w:ascii="Times New Roman" w:eastAsia="SimSun" w:hAnsi="Times New Roman" w:cs="Times New Roman"/>
          <w:i/>
          <w:noProof/>
          <w:sz w:val="20"/>
          <w:szCs w:val="20"/>
          <w:vertAlign w:val="superscript"/>
          <w:lang w:val="en-GB"/>
        </w:rPr>
        <w:t xml:space="preserve">6 </w:t>
      </w:r>
      <w:r w:rsidRPr="004262AA">
        <w:rPr>
          <w:rFonts w:ascii="Times New Roman" w:eastAsia="SimSun" w:hAnsi="Times New Roman" w:cs="Times New Roman"/>
          <w:i/>
          <w:noProof/>
          <w:sz w:val="20"/>
          <w:szCs w:val="20"/>
          <w:lang w:val="en-GB"/>
        </w:rPr>
        <w:t>Universiti Malaya Centre for Ionic Liquids (UMCiL), Department o</w:t>
      </w:r>
      <w:r w:rsidRPr="004262AA">
        <w:rPr>
          <w:rFonts w:ascii="Times New Roman" w:eastAsia="SimSun" w:hAnsi="Times New Roman"/>
          <w:i/>
          <w:noProof/>
          <w:sz w:val="20"/>
          <w:szCs w:val="20"/>
          <w:lang w:val="en-GB"/>
        </w:rPr>
        <w:t>f Chemistry, Faculty of Science</w:t>
      </w:r>
    </w:p>
    <w:p w:rsidR="004262AA" w:rsidRPr="004262AA" w:rsidRDefault="004262AA" w:rsidP="004262AA">
      <w:pPr>
        <w:suppressAutoHyphens/>
        <w:spacing w:after="0" w:line="240" w:lineRule="auto"/>
        <w:jc w:val="center"/>
        <w:rPr>
          <w:rFonts w:ascii="Times New Roman" w:eastAsia="SimSun" w:hAnsi="Times New Roman" w:cs="Times New Roman"/>
          <w:i/>
          <w:noProof/>
          <w:sz w:val="20"/>
          <w:szCs w:val="20"/>
          <w:lang w:val="en-GB"/>
        </w:rPr>
      </w:pPr>
      <w:r w:rsidRPr="004262AA">
        <w:rPr>
          <w:rFonts w:ascii="Times New Roman" w:eastAsia="SimSun" w:hAnsi="Times New Roman" w:cs="Times New Roman"/>
          <w:i/>
          <w:noProof/>
          <w:sz w:val="20"/>
          <w:szCs w:val="20"/>
          <w:lang w:val="en-GB"/>
        </w:rPr>
        <w:t>Universiti Malaya, Kuala Lumpur 50603, Malaysia</w:t>
      </w:r>
    </w:p>
    <w:p w:rsidR="004262AA" w:rsidRPr="004262AA" w:rsidRDefault="004262AA" w:rsidP="004262AA">
      <w:pPr>
        <w:suppressAutoHyphens/>
        <w:spacing w:after="0" w:line="240" w:lineRule="auto"/>
        <w:jc w:val="center"/>
        <w:rPr>
          <w:rFonts w:ascii="Times New Roman" w:eastAsia="SimSun" w:hAnsi="Times New Roman" w:cs="Times New Roman"/>
          <w:noProof/>
          <w:sz w:val="20"/>
          <w:szCs w:val="20"/>
          <w:lang w:val="en-GB"/>
        </w:rPr>
      </w:pPr>
    </w:p>
    <w:p w:rsidR="004262AA" w:rsidRPr="004262AA" w:rsidRDefault="004262AA" w:rsidP="004262AA">
      <w:pPr>
        <w:pStyle w:val="NoSpacing"/>
        <w:jc w:val="center"/>
        <w:rPr>
          <w:rFonts w:ascii="Times New Roman" w:hAnsi="Times New Roman"/>
          <w:i/>
          <w:sz w:val="20"/>
          <w:szCs w:val="20"/>
        </w:rPr>
      </w:pPr>
      <w:r w:rsidRPr="004262AA">
        <w:rPr>
          <w:rFonts w:ascii="Times New Roman" w:hAnsi="Times New Roman"/>
          <w:i/>
          <w:sz w:val="20"/>
          <w:szCs w:val="20"/>
        </w:rPr>
        <w:t>*Corresponding author:</w:t>
      </w:r>
      <w:r w:rsidRPr="004262AA">
        <w:rPr>
          <w:rFonts w:ascii="Times New Roman" w:hAnsi="Times New Roman"/>
          <w:sz w:val="20"/>
          <w:szCs w:val="20"/>
        </w:rPr>
        <w:t xml:space="preserve">  </w:t>
      </w:r>
      <w:r w:rsidRPr="004262AA">
        <w:rPr>
          <w:rFonts w:ascii="Times New Roman" w:hAnsi="Times New Roman"/>
          <w:i/>
          <w:sz w:val="20"/>
          <w:szCs w:val="20"/>
        </w:rPr>
        <w:t>muggundha@um.edu.my</w:t>
      </w:r>
    </w:p>
    <w:p w:rsidR="004262AA" w:rsidRPr="004262AA" w:rsidRDefault="004262AA" w:rsidP="004262AA">
      <w:pPr>
        <w:spacing w:after="0" w:line="240" w:lineRule="auto"/>
        <w:jc w:val="center"/>
        <w:rPr>
          <w:rFonts w:ascii="Times New Roman" w:hAnsi="Times New Roman"/>
          <w:noProof/>
          <w:sz w:val="20"/>
          <w:szCs w:val="20"/>
        </w:rPr>
      </w:pPr>
    </w:p>
    <w:p w:rsidR="004262AA" w:rsidRPr="004262AA" w:rsidRDefault="004262AA" w:rsidP="004262AA">
      <w:pPr>
        <w:spacing w:after="0" w:line="240" w:lineRule="auto"/>
        <w:jc w:val="center"/>
        <w:rPr>
          <w:rFonts w:ascii="Times New Roman" w:hAnsi="Times New Roman"/>
          <w:noProof/>
          <w:sz w:val="20"/>
          <w:szCs w:val="20"/>
        </w:rPr>
      </w:pPr>
    </w:p>
    <w:p w:rsidR="004262AA" w:rsidRPr="004262AA" w:rsidRDefault="004262AA" w:rsidP="004262AA">
      <w:pPr>
        <w:spacing w:after="0" w:line="240" w:lineRule="auto"/>
        <w:jc w:val="center"/>
        <w:rPr>
          <w:rFonts w:ascii="Times New Roman" w:hAnsi="Times New Roman"/>
          <w:noProof/>
          <w:sz w:val="20"/>
          <w:szCs w:val="20"/>
        </w:rPr>
      </w:pPr>
      <w:r w:rsidRPr="004262AA">
        <w:rPr>
          <w:rFonts w:ascii="Times New Roman" w:hAnsi="Times New Roman"/>
          <w:noProof/>
          <w:sz w:val="20"/>
          <w:szCs w:val="20"/>
        </w:rPr>
        <w:t>Received: 16 December 2019; Accepted: 8 March 2020</w:t>
      </w:r>
    </w:p>
    <w:p w:rsidR="004262AA" w:rsidRPr="004262AA" w:rsidRDefault="004262AA" w:rsidP="004262AA">
      <w:pPr>
        <w:spacing w:after="0" w:line="240" w:lineRule="auto"/>
        <w:jc w:val="center"/>
        <w:rPr>
          <w:rFonts w:ascii="Times New Roman" w:hAnsi="Times New Roman"/>
          <w:noProof/>
          <w:sz w:val="20"/>
          <w:szCs w:val="20"/>
        </w:rPr>
      </w:pPr>
    </w:p>
    <w:p w:rsidR="004262AA" w:rsidRPr="004262AA" w:rsidRDefault="004262AA" w:rsidP="004262AA">
      <w:pPr>
        <w:spacing w:after="0" w:line="240" w:lineRule="auto"/>
        <w:jc w:val="center"/>
        <w:rPr>
          <w:rFonts w:ascii="Times New Roman" w:hAnsi="Times New Roman"/>
          <w:noProof/>
          <w:sz w:val="20"/>
          <w:szCs w:val="20"/>
        </w:rPr>
      </w:pPr>
    </w:p>
    <w:p w:rsidR="004262AA" w:rsidRPr="004262AA" w:rsidRDefault="004262AA" w:rsidP="004262AA">
      <w:pPr>
        <w:spacing w:after="0" w:line="240" w:lineRule="auto"/>
        <w:jc w:val="center"/>
        <w:rPr>
          <w:rFonts w:ascii="Times New Roman" w:hAnsi="Times New Roman"/>
          <w:b/>
          <w:noProof/>
          <w:sz w:val="20"/>
          <w:szCs w:val="20"/>
        </w:rPr>
      </w:pPr>
      <w:r w:rsidRPr="004262AA">
        <w:rPr>
          <w:rFonts w:ascii="Times New Roman" w:hAnsi="Times New Roman"/>
          <w:b/>
          <w:noProof/>
          <w:sz w:val="20"/>
          <w:szCs w:val="20"/>
        </w:rPr>
        <w:t>Abstract</w:t>
      </w:r>
    </w:p>
    <w:p w:rsidR="004262AA" w:rsidRPr="004262AA" w:rsidRDefault="004262AA" w:rsidP="004262AA">
      <w:pPr>
        <w:tabs>
          <w:tab w:val="left" w:pos="1950"/>
        </w:tabs>
        <w:spacing w:after="0" w:line="240" w:lineRule="auto"/>
        <w:jc w:val="both"/>
        <w:rPr>
          <w:rFonts w:ascii="Times New Roman" w:hAnsi="Times New Roman"/>
          <w:sz w:val="20"/>
          <w:szCs w:val="20"/>
        </w:rPr>
      </w:pPr>
      <w:r w:rsidRPr="004262AA">
        <w:rPr>
          <w:rFonts w:ascii="Times New Roman" w:hAnsi="Times New Roman" w:cs="Times New Roman"/>
          <w:sz w:val="20"/>
          <w:szCs w:val="20"/>
        </w:rPr>
        <w:t>A vortex-assisted supramolecular-based dispersive liquid phase microextraction technique was established to detect trace quantities of Rhodamine B (RhB) in chili powder prior to its determination by ultraviolet-visible spectrophotometry. The supramolecular solvent, which was made of reverse micelles of 1-pentanol created through self-assembly processes, was injected into the aqueous sample solution as fine droplets and assisted by vortexing, which accelerated the mass transfer of target analyte into the supramolecular solvent phase. Five important parameters (type and volume of the extraction solvent, extraction time, sample pH, and ionic strength) were investigated, and the optimum conditions were as follows: 400 µL of 1-pentanol as the supramolecular solvent; 30 min extraction time; pH 5; and 15% salt addition. Under optimum conditions, linearity was in the range of 0.1 to 2.5 mg kg</w:t>
      </w:r>
      <w:r w:rsidRPr="004262AA">
        <w:rPr>
          <w:rFonts w:ascii="Times New Roman" w:hAnsi="Times New Roman" w:cs="Times New Roman"/>
          <w:sz w:val="20"/>
          <w:szCs w:val="20"/>
          <w:vertAlign w:val="superscript"/>
        </w:rPr>
        <w:t>–1</w:t>
      </w:r>
      <w:r w:rsidRPr="004262AA">
        <w:rPr>
          <w:rFonts w:ascii="Times New Roman" w:hAnsi="Times New Roman" w:cs="Times New Roman"/>
          <w:sz w:val="20"/>
          <w:szCs w:val="20"/>
        </w:rPr>
        <w:t>. The detection limit was 0.008 mg kg</w:t>
      </w:r>
      <w:r w:rsidRPr="004262AA">
        <w:rPr>
          <w:rFonts w:ascii="Times New Roman" w:hAnsi="Times New Roman" w:cs="Times New Roman"/>
          <w:sz w:val="20"/>
          <w:szCs w:val="20"/>
          <w:vertAlign w:val="superscript"/>
        </w:rPr>
        <w:t>–1</w:t>
      </w:r>
      <w:r w:rsidRPr="004262AA">
        <w:rPr>
          <w:rFonts w:ascii="Times New Roman" w:hAnsi="Times New Roman" w:cs="Times New Roman"/>
          <w:sz w:val="20"/>
          <w:szCs w:val="20"/>
        </w:rPr>
        <w:t xml:space="preserve"> with pre-concentration factor of 16, and the relative standard deviation (n = 5) was &lt; 1.48%. The method was successfully applied to detect and measure RhB in selected chili powder samples,</w:t>
      </w:r>
      <w:r w:rsidRPr="004262AA">
        <w:rPr>
          <w:sz w:val="20"/>
          <w:szCs w:val="20"/>
        </w:rPr>
        <w:t xml:space="preserve"> </w:t>
      </w:r>
      <w:r w:rsidRPr="004262AA">
        <w:rPr>
          <w:rFonts w:ascii="Times New Roman" w:hAnsi="Times New Roman" w:cs="Times New Roman"/>
          <w:sz w:val="20"/>
          <w:szCs w:val="20"/>
        </w:rPr>
        <w:t>and good spiked recoveries in the range of 95.0 to 115.2% were obtained. This method has direct applications for monitoring the presence of potentially harmful dyes in processed foods.</w:t>
      </w:r>
    </w:p>
    <w:p w:rsidR="004262AA" w:rsidRPr="004262AA" w:rsidRDefault="004262AA" w:rsidP="004262AA">
      <w:pPr>
        <w:tabs>
          <w:tab w:val="left" w:pos="1950"/>
        </w:tabs>
        <w:spacing w:after="0" w:line="240" w:lineRule="auto"/>
        <w:jc w:val="center"/>
        <w:rPr>
          <w:rFonts w:ascii="Times New Roman" w:hAnsi="Times New Roman" w:cs="Times New Roman"/>
          <w:sz w:val="20"/>
          <w:szCs w:val="20"/>
        </w:rPr>
      </w:pPr>
    </w:p>
    <w:p w:rsidR="004262AA" w:rsidRPr="004262AA" w:rsidRDefault="004262AA" w:rsidP="004262AA">
      <w:pPr>
        <w:spacing w:after="0" w:line="240" w:lineRule="auto"/>
        <w:jc w:val="both"/>
        <w:rPr>
          <w:rFonts w:ascii="Times New Roman" w:hAnsi="Times New Roman"/>
          <w:sz w:val="20"/>
          <w:szCs w:val="20"/>
        </w:rPr>
      </w:pPr>
      <w:r w:rsidRPr="004262AA">
        <w:rPr>
          <w:rFonts w:ascii="Times New Roman" w:hAnsi="Times New Roman" w:cs="Times New Roman"/>
          <w:b/>
          <w:bCs/>
          <w:sz w:val="20"/>
          <w:szCs w:val="20"/>
        </w:rPr>
        <w:t xml:space="preserve">Keywords: </w:t>
      </w:r>
      <w:r w:rsidRPr="004262AA">
        <w:rPr>
          <w:rFonts w:ascii="Times New Roman" w:hAnsi="Times New Roman"/>
          <w:b/>
          <w:bCs/>
          <w:sz w:val="20"/>
          <w:szCs w:val="20"/>
        </w:rPr>
        <w:t xml:space="preserve"> </w:t>
      </w:r>
      <w:r w:rsidRPr="004262AA">
        <w:rPr>
          <w:rFonts w:ascii="Times New Roman" w:hAnsi="Times New Roman"/>
          <w:sz w:val="20"/>
          <w:szCs w:val="20"/>
        </w:rPr>
        <w:t>r</w:t>
      </w:r>
      <w:r w:rsidRPr="004262AA">
        <w:rPr>
          <w:rFonts w:ascii="Times New Roman" w:hAnsi="Times New Roman" w:cs="Times New Roman"/>
          <w:sz w:val="20"/>
          <w:szCs w:val="20"/>
        </w:rPr>
        <w:t>hodamine B, UV-Vis spectrophotometry, supramolecular solvent, chili powder</w:t>
      </w:r>
    </w:p>
    <w:p w:rsidR="004262AA" w:rsidRPr="004262AA" w:rsidRDefault="004262AA" w:rsidP="004262AA">
      <w:pPr>
        <w:spacing w:after="0" w:line="240" w:lineRule="auto"/>
        <w:jc w:val="center"/>
        <w:rPr>
          <w:rFonts w:ascii="Times New Roman" w:hAnsi="Times New Roman" w:cs="Times New Roman"/>
          <w:sz w:val="20"/>
          <w:szCs w:val="20"/>
        </w:rPr>
      </w:pPr>
    </w:p>
    <w:p w:rsidR="004262AA" w:rsidRPr="004262AA" w:rsidRDefault="004262AA" w:rsidP="004262AA">
      <w:pPr>
        <w:widowControl w:val="0"/>
        <w:autoSpaceDE w:val="0"/>
        <w:autoSpaceDN w:val="0"/>
        <w:spacing w:after="0" w:line="240" w:lineRule="auto"/>
        <w:jc w:val="center"/>
        <w:rPr>
          <w:rFonts w:ascii="Times New Roman" w:eastAsia="SimSun" w:hAnsi="Times New Roman" w:cs="Times New Roman"/>
          <w:b/>
          <w:noProof/>
          <w:kern w:val="2"/>
          <w:sz w:val="20"/>
          <w:szCs w:val="20"/>
          <w:lang w:val="ms-MY" w:eastAsia="ko-KR"/>
        </w:rPr>
      </w:pPr>
      <w:r w:rsidRPr="004262AA">
        <w:rPr>
          <w:rFonts w:ascii="Times New Roman" w:eastAsia="SimSun" w:hAnsi="Times New Roman" w:cs="Times New Roman"/>
          <w:b/>
          <w:noProof/>
          <w:kern w:val="2"/>
          <w:sz w:val="20"/>
          <w:szCs w:val="20"/>
          <w:lang w:val="ms-MY" w:eastAsia="ko-KR"/>
        </w:rPr>
        <w:t>Abstrak</w:t>
      </w:r>
    </w:p>
    <w:p w:rsidR="004262AA" w:rsidRPr="004262AA" w:rsidRDefault="004262AA" w:rsidP="004262AA">
      <w:pPr>
        <w:spacing w:after="0" w:line="240" w:lineRule="auto"/>
        <w:jc w:val="both"/>
        <w:rPr>
          <w:rFonts w:ascii="Times New Roman" w:eastAsia="SimSun" w:hAnsi="Times New Roman"/>
          <w:noProof/>
          <w:sz w:val="20"/>
          <w:szCs w:val="20"/>
          <w:lang w:val="ms-MY"/>
        </w:rPr>
      </w:pPr>
      <w:r w:rsidRPr="004262AA">
        <w:rPr>
          <w:rFonts w:ascii="Times New Roman" w:eastAsia="SimSun" w:hAnsi="Times New Roman" w:cs="Times New Roman"/>
          <w:noProof/>
          <w:sz w:val="20"/>
          <w:szCs w:val="20"/>
          <w:lang w:val="ms-MY"/>
        </w:rPr>
        <w:lastRenderedPageBreak/>
        <w:t>Supramolekul berasaskan serakan fasa cecair pengekstrakan mikro berbantu vorteks (VASM-DLPME) telah dibangunkan untuk mengesan kuantiti Rhodamin B (RhB) dalam serbuk cili dengan menggunakan spektrofotometrik UV-Vis. Pelarut supramolekul adalah misel songsang yang dihasilkan daripada 1-pentanol melalui proses pemasangan kendiri dan disuntik ke dalam larutan sampel akueus sebagai titisan halus dibantu oleh vorteks, yang mempercepatkan masa pemindahan daripada analisis sasaran ke dalam fasa pelarut supramolekul.</w:t>
      </w:r>
      <w:r w:rsidRPr="004262AA">
        <w:rPr>
          <w:noProof/>
          <w:sz w:val="20"/>
          <w:szCs w:val="20"/>
          <w:lang w:val="ms-MY"/>
        </w:rPr>
        <w:t xml:space="preserve"> </w:t>
      </w:r>
      <w:r w:rsidRPr="004262AA">
        <w:rPr>
          <w:rFonts w:ascii="Times New Roman" w:eastAsia="SimSun" w:hAnsi="Times New Roman" w:cs="Times New Roman"/>
          <w:noProof/>
          <w:sz w:val="20"/>
          <w:szCs w:val="20"/>
          <w:lang w:val="ms-MY"/>
        </w:rPr>
        <w:t>Lima parameter penting seperti jenis dan isipadu pelarut pengekstrakan, masa pengekstrakan, sampel pH dan kekuatan ionik telah dikaji dan keadaan optimum yang diperoleh adalah seperti berikut: 400 µL 1-pentanol sebagai pelarut supramolekul, masa pengekstrakan selama 30 minit pada pH 5 dengan penambahan garam sebanyak 15%. Di bawah keadaan yang optimum, kelinearan didapati dalam julat 0.1 hingga 2.5 mg kg</w:t>
      </w:r>
      <w:r w:rsidRPr="004262AA">
        <w:rPr>
          <w:rFonts w:ascii="Times New Roman" w:eastAsia="SimSun" w:hAnsi="Times New Roman" w:cs="Times New Roman"/>
          <w:noProof/>
          <w:sz w:val="20"/>
          <w:szCs w:val="20"/>
          <w:vertAlign w:val="superscript"/>
          <w:lang w:val="ms-MY"/>
        </w:rPr>
        <w:t>-1</w:t>
      </w:r>
      <w:r w:rsidRPr="004262AA">
        <w:rPr>
          <w:rFonts w:ascii="Times New Roman" w:eastAsia="SimSun" w:hAnsi="Times New Roman" w:cs="Times New Roman"/>
          <w:noProof/>
          <w:sz w:val="20"/>
          <w:szCs w:val="20"/>
          <w:lang w:val="ms-MY"/>
        </w:rPr>
        <w:t>. Had pengesanan yang diperolehi adalah 0.008 mg kg</w:t>
      </w:r>
      <w:r w:rsidRPr="004262AA">
        <w:rPr>
          <w:rFonts w:ascii="Times New Roman" w:eastAsia="SimSun" w:hAnsi="Times New Roman" w:cs="Times New Roman"/>
          <w:noProof/>
          <w:sz w:val="20"/>
          <w:szCs w:val="20"/>
          <w:vertAlign w:val="superscript"/>
          <w:lang w:val="ms-MY"/>
        </w:rPr>
        <w:t>-1</w:t>
      </w:r>
      <w:r w:rsidRPr="004262AA">
        <w:rPr>
          <w:rFonts w:ascii="Times New Roman" w:eastAsia="SimSun" w:hAnsi="Times New Roman" w:cs="Times New Roman"/>
          <w:noProof/>
          <w:sz w:val="20"/>
          <w:szCs w:val="20"/>
          <w:lang w:val="ms-MY"/>
        </w:rPr>
        <w:t xml:space="preserve"> dengan faktor pra-kepekatan 16 dan sisihan piawai relatif (RSD, n = 5) kurang daripada 1.48% telah dicapai. Kaedah ini telah berjaya diaplikasikan untuk penentuan RhB dalam sampel serbuk cili terpilih dan kadar pemulihan berada pada julat 95.0-115.2% diperolehi. Kaedah ini mempunyai aplikasi langsung untuk pemantauan pewarna berbahaya dalam makanan yang diproses.</w:t>
      </w:r>
    </w:p>
    <w:p w:rsidR="004262AA" w:rsidRPr="004262AA" w:rsidRDefault="004262AA" w:rsidP="004262AA">
      <w:pPr>
        <w:spacing w:after="0" w:line="240" w:lineRule="auto"/>
        <w:jc w:val="center"/>
        <w:rPr>
          <w:rFonts w:ascii="Times New Roman" w:eastAsia="SimSun" w:hAnsi="Times New Roman" w:cs="Times New Roman"/>
          <w:noProof/>
          <w:sz w:val="20"/>
          <w:szCs w:val="20"/>
          <w:lang w:val="ms-MY"/>
        </w:rPr>
      </w:pPr>
    </w:p>
    <w:p w:rsidR="004262AA" w:rsidRDefault="004262AA" w:rsidP="004262AA">
      <w:pPr>
        <w:spacing w:after="0" w:line="240" w:lineRule="auto"/>
        <w:jc w:val="both"/>
        <w:rPr>
          <w:rFonts w:ascii="Times New Roman" w:eastAsia="SimSun" w:hAnsi="Times New Roman" w:cs="Times New Roman"/>
          <w:noProof/>
          <w:sz w:val="20"/>
          <w:szCs w:val="20"/>
          <w:lang w:val="ms-MY"/>
        </w:rPr>
      </w:pPr>
      <w:r w:rsidRPr="004262AA">
        <w:rPr>
          <w:rFonts w:ascii="Times New Roman" w:eastAsia="SimSun" w:hAnsi="Times New Roman" w:cs="Times New Roman"/>
          <w:b/>
          <w:bCs/>
          <w:noProof/>
          <w:sz w:val="20"/>
          <w:szCs w:val="20"/>
          <w:lang w:val="ms-MY"/>
        </w:rPr>
        <w:t>Kata kunci:</w:t>
      </w:r>
      <w:r w:rsidRPr="004262AA">
        <w:rPr>
          <w:rFonts w:ascii="Times New Roman" w:eastAsia="SimSun" w:hAnsi="Times New Roman"/>
          <w:noProof/>
          <w:sz w:val="20"/>
          <w:szCs w:val="20"/>
          <w:lang w:val="ms-MY"/>
        </w:rPr>
        <w:t xml:space="preserve">  r</w:t>
      </w:r>
      <w:r w:rsidRPr="004262AA">
        <w:rPr>
          <w:rFonts w:ascii="Times New Roman" w:eastAsia="SimSun" w:hAnsi="Times New Roman" w:cs="Times New Roman"/>
          <w:noProof/>
          <w:sz w:val="20"/>
          <w:szCs w:val="20"/>
          <w:lang w:val="ms-MY"/>
        </w:rPr>
        <w:t>hodamin B, spektrofotometri UV-Vis, pelarut supramolekul, serbuk cili</w:t>
      </w:r>
    </w:p>
    <w:p w:rsidR="004262AA" w:rsidRDefault="004262AA" w:rsidP="004262AA">
      <w:pPr>
        <w:spacing w:after="0" w:line="240" w:lineRule="auto"/>
        <w:jc w:val="both"/>
        <w:rPr>
          <w:rFonts w:ascii="Times New Roman" w:eastAsia="SimSun" w:hAnsi="Times New Roman" w:cs="Times New Roman"/>
          <w:noProof/>
          <w:sz w:val="20"/>
          <w:szCs w:val="20"/>
          <w:lang w:val="ms-MY"/>
        </w:rPr>
      </w:pPr>
    </w:p>
    <w:p w:rsidR="004262AA" w:rsidRPr="00F447A7" w:rsidRDefault="004262AA" w:rsidP="004262AA">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Tsai, C.F., Kuo, C.H. and Shih, D.Y.C. (2015). Determination of 20 synthetic dyes in chili powders and syrup-preserved fruits by liquid chromatography/tandem mass spectrometry. </w:t>
      </w:r>
      <w:r w:rsidRPr="009B1768">
        <w:rPr>
          <w:rFonts w:ascii="Times New Roman" w:eastAsia="SimSun" w:hAnsi="Times New Roman"/>
          <w:i/>
          <w:noProof/>
          <w:sz w:val="20"/>
          <w:szCs w:val="20"/>
        </w:rPr>
        <w:t>Journal of Food and Drug Analysis</w:t>
      </w:r>
      <w:r>
        <w:rPr>
          <w:rFonts w:ascii="Times New Roman" w:eastAsia="SimSun" w:hAnsi="Times New Roman"/>
          <w:noProof/>
          <w:sz w:val="20"/>
          <w:szCs w:val="20"/>
        </w:rPr>
        <w:t>, 23:453–462.</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Vachirapatama, N., Mahajaroensiri, J. and Visessanguan, W. (2008). Identification and determination of seven synthetic dyes in foodstuffs and soft drinks on monolithic C</w:t>
      </w:r>
      <w:r w:rsidRPr="009B1768">
        <w:rPr>
          <w:rFonts w:ascii="Times New Roman" w:eastAsia="SimSun" w:hAnsi="Times New Roman"/>
          <w:noProof/>
          <w:sz w:val="20"/>
          <w:szCs w:val="20"/>
          <w:vertAlign w:val="subscript"/>
        </w:rPr>
        <w:t>18</w:t>
      </w:r>
      <w:r w:rsidRPr="009B1768">
        <w:rPr>
          <w:rFonts w:ascii="Times New Roman" w:eastAsia="SimSun" w:hAnsi="Times New Roman"/>
          <w:noProof/>
          <w:sz w:val="20"/>
          <w:szCs w:val="20"/>
        </w:rPr>
        <w:t xml:space="preserve"> column by high performance liquid chromatography. </w:t>
      </w:r>
      <w:r w:rsidRPr="009B1768">
        <w:rPr>
          <w:rFonts w:ascii="Times New Roman" w:eastAsia="SimSun" w:hAnsi="Times New Roman"/>
          <w:i/>
          <w:noProof/>
          <w:sz w:val="20"/>
          <w:szCs w:val="20"/>
        </w:rPr>
        <w:t>Journal of Food &amp; Drug Analysis</w:t>
      </w:r>
      <w:r w:rsidRPr="009B1768">
        <w:rPr>
          <w:rFonts w:ascii="Times New Roman" w:eastAsia="SimSun" w:hAnsi="Times New Roman"/>
          <w:noProof/>
          <w:sz w:val="20"/>
          <w:szCs w:val="20"/>
        </w:rPr>
        <w:t>, 16:77–82.</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Xu., X, Zhang, M., Wang, L., Zhang, S., Liu, M., Long, N., Qi, X., Cui, Z. and Zhang, L. (2016). Determination of rhodamine B in food using ionic liquid–coated multiwalled carbon nanotube–based ultrasound-assisted dispersive solid-phase microextraction followed by high-performance liquid chromatography. </w:t>
      </w:r>
      <w:r w:rsidRPr="009B1768">
        <w:rPr>
          <w:rFonts w:ascii="Times New Roman" w:eastAsia="SimSun" w:hAnsi="Times New Roman"/>
          <w:i/>
          <w:noProof/>
          <w:sz w:val="20"/>
          <w:szCs w:val="20"/>
        </w:rPr>
        <w:t>Food Analytical Methods</w:t>
      </w:r>
      <w:r w:rsidRPr="009B1768">
        <w:rPr>
          <w:rFonts w:ascii="Times New Roman" w:eastAsia="SimSun" w:hAnsi="Times New Roman"/>
          <w:noProof/>
          <w:sz w:val="20"/>
          <w:szCs w:val="20"/>
        </w:rPr>
        <w:t>, 9:1696–1705.</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Jieping, C. and Zhu, X. (2016). Magnetic solid phase extraction using ionic liquid-coated core-shell magnetic nanoparticles followed by high-performance liquid chromatography for determination of rhodamine B in food samples. </w:t>
      </w:r>
      <w:r w:rsidRPr="009B1768">
        <w:rPr>
          <w:rFonts w:ascii="Times New Roman" w:eastAsia="SimSun" w:hAnsi="Times New Roman"/>
          <w:i/>
          <w:noProof/>
          <w:sz w:val="20"/>
          <w:szCs w:val="20"/>
        </w:rPr>
        <w:t>Food Chemistry</w:t>
      </w:r>
      <w:r w:rsidRPr="009B1768">
        <w:rPr>
          <w:rFonts w:ascii="Times New Roman" w:eastAsia="SimSun" w:hAnsi="Times New Roman"/>
          <w:noProof/>
          <w:sz w:val="20"/>
          <w:szCs w:val="20"/>
        </w:rPr>
        <w:t>, 200:10–15.</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Ahmed Bakheet, A. A. and Zhu, X. S. (2017). Determination of Rhodamine B in food samples by Fe</w:t>
      </w:r>
      <w:r w:rsidRPr="009B1768">
        <w:rPr>
          <w:rFonts w:ascii="Times New Roman" w:eastAsia="SimSun" w:hAnsi="Times New Roman"/>
          <w:noProof/>
          <w:sz w:val="20"/>
          <w:szCs w:val="20"/>
          <w:vertAlign w:val="subscript"/>
        </w:rPr>
        <w:t>3</w:t>
      </w:r>
      <w:r w:rsidRPr="009B1768">
        <w:rPr>
          <w:rFonts w:ascii="Times New Roman" w:eastAsia="SimSun" w:hAnsi="Times New Roman"/>
          <w:noProof/>
          <w:sz w:val="20"/>
          <w:szCs w:val="20"/>
        </w:rPr>
        <w:t>O</w:t>
      </w:r>
      <w:r w:rsidRPr="009B1768">
        <w:rPr>
          <w:rFonts w:ascii="Times New Roman" w:eastAsia="SimSun" w:hAnsi="Times New Roman"/>
          <w:noProof/>
          <w:sz w:val="20"/>
          <w:szCs w:val="20"/>
          <w:vertAlign w:val="subscript"/>
        </w:rPr>
        <w:t>4</w:t>
      </w:r>
      <w:r w:rsidRPr="009B1768">
        <w:rPr>
          <w:rFonts w:ascii="Times New Roman" w:eastAsia="SimSun" w:hAnsi="Times New Roman"/>
          <w:noProof/>
          <w:sz w:val="20"/>
          <w:szCs w:val="20"/>
        </w:rPr>
        <w:t xml:space="preserve">@ionic liquids-β-cyclodextrin cross linked polymer solid phase extraction coupled with fluorescence spectrophotometry. </w:t>
      </w:r>
      <w:r w:rsidRPr="009B1768">
        <w:rPr>
          <w:rFonts w:ascii="Times New Roman" w:eastAsia="SimSun" w:hAnsi="Times New Roman"/>
          <w:i/>
          <w:noProof/>
          <w:sz w:val="20"/>
          <w:szCs w:val="20"/>
        </w:rPr>
        <w:t>Journal of Fluorescene</w:t>
      </w:r>
      <w:r>
        <w:rPr>
          <w:rFonts w:ascii="Times New Roman" w:eastAsia="SimSun" w:hAnsi="Times New Roman"/>
          <w:noProof/>
          <w:sz w:val="20"/>
          <w:szCs w:val="20"/>
        </w:rPr>
        <w:t>, 27:1087–1094.</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Sun, W. J., Li, J., Mele, G., Zhang, Z. Q. and Zhang, F. X. (2013). Enhanced photocatalytic degradation of rhodamine B by surface modification of ZnO with copper (II) porphyrin under both UV-Vis and visible light irradiation. </w:t>
      </w:r>
      <w:r w:rsidRPr="009B1768">
        <w:rPr>
          <w:rFonts w:ascii="Times New Roman" w:eastAsia="SimSun" w:hAnsi="Times New Roman"/>
          <w:i/>
          <w:noProof/>
          <w:sz w:val="20"/>
          <w:szCs w:val="20"/>
        </w:rPr>
        <w:t>Journal of Molecular Catalysis A: Chemical</w:t>
      </w:r>
      <w:r w:rsidRPr="009B1768">
        <w:rPr>
          <w:rFonts w:ascii="Times New Roman" w:eastAsia="SimSun" w:hAnsi="Times New Roman"/>
          <w:noProof/>
          <w:sz w:val="20"/>
          <w:szCs w:val="20"/>
        </w:rPr>
        <w:t>, 366: 84–91.</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Ahmed Bakheet, A. A. and Zhu, X. S. (2017). Determination of rhodamine B pigment in food samples by ionic liquid coated magnetic core/shell Fe</w:t>
      </w:r>
      <w:r w:rsidRPr="009B1768">
        <w:rPr>
          <w:rFonts w:ascii="Times New Roman" w:eastAsia="SimSun" w:hAnsi="Times New Roman"/>
          <w:noProof/>
          <w:sz w:val="20"/>
          <w:szCs w:val="20"/>
          <w:vertAlign w:val="subscript"/>
        </w:rPr>
        <w:t>3</w:t>
      </w:r>
      <w:r w:rsidRPr="009B1768">
        <w:rPr>
          <w:rFonts w:ascii="Times New Roman" w:eastAsia="SimSun" w:hAnsi="Times New Roman"/>
          <w:noProof/>
          <w:sz w:val="20"/>
          <w:szCs w:val="20"/>
        </w:rPr>
        <w:t>O</w:t>
      </w:r>
      <w:r w:rsidRPr="009B1768">
        <w:rPr>
          <w:rFonts w:ascii="Times New Roman" w:eastAsia="SimSun" w:hAnsi="Times New Roman"/>
          <w:noProof/>
          <w:sz w:val="20"/>
          <w:szCs w:val="20"/>
          <w:vertAlign w:val="subscript"/>
        </w:rPr>
        <w:t>4</w:t>
      </w:r>
      <w:r w:rsidRPr="009B1768">
        <w:rPr>
          <w:rFonts w:ascii="Times New Roman" w:eastAsia="SimSun" w:hAnsi="Times New Roman"/>
          <w:noProof/>
          <w:sz w:val="20"/>
          <w:szCs w:val="20"/>
        </w:rPr>
        <w:t>@SiO</w:t>
      </w:r>
      <w:r w:rsidRPr="009B1768">
        <w:rPr>
          <w:rFonts w:ascii="Times New Roman" w:eastAsia="SimSun" w:hAnsi="Times New Roman"/>
          <w:noProof/>
          <w:sz w:val="20"/>
          <w:szCs w:val="20"/>
          <w:vertAlign w:val="subscript"/>
        </w:rPr>
        <w:t>2</w:t>
      </w:r>
      <w:r w:rsidRPr="009B1768">
        <w:rPr>
          <w:rFonts w:ascii="Times New Roman" w:eastAsia="SimSun" w:hAnsi="Times New Roman"/>
          <w:noProof/>
          <w:sz w:val="20"/>
          <w:szCs w:val="20"/>
        </w:rPr>
        <w:t xml:space="preserve"> nanoparticles coupled with fluorescence spectrophotometry. </w:t>
      </w:r>
      <w:r w:rsidRPr="009B1768">
        <w:rPr>
          <w:rFonts w:ascii="Times New Roman" w:eastAsia="SimSun" w:hAnsi="Times New Roman"/>
          <w:i/>
          <w:noProof/>
          <w:sz w:val="20"/>
          <w:szCs w:val="20"/>
        </w:rPr>
        <w:t>Science Journal of Chemistry</w:t>
      </w:r>
      <w:r w:rsidRPr="009B1768">
        <w:rPr>
          <w:rFonts w:ascii="Times New Roman" w:eastAsia="SimSun" w:hAnsi="Times New Roman"/>
          <w:noProof/>
          <w:sz w:val="20"/>
          <w:szCs w:val="20"/>
        </w:rPr>
        <w:t>, 5:1–7.</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Santiago Valverde, R., Sánchez Pérez, I., Franceschelli, F., Martínez Galera, M. and Gil García, M. D. (2007). Determination of photoirradiated tetracyclines in water by high-performance liquid chromatography with chemiluminescence detection based reaction of rhodamine B with cerium(IV).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1167:85–94.</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Liu, X., Zhang, X., Zhou, Q., Bai, B. and Ji, S. (2013). Spectrometric determination of rhodamine B in chili powder after molecularly imprinted solid phase extraction. </w:t>
      </w:r>
      <w:r w:rsidRPr="009B1768">
        <w:rPr>
          <w:rFonts w:ascii="Times New Roman" w:eastAsia="SimSun" w:hAnsi="Times New Roman"/>
          <w:i/>
          <w:noProof/>
          <w:sz w:val="20"/>
          <w:szCs w:val="20"/>
        </w:rPr>
        <w:t>Bulletin of the Korean Chemical Societ</w:t>
      </w:r>
      <w:r w:rsidRPr="009B1768">
        <w:rPr>
          <w:rFonts w:ascii="Times New Roman" w:eastAsia="SimSun" w:hAnsi="Times New Roman"/>
          <w:noProof/>
          <w:sz w:val="20"/>
          <w:szCs w:val="20"/>
        </w:rPr>
        <w:t>y, 34:3381–3386.</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Souza, A. S., Siqueira, R.P., Prates, R. F., Bezerra, V. M., Rocha, D. da. S., Oliveira, M. V. and Santos, D. B. (2017). A dispersive liquid–liquid microextraction based on solidification of floating organic drop and spectrophotometric determination of uranium in breast milk after optimization using Box-Behnken design. </w:t>
      </w:r>
      <w:r w:rsidRPr="009B1768">
        <w:rPr>
          <w:rFonts w:ascii="Times New Roman" w:eastAsia="SimSun" w:hAnsi="Times New Roman"/>
          <w:i/>
          <w:noProof/>
          <w:sz w:val="20"/>
          <w:szCs w:val="20"/>
        </w:rPr>
        <w:t>Microchemical Journal</w:t>
      </w:r>
      <w:r w:rsidRPr="009B1768">
        <w:rPr>
          <w:rFonts w:ascii="Times New Roman" w:eastAsia="SimSun" w:hAnsi="Times New Roman"/>
          <w:noProof/>
          <w:sz w:val="20"/>
          <w:szCs w:val="20"/>
        </w:rPr>
        <w:t>, 134: 327–332.</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Pichon, V. (2000). Solid-phase extraction for multiresidue analysis of organic contaminants in water.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885: 195–215.</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lastRenderedPageBreak/>
        <w:t>Tahmasebi, E., and Yamini, Y. (2012). Facile synthesis of new nano sorbent for magnetic solid-phase extraction by self assembling of bis-(2,4,4-trimethyl pentyl)-dithiophosphinic acid on Fe</w:t>
      </w:r>
      <w:r w:rsidRPr="009B1768">
        <w:rPr>
          <w:rFonts w:ascii="Times New Roman" w:eastAsia="SimSun" w:hAnsi="Times New Roman"/>
          <w:noProof/>
          <w:sz w:val="20"/>
          <w:szCs w:val="20"/>
          <w:vertAlign w:val="subscript"/>
        </w:rPr>
        <w:t>3</w:t>
      </w:r>
      <w:r w:rsidRPr="009B1768">
        <w:rPr>
          <w:rFonts w:ascii="Times New Roman" w:eastAsia="SimSun" w:hAnsi="Times New Roman"/>
          <w:noProof/>
          <w:sz w:val="20"/>
          <w:szCs w:val="20"/>
        </w:rPr>
        <w:t>O</w:t>
      </w:r>
      <w:r w:rsidRPr="009B1768">
        <w:rPr>
          <w:rFonts w:ascii="Times New Roman" w:eastAsia="SimSun" w:hAnsi="Times New Roman"/>
          <w:noProof/>
          <w:sz w:val="20"/>
          <w:szCs w:val="20"/>
          <w:vertAlign w:val="subscript"/>
        </w:rPr>
        <w:t>4</w:t>
      </w:r>
      <w:r w:rsidRPr="009B1768">
        <w:rPr>
          <w:rFonts w:ascii="Times New Roman" w:eastAsia="SimSun" w:hAnsi="Times New Roman"/>
          <w:noProof/>
          <w:sz w:val="20"/>
          <w:szCs w:val="20"/>
        </w:rPr>
        <w:t xml:space="preserve">@Ag core@shell nanoparticles: Characterization and application. </w:t>
      </w:r>
      <w:r w:rsidRPr="009B1768">
        <w:rPr>
          <w:rFonts w:ascii="Times New Roman" w:eastAsia="SimSun" w:hAnsi="Times New Roman"/>
          <w:i/>
          <w:noProof/>
          <w:sz w:val="20"/>
          <w:szCs w:val="20"/>
        </w:rPr>
        <w:t>Analytical Chimica Acta</w:t>
      </w:r>
      <w:r w:rsidRPr="009B1768">
        <w:rPr>
          <w:rFonts w:ascii="Times New Roman" w:eastAsia="SimSun" w:hAnsi="Times New Roman"/>
          <w:noProof/>
          <w:sz w:val="20"/>
          <w:szCs w:val="20"/>
        </w:rPr>
        <w:t>, 756: 13–22.</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Zheng, H., Ding, J., Zheng, S., Zhu, G. and Yuan, B. (2016). Facile synthesis of magnetic carbon nitride nanosheets and its application in magnetic solid phase extraction for polycyclic aromatic hydrocarbons in edible oil samples. </w:t>
      </w:r>
      <w:r w:rsidRPr="009B1768">
        <w:rPr>
          <w:rFonts w:ascii="Times New Roman" w:eastAsia="SimSun" w:hAnsi="Times New Roman"/>
          <w:i/>
          <w:noProof/>
          <w:sz w:val="20"/>
          <w:szCs w:val="20"/>
        </w:rPr>
        <w:t>Talanta</w:t>
      </w:r>
      <w:r w:rsidRPr="009B1768">
        <w:rPr>
          <w:rFonts w:ascii="Times New Roman" w:eastAsia="SimSun" w:hAnsi="Times New Roman"/>
          <w:noProof/>
          <w:sz w:val="20"/>
          <w:szCs w:val="20"/>
        </w:rPr>
        <w:t>, 148: 46–53.</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Rubio, L., Sanllorente, S., Sarabia, L. A. and Ortiz, M. C. (2014). Optimization of a headspace solid-phase microextraction and gas chromatography/mass spectrometry procedure for the determination of aromatic amines in water and in polyamide spoons. </w:t>
      </w:r>
      <w:r w:rsidRPr="009B1768">
        <w:rPr>
          <w:rFonts w:ascii="Times New Roman" w:eastAsia="SimSun" w:hAnsi="Times New Roman"/>
          <w:i/>
          <w:noProof/>
          <w:sz w:val="20"/>
          <w:szCs w:val="20"/>
        </w:rPr>
        <w:t>Chemometrics and Intelligent Laboratory Systems</w:t>
      </w:r>
      <w:r w:rsidRPr="009B1768">
        <w:rPr>
          <w:rFonts w:ascii="Times New Roman" w:eastAsia="SimSun" w:hAnsi="Times New Roman"/>
          <w:noProof/>
          <w:sz w:val="20"/>
          <w:szCs w:val="20"/>
        </w:rPr>
        <w:t>, 133: 121–135.</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Trujillo-Rodríguez, M. J., Yu, H., Cole, W. T. S., Ho, T. D., Pino, V., Anderson, J. L. and Afonso, A. M. (2014). Polymeric ionic liquid coatings versus commercial solid-phase microextraction coatings for the determination of volatile compounds in cheeses. </w:t>
      </w:r>
      <w:r w:rsidRPr="009B1768">
        <w:rPr>
          <w:rFonts w:ascii="Times New Roman" w:eastAsia="SimSun" w:hAnsi="Times New Roman"/>
          <w:i/>
          <w:noProof/>
          <w:sz w:val="20"/>
          <w:szCs w:val="20"/>
        </w:rPr>
        <w:t>Talanta</w:t>
      </w:r>
      <w:r w:rsidRPr="009B1768">
        <w:rPr>
          <w:rFonts w:ascii="Times New Roman" w:eastAsia="SimSun" w:hAnsi="Times New Roman"/>
          <w:noProof/>
          <w:sz w:val="20"/>
          <w:szCs w:val="20"/>
        </w:rPr>
        <w:t>, 121: 153–162.</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Scheel, G. L., and Tarley, C. R. T. (2017). Feasibility of supramolecular solvent-based microextraction for simultaneous preconcentration of herbicides from natural waters with posterior determination by HPLC-DAD. </w:t>
      </w:r>
      <w:r w:rsidRPr="009B1768">
        <w:rPr>
          <w:rFonts w:ascii="Times New Roman" w:eastAsia="SimSun" w:hAnsi="Times New Roman"/>
          <w:i/>
          <w:noProof/>
          <w:sz w:val="20"/>
          <w:szCs w:val="20"/>
        </w:rPr>
        <w:t>Microchemical Journal</w:t>
      </w:r>
      <w:r w:rsidRPr="009B1768">
        <w:rPr>
          <w:rFonts w:ascii="Times New Roman" w:eastAsia="SimSun" w:hAnsi="Times New Roman"/>
          <w:noProof/>
          <w:sz w:val="20"/>
          <w:szCs w:val="20"/>
        </w:rPr>
        <w:t>, 133: 650–657.</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Ballesteros-Gómez, A., Sicilia, M. D. and Rubio, S. (2010). Supramolecular solvents in the extraction of organic compounds. A review. </w:t>
      </w:r>
      <w:r w:rsidRPr="009B1768">
        <w:rPr>
          <w:rFonts w:ascii="Times New Roman" w:eastAsia="SimSun" w:hAnsi="Times New Roman"/>
          <w:i/>
          <w:noProof/>
          <w:sz w:val="20"/>
          <w:szCs w:val="20"/>
        </w:rPr>
        <w:t>Analytical Chimica Acta</w:t>
      </w:r>
      <w:r w:rsidRPr="009B1768">
        <w:rPr>
          <w:rFonts w:ascii="Times New Roman" w:eastAsia="SimSun" w:hAnsi="Times New Roman"/>
          <w:noProof/>
          <w:sz w:val="20"/>
          <w:szCs w:val="20"/>
        </w:rPr>
        <w:t>, 677: 108–130.</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Moradi, M., Kashanaki, R., Borhani, S., Bigdeli, H., Abbasi, N. and Kazemzadeh, A. (2017). Optimization of supramolecular solvent microextraction prior to graphite furnace atomic absorption spectrometry for total selenium determination in food and environmental samples. </w:t>
      </w:r>
      <w:r w:rsidRPr="009B1768">
        <w:rPr>
          <w:rFonts w:ascii="Times New Roman" w:eastAsia="SimSun" w:hAnsi="Times New Roman"/>
          <w:i/>
          <w:noProof/>
          <w:sz w:val="20"/>
          <w:szCs w:val="20"/>
        </w:rPr>
        <w:t>Journal of Molecular Liquids</w:t>
      </w:r>
      <w:r w:rsidRPr="009B1768">
        <w:rPr>
          <w:rFonts w:ascii="Times New Roman" w:eastAsia="SimSun" w:hAnsi="Times New Roman"/>
          <w:noProof/>
          <w:sz w:val="20"/>
          <w:szCs w:val="20"/>
        </w:rPr>
        <w:t>, 232: 243–250.</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Seebunrueng, K., Dejchaiwatana, C., Santaladchaiyakit, Y., and Srijaranai, S. S. (2017). Development of supramolecular solvent based microextraction prior to high performance liquid chromatography for simultaneous determination of phenols in environmental water. </w:t>
      </w:r>
      <w:r w:rsidRPr="009B1768">
        <w:rPr>
          <w:rFonts w:ascii="Times New Roman" w:eastAsia="SimSun" w:hAnsi="Times New Roman"/>
          <w:i/>
          <w:noProof/>
          <w:sz w:val="20"/>
          <w:szCs w:val="20"/>
        </w:rPr>
        <w:t>RSC Advances</w:t>
      </w:r>
      <w:r w:rsidRPr="009B1768">
        <w:rPr>
          <w:rFonts w:ascii="Times New Roman" w:eastAsia="SimSun" w:hAnsi="Times New Roman"/>
          <w:noProof/>
          <w:sz w:val="20"/>
          <w:szCs w:val="20"/>
        </w:rPr>
        <w:t>, 7: 50143–50149.</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Yilmaz, E. and Soylak, M. (2014). Development a novel supramolecular solvent microextraction procedure for copper in environmental samples and its determination by microsampling flame atomic absorption spectrometry. </w:t>
      </w:r>
      <w:r w:rsidRPr="009B1768">
        <w:rPr>
          <w:rFonts w:ascii="Times New Roman" w:eastAsia="SimSun" w:hAnsi="Times New Roman"/>
          <w:i/>
          <w:noProof/>
          <w:sz w:val="20"/>
          <w:szCs w:val="20"/>
        </w:rPr>
        <w:t>Talanta</w:t>
      </w:r>
      <w:r w:rsidRPr="009B1768">
        <w:rPr>
          <w:rFonts w:ascii="Times New Roman" w:eastAsia="SimSun" w:hAnsi="Times New Roman"/>
          <w:noProof/>
          <w:sz w:val="20"/>
          <w:szCs w:val="20"/>
        </w:rPr>
        <w:t>, 126: 191–195.</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Shamsipur, M., Zohrabib, P., and Hashemi, M. (2015). Application of a supramolecular solvent as the carrier for ferrofluid based liquid-phase microextraction for spectro fluorimetric determination of levofloxacin in biological samples. </w:t>
      </w:r>
      <w:r w:rsidRPr="009B1768">
        <w:rPr>
          <w:rFonts w:ascii="Times New Roman" w:eastAsia="SimSun" w:hAnsi="Times New Roman"/>
          <w:i/>
          <w:noProof/>
          <w:sz w:val="20"/>
          <w:szCs w:val="20"/>
        </w:rPr>
        <w:t>Analytical Methods</w:t>
      </w:r>
      <w:r w:rsidRPr="009B1768">
        <w:rPr>
          <w:rFonts w:ascii="Times New Roman" w:eastAsia="SimSun" w:hAnsi="Times New Roman"/>
          <w:noProof/>
          <w:sz w:val="20"/>
          <w:szCs w:val="20"/>
        </w:rPr>
        <w:t>, 7: 9609–9614.</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Ballesteros-Gomez, A., Rubio, S. and Perez-Bendito, D. (2009). Potential of supramolecular solvents for the extraction of contaminants in liquid foods.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1216: 530–539.</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Rezaei, F., Yamini, Y., Moradi, M. and Daraei, B. (2013). Supramolecular solvent-based hollow fiber liquid phase microextraction of benzodiazepines. </w:t>
      </w:r>
      <w:r w:rsidRPr="009B1768">
        <w:rPr>
          <w:rFonts w:ascii="Times New Roman" w:eastAsia="SimSun" w:hAnsi="Times New Roman"/>
          <w:i/>
          <w:noProof/>
          <w:sz w:val="20"/>
          <w:szCs w:val="20"/>
        </w:rPr>
        <w:t>Analytical Chimica Acta</w:t>
      </w:r>
      <w:r w:rsidRPr="009B1768">
        <w:rPr>
          <w:rFonts w:ascii="Times New Roman" w:eastAsia="SimSun" w:hAnsi="Times New Roman"/>
          <w:noProof/>
          <w:sz w:val="20"/>
          <w:szCs w:val="20"/>
        </w:rPr>
        <w:t>, 804: 135–142.</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Ezoddin, M., Majidi, B. and Abdi, K. (2015). Ultrasound-assisted supramolecular dispersive liquid–liquid microextraction based on solidification of floating organic drops for preconcentration of palladium in water and road dust samples. </w:t>
      </w:r>
      <w:r w:rsidRPr="009B1768">
        <w:rPr>
          <w:rFonts w:ascii="Times New Roman" w:eastAsia="SimSun" w:hAnsi="Times New Roman"/>
          <w:i/>
          <w:noProof/>
          <w:sz w:val="20"/>
          <w:szCs w:val="20"/>
        </w:rPr>
        <w:t>Journal of Molecular Liquids</w:t>
      </w:r>
      <w:r w:rsidRPr="009B1768">
        <w:rPr>
          <w:rFonts w:ascii="Times New Roman" w:eastAsia="SimSun" w:hAnsi="Times New Roman"/>
          <w:noProof/>
          <w:sz w:val="20"/>
          <w:szCs w:val="20"/>
        </w:rPr>
        <w:t>, 209: 515–519.</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López-Jiménez, F. J., Rosales-Marcano, M. and Rubio, S. (2013). Restricted access property supramolecular solvents for combined microextraction of endocrine disruptors in sediment and sample cleanup prior to their quantification by liquid chromatography – tandem mass spectrometry.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1303: 1–8.</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Yang, D., Li, X., Meng, D., Wang, M. and Yang, Y. (2017). Supramolecular solvents combined with layered double hydroxide-coated magnetic nanoparticles for extraction of bisphenols and 4-tert- octylphenol from fruit juices. </w:t>
      </w:r>
      <w:r w:rsidRPr="009B1768">
        <w:rPr>
          <w:rFonts w:ascii="Times New Roman" w:eastAsia="SimSun" w:hAnsi="Times New Roman"/>
          <w:i/>
          <w:noProof/>
          <w:sz w:val="20"/>
          <w:szCs w:val="20"/>
        </w:rPr>
        <w:t>Food Chemistry</w:t>
      </w:r>
      <w:r w:rsidRPr="009B1768">
        <w:rPr>
          <w:rFonts w:ascii="Times New Roman" w:eastAsia="SimSun" w:hAnsi="Times New Roman"/>
          <w:noProof/>
          <w:sz w:val="20"/>
          <w:szCs w:val="20"/>
        </w:rPr>
        <w:t>, 237: 870–876.</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Dursun, G., Yildiz, E., and Cabuk, H. (2018). Supramolecular solvent-based microextraction of propachlor and prometryn herbicides in soil samples prior to liquid chromatographic analysis. </w:t>
      </w:r>
      <w:r w:rsidRPr="009B1768">
        <w:rPr>
          <w:rFonts w:ascii="Times New Roman" w:eastAsia="SimSun" w:hAnsi="Times New Roman"/>
          <w:i/>
          <w:noProof/>
          <w:sz w:val="20"/>
          <w:szCs w:val="20"/>
        </w:rPr>
        <w:t>Cumhuriyet Science Journal</w:t>
      </w:r>
      <w:r w:rsidRPr="009B1768">
        <w:rPr>
          <w:rFonts w:ascii="Times New Roman" w:eastAsia="SimSun" w:hAnsi="Times New Roman"/>
          <w:noProof/>
          <w:sz w:val="20"/>
          <w:szCs w:val="20"/>
        </w:rPr>
        <w:t>, 39:833–841.</w:t>
      </w:r>
    </w:p>
    <w:p w:rsidR="004262AA"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Rezaei, F., Yamini, Y., Asiabi, H., and Moradi, M. (2015). Determination of diphenylamine residue in fruit samples by supercritical fluid extraction followed by vesicular based-supramolecular solvent microextraction. </w:t>
      </w:r>
      <w:r w:rsidRPr="009B1768">
        <w:rPr>
          <w:rFonts w:ascii="Times New Roman" w:eastAsia="SimSun" w:hAnsi="Times New Roman"/>
          <w:i/>
          <w:noProof/>
          <w:sz w:val="20"/>
          <w:szCs w:val="20"/>
        </w:rPr>
        <w:t>Journal of Supercritical Fluids</w:t>
      </w:r>
      <w:r w:rsidRPr="009B1768">
        <w:rPr>
          <w:rFonts w:ascii="Times New Roman" w:eastAsia="SimSun" w:hAnsi="Times New Roman"/>
          <w:noProof/>
          <w:sz w:val="20"/>
          <w:szCs w:val="20"/>
        </w:rPr>
        <w:t>, 100:79–85.</w:t>
      </w:r>
    </w:p>
    <w:p w:rsidR="004262AA" w:rsidRPr="009B1768"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hAnsi="Times New Roman"/>
          <w:noProof/>
          <w:sz w:val="20"/>
          <w:szCs w:val="20"/>
        </w:rPr>
        <w:t xml:space="preserve">Soylak, M., Unsal, Y. E., Yilmaz, E. and Tuzen, M. (2011). Determination of rhodamine B in soft drink, waste water and lipstick samples after solid phase extraction. </w:t>
      </w:r>
      <w:r w:rsidRPr="009B1768">
        <w:rPr>
          <w:rFonts w:ascii="Times New Roman" w:hAnsi="Times New Roman"/>
          <w:i/>
          <w:noProof/>
          <w:sz w:val="20"/>
          <w:szCs w:val="20"/>
        </w:rPr>
        <w:t>Food Chemical Toxicology</w:t>
      </w:r>
      <w:r w:rsidRPr="009B1768">
        <w:rPr>
          <w:rFonts w:ascii="Times New Roman" w:hAnsi="Times New Roman"/>
          <w:noProof/>
          <w:sz w:val="20"/>
          <w:szCs w:val="20"/>
        </w:rPr>
        <w:t>, 49:1796–1799</w:t>
      </w:r>
    </w:p>
    <w:p w:rsidR="004262AA" w:rsidRPr="009B1768" w:rsidRDefault="004262AA" w:rsidP="004262AA">
      <w:pPr>
        <w:pStyle w:val="ListParagraph"/>
        <w:numPr>
          <w:ilvl w:val="0"/>
          <w:numId w:val="5"/>
        </w:numPr>
        <w:spacing w:after="0" w:line="240" w:lineRule="auto"/>
        <w:ind w:left="360"/>
        <w:jc w:val="both"/>
        <w:rPr>
          <w:rFonts w:ascii="Times New Roman" w:eastAsia="SimSun" w:hAnsi="Times New Roman"/>
          <w:noProof/>
          <w:sz w:val="20"/>
          <w:szCs w:val="20"/>
        </w:rPr>
      </w:pPr>
      <w:r w:rsidRPr="009B1768">
        <w:rPr>
          <w:rFonts w:ascii="Times New Roman" w:hAnsi="Times New Roman"/>
          <w:noProof/>
          <w:sz w:val="20"/>
          <w:szCs w:val="20"/>
        </w:rPr>
        <w:lastRenderedPageBreak/>
        <w:t xml:space="preserve">Zhang, Q., Cui, H., Myint, A., Lian, M. and Liu, L. (2005). Sensitive determination of phenolic compounds using high-performance liquid chromatography with cerium (IV)-rhodamine 6G-phenolic compound chemiluminescence detection. </w:t>
      </w:r>
      <w:r w:rsidRPr="009B1768">
        <w:rPr>
          <w:rFonts w:ascii="Times New Roman" w:hAnsi="Times New Roman"/>
          <w:i/>
          <w:noProof/>
          <w:sz w:val="20"/>
          <w:szCs w:val="20"/>
        </w:rPr>
        <w:t>Journal of Chromatography A</w:t>
      </w:r>
      <w:r w:rsidRPr="009B1768">
        <w:rPr>
          <w:rFonts w:ascii="Times New Roman" w:hAnsi="Times New Roman"/>
          <w:noProof/>
          <w:sz w:val="20"/>
          <w:szCs w:val="20"/>
        </w:rPr>
        <w:t>, 1095: 94–101.</w:t>
      </w:r>
    </w:p>
    <w:p w:rsidR="004262AA" w:rsidRPr="004262AA" w:rsidRDefault="004262AA" w:rsidP="004262AA">
      <w:pPr>
        <w:spacing w:after="0" w:line="240" w:lineRule="auto"/>
        <w:jc w:val="both"/>
        <w:rPr>
          <w:rFonts w:ascii="Times New Roman" w:eastAsia="SimSun" w:hAnsi="Times New Roman" w:cs="Times New Roman"/>
          <w:noProof/>
          <w:sz w:val="20"/>
          <w:szCs w:val="20"/>
          <w:lang w:val="ms-MY"/>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64656"/>
    <w:multiLevelType w:val="hybridMultilevel"/>
    <w:tmpl w:val="4CFE297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262AA"/>
    <w:rsid w:val="0044292C"/>
    <w:rsid w:val="00487993"/>
    <w:rsid w:val="005F401D"/>
    <w:rsid w:val="007D0E7F"/>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NoSpacing">
    <w:name w:val="No Spacing"/>
    <w:basedOn w:val="Normal"/>
    <w:uiPriority w:val="1"/>
    <w:qFormat/>
    <w:rsid w:val="004262AA"/>
    <w:pPr>
      <w:spacing w:after="0" w:line="240" w:lineRule="auto"/>
    </w:pPr>
    <w:rPr>
      <w:rFonts w:ascii="Cambria" w:eastAsia="Times New Roman" w:hAnsi="Cambria" w:cs="Times New Roman"/>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NoSpacing">
    <w:name w:val="No Spacing"/>
    <w:basedOn w:val="Normal"/>
    <w:uiPriority w:val="1"/>
    <w:qFormat/>
    <w:rsid w:val="004262AA"/>
    <w:pPr>
      <w:spacing w:after="0" w:line="240" w:lineRule="auto"/>
    </w:pPr>
    <w:rPr>
      <w:rFonts w:ascii="Cambria" w:eastAsia="Times New Roman" w:hAnsi="Cambri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1776</Words>
  <Characters>10183</Characters>
  <Application>Microsoft Office Word</Application>
  <DocSecurity>0</DocSecurity>
  <Lines>207</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2020-03-24T08:10:00Z</dcterms:created>
  <dcterms:modified xsi:type="dcterms:W3CDTF">2020-03-24T08:10:00Z</dcterms:modified>
</cp:coreProperties>
</file>