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0E5A7" w14:textId="77777777" w:rsidR="004B27BF" w:rsidRPr="008B0111" w:rsidRDefault="006F18B4" w:rsidP="002B6C61">
      <w:pPr>
        <w:contextualSpacing/>
        <w:jc w:val="center"/>
        <w:rPr>
          <w:sz w:val="28"/>
          <w:szCs w:val="28"/>
        </w:rPr>
      </w:pPr>
      <w:r w:rsidRPr="008B0111">
        <w:rPr>
          <w:sz w:val="28"/>
          <w:szCs w:val="28"/>
        </w:rPr>
        <w:t>ELECTROBIOSYNTESIS OF NiO USING RAMBUTAN LEAVES FOR PHOTODEGRADATION OF REMAZOL BRILLIANT BLUE DYE</w:t>
      </w:r>
    </w:p>
    <w:p w14:paraId="3A06E573" w14:textId="77777777" w:rsidR="004B27BF" w:rsidRPr="008B0111" w:rsidRDefault="004B27BF" w:rsidP="002B6C61">
      <w:pPr>
        <w:contextualSpacing/>
        <w:jc w:val="center"/>
        <w:rPr>
          <w:lang w:eastAsia="ja-JP"/>
        </w:rPr>
      </w:pPr>
    </w:p>
    <w:p w14:paraId="5075EC51" w14:textId="77777777" w:rsidR="008B0111" w:rsidRDefault="002B6C61" w:rsidP="002B6C61">
      <w:pPr>
        <w:contextualSpacing/>
        <w:jc w:val="center"/>
        <w:rPr>
          <w:noProof/>
          <w:lang w:val="ms-MY" w:eastAsia="ja-JP"/>
        </w:rPr>
      </w:pPr>
      <w:r w:rsidRPr="008B0111">
        <w:rPr>
          <w:lang w:eastAsia="ja-JP"/>
        </w:rPr>
        <w:t>(</w:t>
      </w:r>
      <w:r w:rsidR="006F18B4" w:rsidRPr="008B0111">
        <w:rPr>
          <w:noProof/>
          <w:lang w:val="ms-MY" w:eastAsia="ja-JP"/>
        </w:rPr>
        <w:t>Elektrobios</w:t>
      </w:r>
      <w:r w:rsidR="001533F6" w:rsidRPr="008B0111">
        <w:rPr>
          <w:noProof/>
          <w:lang w:val="ms-MY" w:eastAsia="ja-JP"/>
        </w:rPr>
        <w:t xml:space="preserve">intesis </w:t>
      </w:r>
      <w:r w:rsidR="006F18B4" w:rsidRPr="008B0111">
        <w:rPr>
          <w:noProof/>
          <w:lang w:val="ms-MY" w:eastAsia="ja-JP"/>
        </w:rPr>
        <w:t xml:space="preserve">NiO Menggunakan Ekstrak Daun Rambutan </w:t>
      </w:r>
    </w:p>
    <w:p w14:paraId="359D45F1" w14:textId="1668E069" w:rsidR="00E2276E" w:rsidRPr="008B0111" w:rsidRDefault="006F18B4" w:rsidP="002B6C61">
      <w:pPr>
        <w:contextualSpacing/>
        <w:jc w:val="center"/>
        <w:rPr>
          <w:lang w:eastAsia="ja-JP"/>
        </w:rPr>
      </w:pPr>
      <w:r w:rsidRPr="008B0111">
        <w:rPr>
          <w:noProof/>
          <w:lang w:val="ms-MY" w:eastAsia="ja-JP"/>
        </w:rPr>
        <w:t xml:space="preserve">Untuk Fotodegradasi Pewarna Remazol Brilliant </w:t>
      </w:r>
      <w:r w:rsidR="001533F6" w:rsidRPr="008B0111">
        <w:rPr>
          <w:noProof/>
          <w:lang w:val="ms-MY" w:eastAsia="ja-JP"/>
        </w:rPr>
        <w:t>Biru</w:t>
      </w:r>
      <w:r w:rsidR="002B6C61" w:rsidRPr="008B0111">
        <w:rPr>
          <w:lang w:eastAsia="ja-JP"/>
        </w:rPr>
        <w:t>)</w:t>
      </w:r>
    </w:p>
    <w:p w14:paraId="6D910E3B" w14:textId="77777777" w:rsidR="00E2276E" w:rsidRPr="008B0111" w:rsidRDefault="00E2276E" w:rsidP="00B539A5">
      <w:pPr>
        <w:contextualSpacing/>
        <w:jc w:val="both"/>
        <w:rPr>
          <w:b/>
          <w:sz w:val="20"/>
          <w:szCs w:val="20"/>
          <w:lang w:eastAsia="ja-JP"/>
        </w:rPr>
      </w:pPr>
    </w:p>
    <w:p w14:paraId="70DBEBE9" w14:textId="77777777" w:rsidR="00B8094A" w:rsidRPr="008B0111" w:rsidRDefault="00535D14" w:rsidP="009D1276">
      <w:pPr>
        <w:pStyle w:val="Heading"/>
        <w:spacing w:line="240" w:lineRule="auto"/>
        <w:contextualSpacing/>
        <w:jc w:val="center"/>
        <w:rPr>
          <w:b w:val="0"/>
          <w:noProof/>
          <w:sz w:val="20"/>
          <w:szCs w:val="20"/>
          <w:lang w:val="ms-MY" w:eastAsia="ja-JP"/>
        </w:rPr>
      </w:pPr>
      <w:r w:rsidRPr="008B0111">
        <w:rPr>
          <w:b w:val="0"/>
          <w:noProof/>
          <w:sz w:val="20"/>
          <w:szCs w:val="20"/>
          <w:lang w:val="ms-MY"/>
        </w:rPr>
        <w:t xml:space="preserve">Muhammad Farhan Hanafi, Noor Faizah Che Harun, </w:t>
      </w:r>
      <w:r w:rsidR="007A0C00" w:rsidRPr="008B0111">
        <w:rPr>
          <w:b w:val="0"/>
          <w:noProof/>
          <w:sz w:val="20"/>
          <w:szCs w:val="20"/>
          <w:lang w:val="ms-MY"/>
        </w:rPr>
        <w:t>Norzahir</w:t>
      </w:r>
      <w:r w:rsidR="009D1276" w:rsidRPr="008B0111">
        <w:rPr>
          <w:b w:val="0"/>
          <w:noProof/>
          <w:sz w:val="20"/>
          <w:szCs w:val="20"/>
          <w:lang w:val="ms-MY"/>
        </w:rPr>
        <w:t xml:space="preserve"> </w:t>
      </w:r>
      <w:r w:rsidR="00B8094A" w:rsidRPr="008B0111">
        <w:rPr>
          <w:b w:val="0"/>
          <w:noProof/>
          <w:sz w:val="20"/>
          <w:szCs w:val="20"/>
          <w:lang w:val="ms-MY"/>
        </w:rPr>
        <w:t>Sapawe</w:t>
      </w:r>
      <w:r w:rsidR="00B8094A" w:rsidRPr="008B0111">
        <w:rPr>
          <w:b w:val="0"/>
          <w:noProof/>
          <w:sz w:val="20"/>
          <w:szCs w:val="20"/>
          <w:vertAlign w:val="superscript"/>
          <w:lang w:val="ms-MY"/>
        </w:rPr>
        <w:t>*</w:t>
      </w:r>
      <w:r w:rsidR="002B6C61" w:rsidRPr="008B0111">
        <w:rPr>
          <w:b w:val="0"/>
          <w:noProof/>
          <w:sz w:val="20"/>
          <w:szCs w:val="20"/>
          <w:lang w:val="ms-MY" w:eastAsia="ja-JP"/>
        </w:rPr>
        <w:t xml:space="preserve">, </w:t>
      </w:r>
      <w:r w:rsidR="006F18B4" w:rsidRPr="008B0111">
        <w:rPr>
          <w:b w:val="0"/>
          <w:noProof/>
          <w:sz w:val="20"/>
          <w:szCs w:val="20"/>
          <w:lang w:val="ms-MY" w:eastAsia="ja-JP"/>
        </w:rPr>
        <w:t>Azizzami Raidin</w:t>
      </w:r>
    </w:p>
    <w:p w14:paraId="3FF63ADD" w14:textId="77777777" w:rsidR="00B8094A" w:rsidRPr="008B0111" w:rsidRDefault="00B8094A" w:rsidP="002B6C61">
      <w:pPr>
        <w:pStyle w:val="Heading"/>
        <w:spacing w:line="240" w:lineRule="auto"/>
        <w:contextualSpacing/>
        <w:jc w:val="center"/>
        <w:rPr>
          <w:sz w:val="20"/>
          <w:szCs w:val="20"/>
        </w:rPr>
      </w:pPr>
    </w:p>
    <w:p w14:paraId="7A965FD6" w14:textId="77777777" w:rsidR="008B0111" w:rsidRDefault="007A0C00" w:rsidP="00DB2909">
      <w:pPr>
        <w:contextualSpacing/>
        <w:jc w:val="center"/>
        <w:rPr>
          <w:i/>
          <w:iCs/>
          <w:sz w:val="18"/>
          <w:szCs w:val="18"/>
        </w:rPr>
      </w:pPr>
      <w:r w:rsidRPr="008B0111">
        <w:rPr>
          <w:i/>
          <w:iCs/>
          <w:sz w:val="18"/>
          <w:szCs w:val="18"/>
        </w:rPr>
        <w:t xml:space="preserve">Universiti Kuala Lumpur </w:t>
      </w:r>
      <w:r w:rsidR="00535D14" w:rsidRPr="008B0111">
        <w:rPr>
          <w:i/>
          <w:iCs/>
          <w:sz w:val="18"/>
          <w:szCs w:val="18"/>
        </w:rPr>
        <w:t xml:space="preserve">Branch Campus </w:t>
      </w:r>
    </w:p>
    <w:p w14:paraId="38DEC51D" w14:textId="77777777" w:rsidR="008B0111" w:rsidRDefault="00B8094A" w:rsidP="00DB2909">
      <w:pPr>
        <w:contextualSpacing/>
        <w:jc w:val="center"/>
        <w:rPr>
          <w:i/>
          <w:iCs/>
          <w:sz w:val="18"/>
          <w:szCs w:val="18"/>
        </w:rPr>
      </w:pPr>
      <w:r w:rsidRPr="008B0111">
        <w:rPr>
          <w:i/>
          <w:iCs/>
          <w:sz w:val="18"/>
          <w:szCs w:val="18"/>
        </w:rPr>
        <w:t>Malaysian Institute of Chemical and B</w:t>
      </w:r>
      <w:r w:rsidR="007A0C00" w:rsidRPr="008B0111">
        <w:rPr>
          <w:i/>
          <w:iCs/>
          <w:sz w:val="18"/>
          <w:szCs w:val="18"/>
        </w:rPr>
        <w:t>ioengineering Technology</w:t>
      </w:r>
      <w:r w:rsidRPr="008B0111">
        <w:rPr>
          <w:i/>
          <w:iCs/>
          <w:sz w:val="18"/>
          <w:szCs w:val="18"/>
        </w:rPr>
        <w:t xml:space="preserve">, </w:t>
      </w:r>
    </w:p>
    <w:p w14:paraId="643CF571" w14:textId="74D8B683" w:rsidR="00C34FF2" w:rsidRPr="008B0111" w:rsidRDefault="00B8094A" w:rsidP="00DB2909">
      <w:pPr>
        <w:contextualSpacing/>
        <w:jc w:val="center"/>
        <w:rPr>
          <w:b/>
          <w:i/>
          <w:iCs/>
          <w:sz w:val="18"/>
          <w:szCs w:val="18"/>
        </w:rPr>
      </w:pPr>
      <w:r w:rsidRPr="008B0111">
        <w:rPr>
          <w:i/>
          <w:iCs/>
          <w:sz w:val="18"/>
          <w:szCs w:val="18"/>
        </w:rPr>
        <w:t>Lot 1988 Vendor City, Taboh Naning, 780</w:t>
      </w:r>
      <w:r w:rsidR="00A32F67" w:rsidRPr="008B0111">
        <w:rPr>
          <w:i/>
          <w:iCs/>
          <w:sz w:val="18"/>
          <w:szCs w:val="18"/>
        </w:rPr>
        <w:t>00 Alor Gajah, Melaka, Malaysia</w:t>
      </w:r>
    </w:p>
    <w:p w14:paraId="11A0E2FE" w14:textId="77777777" w:rsidR="00B8094A" w:rsidRPr="008B0111" w:rsidRDefault="00B8094A" w:rsidP="002B6C61">
      <w:pPr>
        <w:pStyle w:val="Heading"/>
        <w:spacing w:line="240" w:lineRule="auto"/>
        <w:contextualSpacing/>
        <w:jc w:val="center"/>
        <w:rPr>
          <w:b w:val="0"/>
        </w:rPr>
      </w:pPr>
    </w:p>
    <w:p w14:paraId="6430F62D" w14:textId="77777777" w:rsidR="00B8094A" w:rsidRPr="008B0111" w:rsidRDefault="00B8094A" w:rsidP="002B6C61">
      <w:pPr>
        <w:contextualSpacing/>
        <w:jc w:val="center"/>
        <w:rPr>
          <w:i/>
          <w:sz w:val="18"/>
          <w:szCs w:val="18"/>
          <w:lang w:eastAsia="ja-JP"/>
        </w:rPr>
      </w:pPr>
      <w:r w:rsidRPr="008B0111">
        <w:rPr>
          <w:i/>
          <w:sz w:val="18"/>
          <w:szCs w:val="18"/>
          <w:vertAlign w:val="superscript"/>
          <w:lang w:eastAsia="ja-JP"/>
        </w:rPr>
        <w:t>*</w:t>
      </w:r>
      <w:r w:rsidRPr="008B0111">
        <w:rPr>
          <w:i/>
          <w:sz w:val="18"/>
          <w:szCs w:val="18"/>
          <w:lang w:eastAsia="ja-JP"/>
        </w:rPr>
        <w:t>Corresponding author:</w:t>
      </w:r>
      <w:r w:rsidR="00535D14" w:rsidRPr="008B0111">
        <w:rPr>
          <w:i/>
          <w:sz w:val="18"/>
          <w:szCs w:val="18"/>
        </w:rPr>
        <w:t xml:space="preserve"> norzahir@unikl.edu.my</w:t>
      </w:r>
    </w:p>
    <w:p w14:paraId="33D440FB" w14:textId="77777777" w:rsidR="00375F34" w:rsidRPr="008B0111" w:rsidRDefault="00375F34" w:rsidP="00B539A5">
      <w:pPr>
        <w:contextualSpacing/>
        <w:jc w:val="both"/>
        <w:rPr>
          <w:i/>
          <w:sz w:val="18"/>
          <w:szCs w:val="18"/>
          <w:lang w:eastAsia="ja-JP"/>
        </w:rPr>
      </w:pPr>
    </w:p>
    <w:p w14:paraId="70CDB273" w14:textId="77777777" w:rsidR="00B8094A" w:rsidRPr="008B0111" w:rsidRDefault="002B6C61" w:rsidP="002B6C61">
      <w:pPr>
        <w:contextualSpacing/>
        <w:jc w:val="center"/>
        <w:rPr>
          <w:b/>
          <w:sz w:val="18"/>
          <w:szCs w:val="18"/>
          <w:lang w:eastAsia="ja-JP"/>
        </w:rPr>
      </w:pPr>
      <w:r w:rsidRPr="008B0111">
        <w:rPr>
          <w:b/>
          <w:sz w:val="18"/>
          <w:szCs w:val="18"/>
          <w:lang w:eastAsia="ja-JP"/>
        </w:rPr>
        <w:t>Abstract</w:t>
      </w:r>
    </w:p>
    <w:p w14:paraId="1E43DABE" w14:textId="5765A4BE" w:rsidR="00C50ECE" w:rsidRPr="008B0111" w:rsidRDefault="00B97D2D" w:rsidP="00B539A5">
      <w:pPr>
        <w:contextualSpacing/>
        <w:jc w:val="both"/>
        <w:rPr>
          <w:rFonts w:eastAsiaTheme="minorEastAsia"/>
          <w:sz w:val="18"/>
          <w:szCs w:val="18"/>
        </w:rPr>
      </w:pPr>
      <w:r w:rsidRPr="008B0111">
        <w:rPr>
          <w:rFonts w:eastAsiaTheme="minorEastAsia"/>
          <w:sz w:val="18"/>
          <w:szCs w:val="18"/>
        </w:rPr>
        <w:t>NiO catalyst was prepared through electrochemical method with rambutan (</w:t>
      </w:r>
      <w:r w:rsidRPr="008B0111">
        <w:rPr>
          <w:rFonts w:eastAsiaTheme="minorEastAsia"/>
          <w:i/>
          <w:iCs/>
          <w:sz w:val="18"/>
          <w:szCs w:val="18"/>
        </w:rPr>
        <w:t>Nephelium lappaceum</w:t>
      </w:r>
      <w:r w:rsidRPr="008B0111">
        <w:rPr>
          <w:rFonts w:eastAsiaTheme="minorEastAsia"/>
          <w:sz w:val="18"/>
          <w:szCs w:val="18"/>
        </w:rPr>
        <w:t xml:space="preserve">) leaves as an electrolyte. The effects of the preparation methods on the physical properties of the catalyst were studied </w:t>
      </w:r>
      <w:r w:rsidRPr="008B0111">
        <w:rPr>
          <w:rFonts w:eastAsiaTheme="minorEastAsia"/>
          <w:i/>
          <w:sz w:val="18"/>
          <w:szCs w:val="18"/>
        </w:rPr>
        <w:t>via</w:t>
      </w:r>
      <w:r w:rsidRPr="008B0111">
        <w:rPr>
          <w:rFonts w:eastAsiaTheme="minorEastAsia"/>
          <w:sz w:val="18"/>
          <w:szCs w:val="18"/>
        </w:rPr>
        <w:t xml:space="preserve"> Fourier transform infrared spectroscopy (FTIR). The interaction between nickel species and bio-active compounds of rambutan leaves crude during the electrochemical was found to affect the NiO structure. An amount of 3.0 g L</w:t>
      </w:r>
      <w:r w:rsidRPr="008B0111">
        <w:rPr>
          <w:rFonts w:eastAsiaTheme="minorEastAsia"/>
          <w:sz w:val="18"/>
          <w:szCs w:val="18"/>
          <w:vertAlign w:val="superscript"/>
        </w:rPr>
        <w:t xml:space="preserve">−1 </w:t>
      </w:r>
      <w:r w:rsidRPr="008B0111">
        <w:rPr>
          <w:rFonts w:eastAsiaTheme="minorEastAsia"/>
          <w:sz w:val="18"/>
          <w:szCs w:val="18"/>
        </w:rPr>
        <w:t>of NiO was found to be the optimum dosage for 10 mg L</w:t>
      </w:r>
      <w:r w:rsidRPr="008B0111">
        <w:rPr>
          <w:rFonts w:eastAsiaTheme="minorEastAsia"/>
          <w:sz w:val="18"/>
          <w:szCs w:val="18"/>
          <w:vertAlign w:val="superscript"/>
        </w:rPr>
        <w:t>−1</w:t>
      </w:r>
      <w:r w:rsidRPr="008B0111">
        <w:rPr>
          <w:rFonts w:eastAsiaTheme="minorEastAsia"/>
          <w:sz w:val="18"/>
          <w:szCs w:val="18"/>
        </w:rPr>
        <w:t xml:space="preserve"> of Remazol Brilliant Blue (RBB) dye, which resulted in 83.7% of maximum degradation after 1 h</w:t>
      </w:r>
      <w:r w:rsidR="008B0111">
        <w:rPr>
          <w:rFonts w:eastAsiaTheme="minorEastAsia"/>
          <w:sz w:val="18"/>
          <w:szCs w:val="18"/>
        </w:rPr>
        <w:t>our</w:t>
      </w:r>
      <w:r w:rsidRPr="008B0111">
        <w:rPr>
          <w:rFonts w:eastAsiaTheme="minorEastAsia"/>
          <w:sz w:val="18"/>
          <w:szCs w:val="18"/>
        </w:rPr>
        <w:t xml:space="preserve"> of contact time at pH 3 under fluorescent light. This study showed that the kinetics followed a pseudo-first order Langmuir–Hinshelwood model with the calculated values of K</w:t>
      </w:r>
      <w:r w:rsidRPr="008B0111">
        <w:rPr>
          <w:rFonts w:eastAsiaTheme="minorEastAsia"/>
          <w:sz w:val="18"/>
          <w:szCs w:val="18"/>
          <w:vertAlign w:val="subscript"/>
        </w:rPr>
        <w:t>r</w:t>
      </w:r>
      <w:r w:rsidRPr="008B0111">
        <w:rPr>
          <w:rFonts w:eastAsiaTheme="minorEastAsia"/>
          <w:sz w:val="18"/>
          <w:szCs w:val="18"/>
        </w:rPr>
        <w:t xml:space="preserve"> and K</w:t>
      </w:r>
      <w:r w:rsidRPr="008B0111">
        <w:rPr>
          <w:rFonts w:eastAsiaTheme="minorEastAsia"/>
          <w:sz w:val="18"/>
          <w:szCs w:val="18"/>
          <w:vertAlign w:val="subscript"/>
        </w:rPr>
        <w:t>LH</w:t>
      </w:r>
      <w:r w:rsidRPr="008B0111">
        <w:rPr>
          <w:rFonts w:eastAsiaTheme="minorEastAsia"/>
          <w:sz w:val="18"/>
          <w:szCs w:val="18"/>
        </w:rPr>
        <w:t xml:space="preserve"> at 1.38 mg L</w:t>
      </w:r>
      <w:r w:rsidRPr="008B0111">
        <w:rPr>
          <w:rFonts w:eastAsiaTheme="minorEastAsia"/>
          <w:sz w:val="18"/>
          <w:szCs w:val="18"/>
          <w:vertAlign w:val="superscript"/>
        </w:rPr>
        <w:t>−1</w:t>
      </w:r>
      <w:r w:rsidRPr="008B0111">
        <w:rPr>
          <w:rFonts w:eastAsiaTheme="minorEastAsia"/>
          <w:sz w:val="18"/>
          <w:szCs w:val="18"/>
        </w:rPr>
        <w:t xml:space="preserve"> h</w:t>
      </w:r>
      <w:r w:rsidRPr="008B0111">
        <w:rPr>
          <w:rFonts w:eastAsiaTheme="minorEastAsia"/>
          <w:sz w:val="18"/>
          <w:szCs w:val="18"/>
          <w:vertAlign w:val="superscript"/>
        </w:rPr>
        <w:t>−1</w:t>
      </w:r>
      <w:r w:rsidRPr="008B0111">
        <w:rPr>
          <w:rFonts w:eastAsiaTheme="minorEastAsia"/>
          <w:sz w:val="18"/>
          <w:szCs w:val="18"/>
        </w:rPr>
        <w:t xml:space="preserve"> and 0.03 L mg</w:t>
      </w:r>
      <w:r w:rsidRPr="008B0111">
        <w:rPr>
          <w:rFonts w:eastAsiaTheme="minorEastAsia"/>
          <w:sz w:val="18"/>
          <w:szCs w:val="18"/>
          <w:vertAlign w:val="superscript"/>
        </w:rPr>
        <w:t>−1</w:t>
      </w:r>
      <w:r w:rsidRPr="008B0111">
        <w:rPr>
          <w:rFonts w:eastAsiaTheme="minorEastAsia"/>
          <w:sz w:val="18"/>
          <w:szCs w:val="18"/>
        </w:rPr>
        <w:t>, respectively. Measurements of the mineralization of RBB by COD and BOD</w:t>
      </w:r>
      <w:r w:rsidRPr="008B0111">
        <w:rPr>
          <w:rFonts w:eastAsiaTheme="minorEastAsia"/>
          <w:sz w:val="18"/>
          <w:szCs w:val="18"/>
          <w:vertAlign w:val="subscript"/>
        </w:rPr>
        <w:t>5</w:t>
      </w:r>
      <w:r w:rsidRPr="008B0111">
        <w:rPr>
          <w:rFonts w:eastAsiaTheme="minorEastAsia"/>
          <w:sz w:val="18"/>
          <w:szCs w:val="18"/>
        </w:rPr>
        <w:t xml:space="preserve"> analysis were 66.6% and 73.4%, respectively, before and after reaction. Therefore, the effectiveness of synthesized NiO by the electrobiosynthesis method was established and confirmed through this study. The synthesized NiO has a great potential as a photocatalyst in photocatalytic reaction for wastewater treatment</w:t>
      </w:r>
      <w:r w:rsidR="00C50ECE" w:rsidRPr="008B0111">
        <w:rPr>
          <w:sz w:val="18"/>
          <w:szCs w:val="18"/>
        </w:rPr>
        <w:t>.</w:t>
      </w:r>
    </w:p>
    <w:p w14:paraId="2C2B7355" w14:textId="77777777" w:rsidR="00B8094A" w:rsidRPr="008B0111" w:rsidRDefault="00B8094A" w:rsidP="00B539A5">
      <w:pPr>
        <w:contextualSpacing/>
        <w:jc w:val="both"/>
        <w:rPr>
          <w:sz w:val="18"/>
          <w:szCs w:val="18"/>
        </w:rPr>
      </w:pPr>
    </w:p>
    <w:p w14:paraId="19F44239" w14:textId="23B7546D" w:rsidR="00994BCF" w:rsidRPr="008B0111" w:rsidRDefault="009C6A7E" w:rsidP="00B539A5">
      <w:pPr>
        <w:contextualSpacing/>
        <w:jc w:val="both"/>
        <w:rPr>
          <w:sz w:val="18"/>
          <w:szCs w:val="18"/>
        </w:rPr>
      </w:pPr>
      <w:r w:rsidRPr="008B0111">
        <w:rPr>
          <w:b/>
          <w:sz w:val="18"/>
          <w:szCs w:val="18"/>
        </w:rPr>
        <w:t>Keywords</w:t>
      </w:r>
      <w:r w:rsidR="00DB2909" w:rsidRPr="008B0111">
        <w:rPr>
          <w:sz w:val="18"/>
          <w:szCs w:val="18"/>
        </w:rPr>
        <w:t xml:space="preserve">: </w:t>
      </w:r>
      <w:r w:rsidR="008B0111" w:rsidRPr="008B0111">
        <w:rPr>
          <w:sz w:val="18"/>
          <w:szCs w:val="18"/>
        </w:rPr>
        <w:t>electrobiosynthesis, nickel, remazol brilliant blue dye, degradation, light irradiation</w:t>
      </w:r>
    </w:p>
    <w:p w14:paraId="0D392C79" w14:textId="77777777" w:rsidR="00994BCF" w:rsidRPr="008B0111" w:rsidRDefault="00994BCF" w:rsidP="00B539A5">
      <w:pPr>
        <w:contextualSpacing/>
        <w:jc w:val="both"/>
        <w:rPr>
          <w:sz w:val="18"/>
          <w:szCs w:val="18"/>
          <w:lang w:eastAsia="ja-JP"/>
        </w:rPr>
      </w:pPr>
    </w:p>
    <w:p w14:paraId="656BD5C7" w14:textId="77777777" w:rsidR="00E2276E" w:rsidRPr="008B0111" w:rsidRDefault="002B6C61" w:rsidP="000708F1">
      <w:pPr>
        <w:contextualSpacing/>
        <w:jc w:val="center"/>
        <w:rPr>
          <w:b/>
          <w:sz w:val="18"/>
          <w:szCs w:val="18"/>
          <w:lang w:eastAsia="ja-JP"/>
        </w:rPr>
      </w:pPr>
      <w:r w:rsidRPr="008B0111">
        <w:rPr>
          <w:b/>
          <w:sz w:val="18"/>
          <w:szCs w:val="18"/>
          <w:lang w:eastAsia="ja-JP"/>
        </w:rPr>
        <w:t>Abstrak</w:t>
      </w:r>
    </w:p>
    <w:p w14:paraId="74F5197E" w14:textId="12CAA961" w:rsidR="009C6A7E" w:rsidRPr="008B0111" w:rsidRDefault="00994BCF" w:rsidP="00B539A5">
      <w:pPr>
        <w:contextualSpacing/>
        <w:jc w:val="both"/>
        <w:rPr>
          <w:sz w:val="18"/>
          <w:szCs w:val="18"/>
          <w:lang w:val="ms-MY"/>
        </w:rPr>
      </w:pPr>
      <w:r w:rsidRPr="008B0111">
        <w:rPr>
          <w:sz w:val="18"/>
          <w:szCs w:val="18"/>
          <w:lang w:val="ms-MY"/>
        </w:rPr>
        <w:t>Mangkin NiO disediakan melalui kaedah elektrokimia dengan ekstrak daun rambutan (</w:t>
      </w:r>
      <w:r w:rsidRPr="008B0111">
        <w:rPr>
          <w:i/>
          <w:sz w:val="18"/>
          <w:szCs w:val="18"/>
          <w:lang w:val="ms-MY"/>
        </w:rPr>
        <w:t>Nephelium lappaceum</w:t>
      </w:r>
      <w:r w:rsidRPr="008B0111">
        <w:rPr>
          <w:sz w:val="18"/>
          <w:szCs w:val="18"/>
          <w:lang w:val="ms-MY"/>
        </w:rPr>
        <w:t xml:space="preserve">) sebagai elektrolit. Kesan kaedah penyediaan ke atas sifat fizikal mangkin telah dikaji melalui </w:t>
      </w:r>
      <w:r w:rsidR="008B0111">
        <w:rPr>
          <w:sz w:val="18"/>
          <w:szCs w:val="18"/>
          <w:lang w:val="ms-MY"/>
        </w:rPr>
        <w:t xml:space="preserve">spektroskopi inframerah transformasi </w:t>
      </w:r>
      <w:r w:rsidR="00A8620B" w:rsidRPr="008B0111">
        <w:rPr>
          <w:rFonts w:eastAsiaTheme="minorEastAsia"/>
          <w:sz w:val="18"/>
          <w:szCs w:val="18"/>
        </w:rPr>
        <w:t>Fourier (FTIR)</w:t>
      </w:r>
      <w:r w:rsidRPr="008B0111">
        <w:rPr>
          <w:sz w:val="18"/>
          <w:szCs w:val="18"/>
          <w:lang w:val="ms-MY"/>
        </w:rPr>
        <w:t>. Interaksi antara spesies nikel dan sebatian bio-aktif dari ekstrak daun rambutan semasa elektrokimia didapati mempengaruhi struktur NiO. Sejumlah 3.0 gL</w:t>
      </w:r>
      <w:r w:rsidRPr="008B0111">
        <w:rPr>
          <w:sz w:val="18"/>
          <w:szCs w:val="18"/>
          <w:vertAlign w:val="superscript"/>
          <w:lang w:val="ms-MY"/>
        </w:rPr>
        <w:t>-1</w:t>
      </w:r>
      <w:r w:rsidRPr="008B0111">
        <w:rPr>
          <w:sz w:val="18"/>
          <w:szCs w:val="18"/>
          <w:lang w:val="ms-MY"/>
        </w:rPr>
        <w:t xml:space="preserve"> NiO didapati sebagai dos optimum untuk 10 mgL</w:t>
      </w:r>
      <w:r w:rsidRPr="008B0111">
        <w:rPr>
          <w:sz w:val="18"/>
          <w:szCs w:val="18"/>
          <w:vertAlign w:val="superscript"/>
          <w:lang w:val="ms-MY"/>
        </w:rPr>
        <w:t>-1</w:t>
      </w:r>
      <w:r w:rsidRPr="008B0111">
        <w:rPr>
          <w:sz w:val="18"/>
          <w:szCs w:val="18"/>
          <w:lang w:val="ms-MY"/>
        </w:rPr>
        <w:t xml:space="preserve"> pewarna Remazol Brilliant Biru (RBB), yang menghasilkan 83.7% degradasi maksimum selepas 1 jam masa kontak di pH 3 di bawah lampu pendarfluor. Kajian ini juga menunjukkan bahawa kinetik mengikuti model Langmuir-Hinshelwood dengan pseudo pertama dengan nilai kiraan K</w:t>
      </w:r>
      <w:r w:rsidRPr="008B0111">
        <w:rPr>
          <w:sz w:val="18"/>
          <w:szCs w:val="18"/>
          <w:vertAlign w:val="subscript"/>
          <w:lang w:val="ms-MY"/>
        </w:rPr>
        <w:t>r</w:t>
      </w:r>
      <w:r w:rsidRPr="008B0111">
        <w:rPr>
          <w:sz w:val="18"/>
          <w:szCs w:val="18"/>
          <w:lang w:val="ms-MY"/>
        </w:rPr>
        <w:t xml:space="preserve"> dan K</w:t>
      </w:r>
      <w:r w:rsidRPr="008B0111">
        <w:rPr>
          <w:sz w:val="18"/>
          <w:szCs w:val="18"/>
          <w:vertAlign w:val="subscript"/>
          <w:lang w:val="ms-MY"/>
        </w:rPr>
        <w:t>LH</w:t>
      </w:r>
      <w:r w:rsidRPr="008B0111">
        <w:rPr>
          <w:sz w:val="18"/>
          <w:szCs w:val="18"/>
          <w:lang w:val="ms-MY"/>
        </w:rPr>
        <w:t xml:space="preserve"> masing-masing adalah 1.38 mgL</w:t>
      </w:r>
      <w:r w:rsidRPr="008B0111">
        <w:rPr>
          <w:sz w:val="18"/>
          <w:szCs w:val="18"/>
          <w:vertAlign w:val="superscript"/>
          <w:lang w:val="ms-MY"/>
        </w:rPr>
        <w:t>-1</w:t>
      </w:r>
      <w:r w:rsidRPr="008B0111">
        <w:rPr>
          <w:sz w:val="18"/>
          <w:szCs w:val="18"/>
          <w:lang w:val="ms-MY"/>
        </w:rPr>
        <w:t>h</w:t>
      </w:r>
      <w:r w:rsidRPr="008B0111">
        <w:rPr>
          <w:sz w:val="18"/>
          <w:szCs w:val="18"/>
          <w:vertAlign w:val="superscript"/>
          <w:lang w:val="ms-MY"/>
        </w:rPr>
        <w:t>-1</w:t>
      </w:r>
      <w:r w:rsidRPr="008B0111">
        <w:rPr>
          <w:sz w:val="18"/>
          <w:szCs w:val="18"/>
          <w:lang w:val="ms-MY"/>
        </w:rPr>
        <w:t xml:space="preserve"> dan 0.03 Lmg</w:t>
      </w:r>
      <w:r w:rsidRPr="008B0111">
        <w:rPr>
          <w:sz w:val="18"/>
          <w:szCs w:val="18"/>
          <w:vertAlign w:val="superscript"/>
          <w:lang w:val="ms-MY"/>
        </w:rPr>
        <w:t>-1</w:t>
      </w:r>
      <w:r w:rsidRPr="008B0111">
        <w:rPr>
          <w:sz w:val="18"/>
          <w:szCs w:val="18"/>
          <w:lang w:val="ms-MY"/>
        </w:rPr>
        <w:t>. Pengukuran mineralisasi RBB oleh COD dan BOD</w:t>
      </w:r>
      <w:r w:rsidRPr="008B0111">
        <w:rPr>
          <w:sz w:val="18"/>
          <w:szCs w:val="18"/>
          <w:vertAlign w:val="subscript"/>
          <w:lang w:val="ms-MY"/>
        </w:rPr>
        <w:t>5</w:t>
      </w:r>
      <w:r w:rsidRPr="008B0111">
        <w:rPr>
          <w:sz w:val="18"/>
          <w:szCs w:val="18"/>
          <w:lang w:val="ms-MY"/>
        </w:rPr>
        <w:t xml:space="preserve"> adalah 66.6% dan 7</w:t>
      </w:r>
      <w:r w:rsidR="00A8620B" w:rsidRPr="008B0111">
        <w:rPr>
          <w:sz w:val="18"/>
          <w:szCs w:val="18"/>
          <w:lang w:val="ms-MY"/>
        </w:rPr>
        <w:t>3.4%, sebelum dan selepas tindak balas</w:t>
      </w:r>
      <w:r w:rsidRPr="008B0111">
        <w:rPr>
          <w:sz w:val="18"/>
          <w:szCs w:val="18"/>
          <w:lang w:val="ms-MY"/>
        </w:rPr>
        <w:t>. Oleh itu, keberkesanan sintesis NiO dengan kaedah elektrobiosintesis telah ditubuhkan dan disahkan melalui kajian ini. NiO yang disintesis mempunyai potensi besar seb</w:t>
      </w:r>
      <w:r w:rsidR="00A8620B" w:rsidRPr="008B0111">
        <w:rPr>
          <w:sz w:val="18"/>
          <w:szCs w:val="18"/>
          <w:lang w:val="ms-MY"/>
        </w:rPr>
        <w:t>agai fotokatalis dalam tindak balas</w:t>
      </w:r>
      <w:r w:rsidRPr="008B0111">
        <w:rPr>
          <w:sz w:val="18"/>
          <w:szCs w:val="18"/>
          <w:lang w:val="ms-MY"/>
        </w:rPr>
        <w:t xml:space="preserve"> fotokatalitik untuk rawatan air sisa</w:t>
      </w:r>
      <w:r w:rsidR="00E2276E" w:rsidRPr="008B0111">
        <w:rPr>
          <w:sz w:val="18"/>
          <w:szCs w:val="18"/>
          <w:lang w:val="ms-MY"/>
        </w:rPr>
        <w:t>.</w:t>
      </w:r>
    </w:p>
    <w:p w14:paraId="79DFEDAE" w14:textId="49ABF623" w:rsidR="001533F6" w:rsidRPr="008B0111" w:rsidRDefault="00E2276E" w:rsidP="00B539A5">
      <w:pPr>
        <w:contextualSpacing/>
        <w:jc w:val="both"/>
        <w:rPr>
          <w:sz w:val="18"/>
          <w:szCs w:val="18"/>
          <w:lang w:val="ms-MY"/>
        </w:rPr>
      </w:pPr>
      <w:r w:rsidRPr="008B0111">
        <w:rPr>
          <w:sz w:val="18"/>
          <w:szCs w:val="18"/>
          <w:lang w:val="ms-MY"/>
        </w:rPr>
        <w:br/>
      </w:r>
      <w:r w:rsidR="009C6A7E" w:rsidRPr="008B0111">
        <w:rPr>
          <w:b/>
          <w:sz w:val="18"/>
          <w:szCs w:val="18"/>
          <w:lang w:val="ms-MY"/>
        </w:rPr>
        <w:t>Kata kunci</w:t>
      </w:r>
      <w:r w:rsidR="00994BCF" w:rsidRPr="008B0111">
        <w:rPr>
          <w:b/>
          <w:bCs/>
          <w:sz w:val="18"/>
          <w:szCs w:val="18"/>
          <w:lang w:val="ms-MY"/>
        </w:rPr>
        <w:t xml:space="preserve">: </w:t>
      </w:r>
      <w:r w:rsidR="008B0111" w:rsidRPr="008B0111">
        <w:rPr>
          <w:sz w:val="18"/>
          <w:szCs w:val="18"/>
          <w:lang w:val="ms-MY"/>
        </w:rPr>
        <w:t>elektrobiosintesis, nikel, pewarna remazol brilliant biru, degradasi, penyinaran cahaya</w:t>
      </w:r>
    </w:p>
    <w:p w14:paraId="1C719EAB" w14:textId="77777777" w:rsidR="000708F1" w:rsidRPr="008B0111" w:rsidRDefault="000708F1" w:rsidP="00B539A5">
      <w:pPr>
        <w:contextualSpacing/>
        <w:jc w:val="both"/>
        <w:rPr>
          <w:sz w:val="18"/>
          <w:szCs w:val="18"/>
          <w:lang w:eastAsia="ja-JP"/>
        </w:rPr>
      </w:pPr>
    </w:p>
    <w:p w14:paraId="4DE0CF1A" w14:textId="77777777" w:rsidR="00D759D1" w:rsidRPr="008B0111" w:rsidRDefault="00D759D1" w:rsidP="000708F1">
      <w:pPr>
        <w:jc w:val="center"/>
        <w:rPr>
          <w:b/>
          <w:bCs/>
          <w:sz w:val="20"/>
          <w:szCs w:val="20"/>
          <w:lang w:eastAsia="ms-MY"/>
        </w:rPr>
      </w:pPr>
      <w:r w:rsidRPr="008B0111">
        <w:rPr>
          <w:b/>
          <w:bCs/>
          <w:sz w:val="20"/>
          <w:szCs w:val="20"/>
          <w:lang w:eastAsia="ms-MY"/>
        </w:rPr>
        <w:t>Introduction</w:t>
      </w:r>
    </w:p>
    <w:p w14:paraId="4475EF23" w14:textId="77777777" w:rsidR="00B97D2D" w:rsidRPr="008B0111" w:rsidRDefault="00B97D2D" w:rsidP="00B97D2D">
      <w:pPr>
        <w:jc w:val="both"/>
        <w:rPr>
          <w:bCs/>
          <w:sz w:val="20"/>
          <w:szCs w:val="20"/>
          <w:lang w:val="en-GB"/>
        </w:rPr>
      </w:pPr>
      <w:r w:rsidRPr="008B0111">
        <w:rPr>
          <w:bCs/>
          <w:sz w:val="20"/>
          <w:szCs w:val="20"/>
          <w:lang w:val="en-GB"/>
        </w:rPr>
        <w:t>Access to sufficient water sources is a noteworthy issue that concerns countries everywhere throughout the world. While the specific issue differs in every country, it is conceivable to classify the main issue as having either limited access or substandard access to this indispensable asset. Moreover, this circumstance is foreseen to wind up being noticeably more extreme as environmental change and water shortage are happening around the world [1]. Wastewater treatment is thought to be a traditional way to deal with confronting deficient water supply [2]. In the last few decades, the structure of wastewater streams has changed because of the introduction of new chemicals. One of the examples is a synthetic dye. It is estimated that 90% of the total dyes produced will end up in fabrics, while the remaining portion will be used in leather, paper, plastic, and chemical industries. It is also estimated that 280</w:t>
      </w:r>
      <w:r w:rsidRPr="008B0111">
        <w:rPr>
          <w:bCs/>
          <w:sz w:val="20"/>
          <w:szCs w:val="20"/>
        </w:rPr>
        <w:t>,</w:t>
      </w:r>
      <w:r w:rsidRPr="008B0111">
        <w:rPr>
          <w:bCs/>
          <w:sz w:val="20"/>
          <w:szCs w:val="20"/>
          <w:lang w:val="en-GB"/>
        </w:rPr>
        <w:t>000 tons of textile dyes are discharged as industrial effluents every year worldwide [3].</w:t>
      </w:r>
    </w:p>
    <w:p w14:paraId="7B63F19F" w14:textId="77777777" w:rsidR="00B97D2D" w:rsidRPr="008B0111" w:rsidRDefault="00B97D2D" w:rsidP="00B97D2D">
      <w:pPr>
        <w:jc w:val="both"/>
        <w:rPr>
          <w:bCs/>
          <w:sz w:val="20"/>
          <w:szCs w:val="20"/>
          <w:lang w:val="en-GB"/>
        </w:rPr>
      </w:pPr>
    </w:p>
    <w:p w14:paraId="44394DC8" w14:textId="4670F52D" w:rsidR="00B97D2D" w:rsidRPr="008B0111" w:rsidRDefault="00B97D2D" w:rsidP="00B97D2D">
      <w:pPr>
        <w:jc w:val="both"/>
        <w:rPr>
          <w:bCs/>
          <w:sz w:val="20"/>
          <w:szCs w:val="20"/>
          <w:lang w:val="en-GB"/>
        </w:rPr>
      </w:pPr>
      <w:r w:rsidRPr="008B0111">
        <w:rPr>
          <w:bCs/>
          <w:sz w:val="20"/>
          <w:szCs w:val="20"/>
          <w:lang w:val="en-GB"/>
        </w:rPr>
        <w:t xml:space="preserve">Man-made textile </w:t>
      </w:r>
      <w:r w:rsidR="008B0111" w:rsidRPr="008B0111">
        <w:rPr>
          <w:bCs/>
          <w:sz w:val="20"/>
          <w:szCs w:val="20"/>
          <w:lang w:val="en-GB"/>
        </w:rPr>
        <w:t>fibre</w:t>
      </w:r>
      <w:r w:rsidRPr="008B0111">
        <w:rPr>
          <w:bCs/>
          <w:sz w:val="20"/>
          <w:szCs w:val="20"/>
          <w:lang w:val="en-GB"/>
        </w:rPr>
        <w:t xml:space="preserve"> is a very popular industry in Malaysia, especially in the East Coast of Peninsular Malaysia. Recently, this industry has contributed to the economic growth, especially in the states of Kelantan and Terengganu. Malaysia has produced close to 400</w:t>
      </w:r>
      <w:r w:rsidRPr="008B0111">
        <w:rPr>
          <w:bCs/>
          <w:sz w:val="20"/>
          <w:szCs w:val="20"/>
        </w:rPr>
        <w:t>,</w:t>
      </w:r>
      <w:r w:rsidRPr="008B0111">
        <w:rPr>
          <w:bCs/>
          <w:sz w:val="20"/>
          <w:szCs w:val="20"/>
          <w:lang w:val="en-GB"/>
        </w:rPr>
        <w:t xml:space="preserve">000 tons of man-made </w:t>
      </w:r>
      <w:r w:rsidR="008B0111" w:rsidRPr="008B0111">
        <w:rPr>
          <w:bCs/>
          <w:sz w:val="20"/>
          <w:szCs w:val="20"/>
          <w:lang w:val="en-GB"/>
        </w:rPr>
        <w:t>fibres</w:t>
      </w:r>
      <w:r w:rsidRPr="008B0111">
        <w:rPr>
          <w:bCs/>
          <w:sz w:val="20"/>
          <w:szCs w:val="20"/>
          <w:lang w:val="en-GB"/>
        </w:rPr>
        <w:t xml:space="preserve"> which consist of nylon, polyester filament and staple in 2008. Malaysia was the fifteenth largest producer of textile </w:t>
      </w:r>
      <w:r w:rsidR="008B0111" w:rsidRPr="008B0111">
        <w:rPr>
          <w:bCs/>
          <w:sz w:val="20"/>
          <w:szCs w:val="20"/>
          <w:lang w:val="en-GB"/>
        </w:rPr>
        <w:t>fibre</w:t>
      </w:r>
      <w:r w:rsidRPr="008B0111">
        <w:rPr>
          <w:bCs/>
          <w:sz w:val="20"/>
          <w:szCs w:val="20"/>
          <w:lang w:val="en-GB"/>
        </w:rPr>
        <w:t xml:space="preserve"> in 2008 and ninth largest in the Asian region. Malaysia’s textile industry had exports and imports valued at RM 10.8 billion (US$ 3.6 billion) and RM 6.6 billion (US$ 2.2 billion), respectively. At the same time, the huge amount of textile </w:t>
      </w:r>
      <w:r w:rsidR="008B0111" w:rsidRPr="008B0111">
        <w:rPr>
          <w:bCs/>
          <w:sz w:val="20"/>
          <w:szCs w:val="20"/>
          <w:lang w:val="en-GB"/>
        </w:rPr>
        <w:t>fibres</w:t>
      </w:r>
      <w:r w:rsidRPr="008B0111">
        <w:rPr>
          <w:bCs/>
          <w:sz w:val="20"/>
          <w:szCs w:val="20"/>
          <w:lang w:val="en-GB"/>
        </w:rPr>
        <w:t xml:space="preserve"> produced by the textile industry in Malaysia has significantly affected the environmental quality, especially with respect to the liquid effluent [3]. Fortunately, a sustainable solution to this challenge is being developed in the form of photocatalytic reaction. </w:t>
      </w:r>
    </w:p>
    <w:p w14:paraId="6569D695" w14:textId="77777777" w:rsidR="00B97D2D" w:rsidRPr="008B0111" w:rsidRDefault="00B97D2D" w:rsidP="00B97D2D">
      <w:pPr>
        <w:jc w:val="both"/>
        <w:rPr>
          <w:bCs/>
          <w:sz w:val="20"/>
          <w:szCs w:val="20"/>
          <w:lang w:val="en-GB"/>
        </w:rPr>
      </w:pPr>
    </w:p>
    <w:p w14:paraId="285A05AC" w14:textId="77777777" w:rsidR="00B97D2D" w:rsidRPr="008B0111" w:rsidRDefault="00B97D2D" w:rsidP="00B97D2D">
      <w:pPr>
        <w:jc w:val="both"/>
        <w:rPr>
          <w:bCs/>
          <w:sz w:val="20"/>
          <w:szCs w:val="20"/>
          <w:lang w:val="en-GB"/>
        </w:rPr>
      </w:pPr>
      <w:r w:rsidRPr="008B0111">
        <w:rPr>
          <w:bCs/>
          <w:sz w:val="20"/>
          <w:szCs w:val="20"/>
          <w:lang w:val="en-GB"/>
        </w:rPr>
        <w:t>Photocatalytic is an advanced oxidation process</w:t>
      </w:r>
      <w:r w:rsidR="00A32F67" w:rsidRPr="008B0111">
        <w:rPr>
          <w:bCs/>
          <w:sz w:val="20"/>
          <w:szCs w:val="20"/>
          <w:lang w:val="en-GB"/>
        </w:rPr>
        <w:t xml:space="preserve"> (AOP</w:t>
      </w:r>
      <w:r w:rsidRPr="008B0111">
        <w:rPr>
          <w:bCs/>
          <w:sz w:val="20"/>
          <w:szCs w:val="20"/>
          <w:lang w:val="en-GB"/>
        </w:rPr>
        <w:t>) alternative that uses natural sunlight to activate a metal oxide catalyst which in turn generates oxidizing agents</w:t>
      </w:r>
      <w:r w:rsidRPr="008B0111">
        <w:rPr>
          <w:bCs/>
          <w:sz w:val="20"/>
          <w:szCs w:val="20"/>
        </w:rPr>
        <w:t>,</w:t>
      </w:r>
      <w:r w:rsidRPr="008B0111">
        <w:rPr>
          <w:bCs/>
          <w:sz w:val="20"/>
          <w:szCs w:val="20"/>
          <w:lang w:val="en-GB"/>
        </w:rPr>
        <w:t xml:space="preserve"> able to degrade pollutants and inactivate pathogens typically resistant to traditional treatments [4]. This process is non-selective in regards to target pollutant, does not require the addition of extra chemicals (the catalyst can be reused and does not leave the system) and is expected to demand low operational costs; therefore, it has created high expectations among environmental scientists and engineers [4]. Many studies have attempted to use other semiconductors</w:t>
      </w:r>
      <w:r w:rsidRPr="008B0111">
        <w:rPr>
          <w:bCs/>
          <w:sz w:val="20"/>
          <w:szCs w:val="20"/>
        </w:rPr>
        <w:t>,</w:t>
      </w:r>
      <w:r w:rsidR="000105EC" w:rsidRPr="008B0111">
        <w:rPr>
          <w:bCs/>
          <w:sz w:val="20"/>
          <w:szCs w:val="20"/>
          <w:lang w:val="en-GB"/>
        </w:rPr>
        <w:t xml:space="preserve"> such as nickel o</w:t>
      </w:r>
      <w:r w:rsidRPr="008B0111">
        <w:rPr>
          <w:bCs/>
          <w:sz w:val="20"/>
          <w:szCs w:val="20"/>
          <w:lang w:val="en-GB"/>
        </w:rPr>
        <w:t>xide (NiO) as a potential photocatalyst for synthetic dye degradation. NiO is the alternative semiconductor which is a transition metal oxide widely used as a catalyst with extraordinary electrical, thermal, catalytic and redox properties [5]. The most attractive features of NiO are excellent durability and electrochemical stability. Reported band gap energy value for the NiO is in the range of 3.4-3.8 eV. This suggests that the optical transition in NiO takes place through direct inter-band transition [6]. Also, NiO can act as a promoter for the generation of OH radicals [7].</w:t>
      </w:r>
    </w:p>
    <w:p w14:paraId="20984E69" w14:textId="77777777" w:rsidR="00B97D2D" w:rsidRPr="008B0111" w:rsidRDefault="00B97D2D" w:rsidP="00B97D2D">
      <w:pPr>
        <w:jc w:val="both"/>
        <w:rPr>
          <w:bCs/>
          <w:sz w:val="20"/>
          <w:szCs w:val="20"/>
          <w:lang w:val="en-GB"/>
        </w:rPr>
      </w:pPr>
    </w:p>
    <w:p w14:paraId="0E04CB18" w14:textId="77777777" w:rsidR="00D759D1" w:rsidRPr="008B0111" w:rsidRDefault="00B97D2D" w:rsidP="000708F1">
      <w:pPr>
        <w:jc w:val="both"/>
        <w:rPr>
          <w:bCs/>
          <w:sz w:val="20"/>
          <w:szCs w:val="20"/>
          <w:lang w:val="en-GB"/>
        </w:rPr>
      </w:pPr>
      <w:r w:rsidRPr="008B0111">
        <w:rPr>
          <w:bCs/>
          <w:sz w:val="20"/>
          <w:szCs w:val="20"/>
          <w:lang w:val="en-GB"/>
        </w:rPr>
        <w:t xml:space="preserve">In recent years, biological synthesis has emerged as an attractive alternative to traditional synthesis methods for producing nanoparticles of photocatalysts. Synthesizing nanoparticles </w:t>
      </w:r>
      <w:r w:rsidRPr="008B0111">
        <w:rPr>
          <w:bCs/>
          <w:i/>
          <w:sz w:val="20"/>
          <w:szCs w:val="20"/>
          <w:lang w:val="en-GB"/>
        </w:rPr>
        <w:t>via</w:t>
      </w:r>
      <w:r w:rsidRPr="008B0111">
        <w:rPr>
          <w:bCs/>
          <w:sz w:val="20"/>
          <w:szCs w:val="20"/>
          <w:lang w:val="en-GB"/>
        </w:rPr>
        <w:t xml:space="preserve"> biological entities acting as biological factories offers a clean, nontoxic and environment-friendly method of synthesizing nanoparticles with a wide range of sizes, shapes, compositions and physicochemical properties [8]. Synthesizing nanoparticles </w:t>
      </w:r>
      <w:r w:rsidRPr="008B0111">
        <w:rPr>
          <w:bCs/>
          <w:i/>
          <w:iCs/>
          <w:sz w:val="20"/>
          <w:szCs w:val="20"/>
          <w:lang w:val="en-GB"/>
        </w:rPr>
        <w:t xml:space="preserve">via </w:t>
      </w:r>
      <w:r w:rsidRPr="008B0111">
        <w:rPr>
          <w:bCs/>
          <w:sz w:val="20"/>
          <w:szCs w:val="20"/>
          <w:lang w:val="en-GB"/>
        </w:rPr>
        <w:t>plants is a relatively straightforward and advantageous approach. The plant approach is more advantageous since it does not need any special, complex and multi-step procedures</w:t>
      </w:r>
      <w:r w:rsidRPr="008B0111">
        <w:rPr>
          <w:bCs/>
          <w:sz w:val="20"/>
          <w:szCs w:val="20"/>
        </w:rPr>
        <w:t>,</w:t>
      </w:r>
      <w:r w:rsidRPr="008B0111">
        <w:rPr>
          <w:bCs/>
          <w:sz w:val="20"/>
          <w:szCs w:val="20"/>
          <w:lang w:val="en-GB"/>
        </w:rPr>
        <w:t xml:space="preserve"> such as isolation, culture preparation, and culture maintenance. Furthermore, synthesis in plants tends to be faster than microorganisms, is more cost-effective and is relatively easy to scale up for the production of large quantities of nanoparticles [9]. Therefore, in this study, the electrobiosynthesis of NiO using rambutan leaves extract as an alternative electrolyte was carried out and used for the removal of Remazol Brilliant Blue (RBB) dye in an aqueous solution</w:t>
      </w:r>
      <w:r w:rsidR="00D759D1" w:rsidRPr="008B0111">
        <w:rPr>
          <w:sz w:val="20"/>
          <w:szCs w:val="20"/>
        </w:rPr>
        <w:t xml:space="preserve">.  </w:t>
      </w:r>
    </w:p>
    <w:p w14:paraId="5C2F4BBB" w14:textId="77777777" w:rsidR="0076045D" w:rsidRPr="008B0111" w:rsidRDefault="0076045D" w:rsidP="00B539A5">
      <w:pPr>
        <w:jc w:val="both"/>
        <w:rPr>
          <w:sz w:val="20"/>
          <w:szCs w:val="20"/>
        </w:rPr>
      </w:pPr>
    </w:p>
    <w:p w14:paraId="1D792E83" w14:textId="77777777" w:rsidR="00D759D1" w:rsidRPr="008B0111" w:rsidRDefault="00A8620B" w:rsidP="000708F1">
      <w:pPr>
        <w:autoSpaceDE w:val="0"/>
        <w:autoSpaceDN w:val="0"/>
        <w:adjustRightInd w:val="0"/>
        <w:jc w:val="center"/>
        <w:rPr>
          <w:b/>
          <w:sz w:val="20"/>
          <w:szCs w:val="20"/>
        </w:rPr>
      </w:pPr>
      <w:r w:rsidRPr="008B0111">
        <w:rPr>
          <w:b/>
          <w:sz w:val="20"/>
          <w:szCs w:val="20"/>
        </w:rPr>
        <w:t>Materials and Methods</w:t>
      </w:r>
    </w:p>
    <w:p w14:paraId="4CFA0871" w14:textId="48F2A6FE" w:rsidR="00B97D2D" w:rsidRPr="008B0111" w:rsidRDefault="00B97D2D" w:rsidP="00B97D2D">
      <w:pPr>
        <w:autoSpaceDE w:val="0"/>
        <w:autoSpaceDN w:val="0"/>
        <w:adjustRightInd w:val="0"/>
        <w:jc w:val="both"/>
        <w:rPr>
          <w:sz w:val="20"/>
          <w:szCs w:val="20"/>
        </w:rPr>
      </w:pPr>
      <w:r w:rsidRPr="008B0111">
        <w:rPr>
          <w:sz w:val="20"/>
          <w:szCs w:val="20"/>
        </w:rPr>
        <w:t xml:space="preserve">Remazol Brilliant Blue (RBB) was purchased from </w:t>
      </w:r>
      <w:r w:rsidR="008B0111" w:rsidRPr="008B0111">
        <w:rPr>
          <w:sz w:val="20"/>
          <w:szCs w:val="20"/>
        </w:rPr>
        <w:t>Merck</w:t>
      </w:r>
      <w:r w:rsidRPr="008B0111">
        <w:rPr>
          <w:sz w:val="20"/>
          <w:szCs w:val="20"/>
        </w:rPr>
        <w:t xml:space="preserve">, Malaysia. Ethanol was purchased from RPE Reagent Pure Erba. Nickel and platinum plates with 99% purity were used as electrodes and were obtained from Nilaco, Japan. Tetraethylammonium perchlorate (TEAP), which was used as a supporting electrolyte in electrolysis, was prepared in accordance with the procedure reported in </w:t>
      </w:r>
      <w:r w:rsidR="008B0111">
        <w:rPr>
          <w:sz w:val="20"/>
          <w:szCs w:val="20"/>
        </w:rPr>
        <w:t xml:space="preserve">literatures </w:t>
      </w:r>
      <w:r w:rsidRPr="008B0111">
        <w:rPr>
          <w:sz w:val="20"/>
          <w:szCs w:val="20"/>
        </w:rPr>
        <w:t>[10</w:t>
      </w:r>
      <w:r w:rsidR="003507A2" w:rsidRPr="008B0111">
        <w:rPr>
          <w:sz w:val="20"/>
          <w:szCs w:val="20"/>
        </w:rPr>
        <w:t>-20</w:t>
      </w:r>
      <w:r w:rsidRPr="008B0111">
        <w:rPr>
          <w:sz w:val="20"/>
          <w:szCs w:val="20"/>
        </w:rPr>
        <w:t>]. In this study, the rambutan leaves were extracted using ethanol. The ratio of rambutan leaves to ethanol was 1:10. It was then left for 3 days to let the ethanol extract the bio-active compounds in the rambutan leaves completely. The mixture was filtered using a filter paper and the filtered solution was placed in the rotary evaporator to remove the ethanol and obtain the crude. Then the electrolysis was conducted at a constant current of 480 mA/cm</w:t>
      </w:r>
      <w:r w:rsidRPr="008B0111">
        <w:rPr>
          <w:sz w:val="20"/>
          <w:szCs w:val="20"/>
          <w:vertAlign w:val="superscript"/>
        </w:rPr>
        <w:t>2</w:t>
      </w:r>
      <w:r w:rsidRPr="008B0111">
        <w:rPr>
          <w:sz w:val="20"/>
          <w:szCs w:val="20"/>
        </w:rPr>
        <w:t xml:space="preserve"> and at 0 ˚C with continuous stirring. The rambutan crude was used as an electrolyte. It was diluted with a certain amount of distilled water to get the concentration of 50 mgL</w:t>
      </w:r>
      <w:r w:rsidRPr="008B0111">
        <w:rPr>
          <w:sz w:val="20"/>
          <w:szCs w:val="20"/>
          <w:vertAlign w:val="superscript"/>
        </w:rPr>
        <w:t>-1</w:t>
      </w:r>
      <w:r w:rsidRPr="008B0111">
        <w:rPr>
          <w:sz w:val="20"/>
          <w:szCs w:val="20"/>
        </w:rPr>
        <w:t xml:space="preserve"> and 1000 mgL</w:t>
      </w:r>
      <w:r w:rsidRPr="008B0111">
        <w:rPr>
          <w:sz w:val="20"/>
          <w:szCs w:val="20"/>
          <w:vertAlign w:val="superscript"/>
        </w:rPr>
        <w:t>-1</w:t>
      </w:r>
      <w:r w:rsidRPr="008B0111">
        <w:rPr>
          <w:sz w:val="20"/>
          <w:szCs w:val="20"/>
        </w:rPr>
        <w:t>, which were used to synthesize NiO</w:t>
      </w:r>
      <w:r w:rsidRPr="008B0111">
        <w:rPr>
          <w:sz w:val="20"/>
          <w:szCs w:val="20"/>
          <w:vertAlign w:val="subscript"/>
        </w:rPr>
        <w:t>50</w:t>
      </w:r>
      <w:r w:rsidRPr="008B0111">
        <w:rPr>
          <w:sz w:val="20"/>
          <w:szCs w:val="20"/>
        </w:rPr>
        <w:t xml:space="preserve"> and NiO</w:t>
      </w:r>
      <w:r w:rsidRPr="008B0111">
        <w:rPr>
          <w:sz w:val="20"/>
          <w:szCs w:val="20"/>
          <w:vertAlign w:val="subscript"/>
        </w:rPr>
        <w:t>1000</w:t>
      </w:r>
      <w:r w:rsidRPr="008B0111">
        <w:rPr>
          <w:sz w:val="20"/>
          <w:szCs w:val="20"/>
        </w:rPr>
        <w:t>, respectively. After electrolysis, the mixture was dried at 100 ºC overnight and calcined for 3 h</w:t>
      </w:r>
      <w:r w:rsidR="008B0111">
        <w:rPr>
          <w:sz w:val="20"/>
          <w:szCs w:val="20"/>
        </w:rPr>
        <w:t>ours</w:t>
      </w:r>
      <w:r w:rsidRPr="008B0111">
        <w:rPr>
          <w:sz w:val="20"/>
          <w:szCs w:val="20"/>
        </w:rPr>
        <w:t xml:space="preserve"> at 550 ˚C to get a pure NiO catalyst.</w:t>
      </w:r>
    </w:p>
    <w:p w14:paraId="2F22C160" w14:textId="77777777" w:rsidR="00B97D2D" w:rsidRPr="008B0111" w:rsidRDefault="00B97D2D" w:rsidP="00B97D2D">
      <w:pPr>
        <w:autoSpaceDE w:val="0"/>
        <w:autoSpaceDN w:val="0"/>
        <w:adjustRightInd w:val="0"/>
        <w:jc w:val="both"/>
        <w:rPr>
          <w:sz w:val="20"/>
          <w:szCs w:val="20"/>
        </w:rPr>
      </w:pPr>
    </w:p>
    <w:p w14:paraId="6361500C" w14:textId="58C79CF3" w:rsidR="006A6C6C" w:rsidRPr="008B0111" w:rsidRDefault="00B97D2D" w:rsidP="00AA0305">
      <w:pPr>
        <w:autoSpaceDE w:val="0"/>
        <w:autoSpaceDN w:val="0"/>
        <w:adjustRightInd w:val="0"/>
        <w:jc w:val="both"/>
        <w:rPr>
          <w:sz w:val="20"/>
          <w:szCs w:val="20"/>
        </w:rPr>
      </w:pPr>
      <w:r w:rsidRPr="008B0111">
        <w:rPr>
          <w:sz w:val="20"/>
          <w:szCs w:val="20"/>
        </w:rPr>
        <w:t>FTIR spectroscopy was performed to identify the chemical functional groups present in the catalysts. IR absorbance data were obtained over a range of wavenumbers from 550 to 3500 cm</w:t>
      </w:r>
      <w:r w:rsidRPr="008B0111">
        <w:rPr>
          <w:sz w:val="20"/>
          <w:szCs w:val="20"/>
          <w:vertAlign w:val="superscript"/>
        </w:rPr>
        <w:t>−1</w:t>
      </w:r>
      <w:r w:rsidRPr="008B0111">
        <w:rPr>
          <w:sz w:val="20"/>
          <w:szCs w:val="20"/>
        </w:rPr>
        <w:t>. The performance of the catalysts was tested for the degradation of RBB. It was conducted in a photoreactor where a florescent lamp (20W) as a light source was mounted 15 cm above the solution. A 50 ml Pyrex conical flask was placed on a magnetic stirrer to uniformly disperse the catalyst into solution. The initial pH of the solution was 5 and the reaction was carried out at 30 ˚C. The reaction of degradation of RBB was carried out for 2 h</w:t>
      </w:r>
      <w:r w:rsidR="008B0111">
        <w:rPr>
          <w:sz w:val="20"/>
          <w:szCs w:val="20"/>
        </w:rPr>
        <w:t>ours</w:t>
      </w:r>
      <w:r w:rsidRPr="008B0111">
        <w:rPr>
          <w:sz w:val="20"/>
          <w:szCs w:val="20"/>
        </w:rPr>
        <w:t xml:space="preserve"> under light irradiation and continuous stirring. The concentration of RBB dye in the solution prior to irradiation was used as the initial value for the RBB degradation measurements. Each set of experiments was performed three times. The adsorption band of RBB was taken at 600 nm and the degradation percentage was calculated </w:t>
      </w:r>
      <w:r w:rsidR="006A6C6C" w:rsidRPr="008B0111">
        <w:rPr>
          <w:sz w:val="20"/>
          <w:szCs w:val="20"/>
        </w:rPr>
        <w:t>using the following equation</w:t>
      </w:r>
      <w:r w:rsidR="008B0111">
        <w:rPr>
          <w:sz w:val="20"/>
          <w:szCs w:val="20"/>
        </w:rPr>
        <w:t xml:space="preserve"> 1</w:t>
      </w:r>
      <w:r w:rsidR="006A6C6C" w:rsidRPr="008B0111">
        <w:rPr>
          <w:sz w:val="20"/>
          <w:szCs w:val="20"/>
        </w:rPr>
        <w:t>:</w:t>
      </w:r>
    </w:p>
    <w:p w14:paraId="2748C3D6" w14:textId="4467A976" w:rsidR="006A6C6C" w:rsidRPr="008B0111" w:rsidRDefault="00A44DA1" w:rsidP="006A6C6C">
      <w:pPr>
        <w:tabs>
          <w:tab w:val="left" w:pos="567"/>
        </w:tabs>
        <w:spacing w:before="360" w:after="240"/>
        <w:jc w:val="both"/>
        <w:rPr>
          <w:sz w:val="20"/>
          <w:szCs w:val="20"/>
        </w:rPr>
      </w:pPr>
      <m:oMathPara>
        <m:oMathParaPr>
          <m:jc m:val="left"/>
        </m:oMathParaPr>
        <m:oMath>
          <m:r>
            <w:rPr>
              <w:rFonts w:ascii="Cambria Math" w:hAnsi="Cambria Math"/>
              <w:sz w:val="18"/>
              <w:szCs w:val="18"/>
            </w:rPr>
            <m:t xml:space="preserve">              </m:t>
          </m:r>
          <m:r>
            <w:rPr>
              <w:rFonts w:ascii="Cambria Math" w:hAnsi="Cambria Math"/>
              <w:sz w:val="18"/>
              <w:szCs w:val="18"/>
            </w:rPr>
            <m:t>Decolorization</m:t>
          </m:r>
          <m:d>
            <m:dPr>
              <m:ctrlPr>
                <w:rPr>
                  <w:rFonts w:ascii="Cambria Math" w:hAnsi="Cambria Math"/>
                  <w:i/>
                  <w:sz w:val="18"/>
                  <w:szCs w:val="18"/>
                </w:rPr>
              </m:ctrlPr>
            </m:dPr>
            <m:e>
              <m:r>
                <w:rPr>
                  <w:rFonts w:ascii="Cambria Math" w:hAnsi="Cambria Math"/>
                  <w:sz w:val="18"/>
                  <w:szCs w:val="18"/>
                </w:rPr>
                <m:t>%</m:t>
              </m:r>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0</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t</m:t>
                  </m:r>
                </m:sub>
              </m:sSub>
            </m:num>
            <m:den>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0</m:t>
                  </m:r>
                </m:sub>
              </m:sSub>
            </m:den>
          </m:f>
          <m:r>
            <w:rPr>
              <w:rFonts w:ascii="Cambria Math" w:hAnsi="Cambria Math"/>
              <w:sz w:val="18"/>
              <w:szCs w:val="18"/>
            </w:rPr>
            <m:t xml:space="preserve">×100                                                                                                                               </m:t>
          </m:r>
          <m:r>
            <w:rPr>
              <w:rFonts w:ascii="Cambria Math" w:hAnsi="Cambria Math"/>
              <w:sz w:val="18"/>
              <w:szCs w:val="18"/>
            </w:rPr>
            <m:t xml:space="preserve">         </m:t>
          </m:r>
          <m:d>
            <m:dPr>
              <m:ctrlPr>
                <w:rPr>
                  <w:rFonts w:ascii="Cambria Math" w:hAnsi="Cambria Math"/>
                  <w:i/>
                  <w:sz w:val="18"/>
                  <w:szCs w:val="18"/>
                </w:rPr>
              </m:ctrlPr>
            </m:dPr>
            <m:e>
              <m:r>
                <w:rPr>
                  <w:rFonts w:ascii="Cambria Math" w:hAnsi="Cambria Math"/>
                  <w:sz w:val="18"/>
                  <w:szCs w:val="18"/>
                </w:rPr>
                <m:t>1</m:t>
              </m:r>
            </m:e>
          </m:d>
        </m:oMath>
      </m:oMathPara>
    </w:p>
    <w:p w14:paraId="318B8A05" w14:textId="50FFB148" w:rsidR="00AA0305" w:rsidRDefault="006A6C6C" w:rsidP="00AA0305">
      <w:pPr>
        <w:tabs>
          <w:tab w:val="left" w:pos="567"/>
        </w:tabs>
        <w:jc w:val="both"/>
        <w:rPr>
          <w:sz w:val="20"/>
          <w:szCs w:val="20"/>
        </w:rPr>
      </w:pPr>
      <w:r w:rsidRPr="008B0111">
        <w:rPr>
          <w:sz w:val="20"/>
          <w:szCs w:val="20"/>
        </w:rPr>
        <w:t>where C</w:t>
      </w:r>
      <w:r w:rsidRPr="008B0111">
        <w:rPr>
          <w:sz w:val="20"/>
          <w:szCs w:val="20"/>
          <w:vertAlign w:val="subscript"/>
        </w:rPr>
        <w:t>0</w:t>
      </w:r>
      <w:r w:rsidRPr="008B0111">
        <w:rPr>
          <w:sz w:val="20"/>
          <w:szCs w:val="20"/>
        </w:rPr>
        <w:t xml:space="preserve"> and C</w:t>
      </w:r>
      <w:r w:rsidRPr="008B0111">
        <w:rPr>
          <w:sz w:val="20"/>
          <w:szCs w:val="20"/>
          <w:vertAlign w:val="subscript"/>
        </w:rPr>
        <w:t>t</w:t>
      </w:r>
      <w:r w:rsidRPr="008B0111">
        <w:rPr>
          <w:sz w:val="20"/>
          <w:szCs w:val="20"/>
        </w:rPr>
        <w:t xml:space="preserve"> are the initial concentration of RBB and the concentration at time t, respectively.</w:t>
      </w:r>
      <w:r w:rsidR="00B97D2D" w:rsidRPr="008B0111">
        <w:rPr>
          <w:sz w:val="20"/>
          <w:szCs w:val="20"/>
        </w:rPr>
        <w:t xml:space="preserve"> The mineralization (BOD) was measured using a YSI model 3100 in which BOD bottles were incubated at 20 </w:t>
      </w:r>
      <w:r w:rsidR="00B97D2D" w:rsidRPr="008B0111">
        <w:rPr>
          <w:sz w:val="20"/>
          <w:szCs w:val="20"/>
          <w:vertAlign w:val="superscript"/>
        </w:rPr>
        <w:t>º</w:t>
      </w:r>
      <w:r w:rsidR="00B97D2D" w:rsidRPr="008B0111">
        <w:rPr>
          <w:sz w:val="20"/>
          <w:szCs w:val="20"/>
        </w:rPr>
        <w:t>C for 5 days; the difference in the dissolved oxygen was used to calculate BOD</w:t>
      </w:r>
      <w:r w:rsidR="00B97D2D" w:rsidRPr="008B0111">
        <w:rPr>
          <w:sz w:val="20"/>
          <w:szCs w:val="20"/>
          <w:vertAlign w:val="subscript"/>
        </w:rPr>
        <w:t>5</w:t>
      </w:r>
      <w:r w:rsidR="00B97D2D" w:rsidRPr="008B0111">
        <w:rPr>
          <w:sz w:val="20"/>
          <w:szCs w:val="20"/>
        </w:rPr>
        <w:t>. A HACH DR4000 spectrometer was used for COD measurements</w:t>
      </w:r>
      <w:r w:rsidR="00AA0305" w:rsidRPr="008B0111">
        <w:rPr>
          <w:sz w:val="20"/>
          <w:szCs w:val="20"/>
        </w:rPr>
        <w:t>.</w:t>
      </w:r>
    </w:p>
    <w:p w14:paraId="7C40E4C7" w14:textId="6095AD63" w:rsidR="00A44DA1" w:rsidRDefault="00A44DA1" w:rsidP="00AA0305">
      <w:pPr>
        <w:tabs>
          <w:tab w:val="left" w:pos="567"/>
        </w:tabs>
        <w:jc w:val="both"/>
        <w:rPr>
          <w:sz w:val="20"/>
          <w:szCs w:val="20"/>
        </w:rPr>
      </w:pPr>
    </w:p>
    <w:p w14:paraId="69299BFC" w14:textId="7C51F766" w:rsidR="00A44DA1" w:rsidRDefault="00A44DA1" w:rsidP="00AA0305">
      <w:pPr>
        <w:tabs>
          <w:tab w:val="left" w:pos="567"/>
        </w:tabs>
        <w:jc w:val="both"/>
        <w:rPr>
          <w:sz w:val="20"/>
          <w:szCs w:val="20"/>
        </w:rPr>
      </w:pPr>
    </w:p>
    <w:p w14:paraId="6F8CF0A0" w14:textId="77777777" w:rsidR="00A44DA1" w:rsidRPr="008B0111" w:rsidRDefault="00A44DA1" w:rsidP="00AA0305">
      <w:pPr>
        <w:tabs>
          <w:tab w:val="left" w:pos="567"/>
        </w:tabs>
        <w:jc w:val="both"/>
        <w:rPr>
          <w:sz w:val="20"/>
          <w:szCs w:val="20"/>
        </w:rPr>
      </w:pPr>
    </w:p>
    <w:p w14:paraId="513AA780" w14:textId="77777777" w:rsidR="00AA0305" w:rsidRPr="008B0111" w:rsidRDefault="00AA0305" w:rsidP="00AA0305">
      <w:pPr>
        <w:tabs>
          <w:tab w:val="left" w:pos="567"/>
        </w:tabs>
        <w:jc w:val="both"/>
        <w:rPr>
          <w:sz w:val="20"/>
          <w:szCs w:val="20"/>
        </w:rPr>
      </w:pPr>
    </w:p>
    <w:p w14:paraId="5238B07E" w14:textId="77777777" w:rsidR="00D759D1" w:rsidRPr="008B0111" w:rsidRDefault="00D759D1" w:rsidP="00AA0305">
      <w:pPr>
        <w:jc w:val="center"/>
        <w:rPr>
          <w:b/>
          <w:sz w:val="20"/>
          <w:szCs w:val="20"/>
        </w:rPr>
      </w:pPr>
      <w:r w:rsidRPr="008B0111">
        <w:rPr>
          <w:b/>
          <w:sz w:val="20"/>
          <w:szCs w:val="20"/>
        </w:rPr>
        <w:lastRenderedPageBreak/>
        <w:t>Results and Discussion</w:t>
      </w:r>
    </w:p>
    <w:p w14:paraId="63D7A731" w14:textId="7161A5FF" w:rsidR="00CE4942" w:rsidRPr="008B0111" w:rsidRDefault="00A8620B" w:rsidP="003B2127">
      <w:pPr>
        <w:jc w:val="both"/>
        <w:rPr>
          <w:b/>
          <w:sz w:val="20"/>
          <w:szCs w:val="20"/>
        </w:rPr>
      </w:pPr>
      <w:r w:rsidRPr="008B0111">
        <w:rPr>
          <w:b/>
          <w:sz w:val="20"/>
          <w:szCs w:val="20"/>
        </w:rPr>
        <w:t xml:space="preserve">Identification </w:t>
      </w:r>
      <w:r w:rsidR="00A44DA1" w:rsidRPr="008B0111">
        <w:rPr>
          <w:b/>
          <w:sz w:val="20"/>
          <w:szCs w:val="20"/>
        </w:rPr>
        <w:t xml:space="preserve">of functional group </w:t>
      </w:r>
    </w:p>
    <w:p w14:paraId="6335DF56" w14:textId="25AAABDD" w:rsidR="001122AD" w:rsidRDefault="00B97D2D" w:rsidP="003B4145">
      <w:pPr>
        <w:tabs>
          <w:tab w:val="left" w:pos="540"/>
        </w:tabs>
        <w:jc w:val="both"/>
        <w:rPr>
          <w:sz w:val="20"/>
          <w:szCs w:val="20"/>
        </w:rPr>
      </w:pPr>
      <w:r w:rsidRPr="008B0111">
        <w:rPr>
          <w:sz w:val="20"/>
          <w:szCs w:val="20"/>
        </w:rPr>
        <w:t>The details of the functional groups involved in the catalyst structure prepared under varying electrolyte (rambutan leaves extract) concentrations were measured using FTIR, and the results are shown in Fig</w:t>
      </w:r>
      <w:r w:rsidR="00A44DA1">
        <w:rPr>
          <w:sz w:val="20"/>
          <w:szCs w:val="20"/>
        </w:rPr>
        <w:t>ure</w:t>
      </w:r>
      <w:r w:rsidRPr="008B0111">
        <w:rPr>
          <w:sz w:val="20"/>
          <w:szCs w:val="20"/>
        </w:rPr>
        <w:t xml:space="preserve"> 1. The peak at 2360 cm</w:t>
      </w:r>
      <w:r w:rsidRPr="008B0111">
        <w:rPr>
          <w:sz w:val="20"/>
          <w:szCs w:val="20"/>
          <w:vertAlign w:val="superscript"/>
        </w:rPr>
        <w:t>−1</w:t>
      </w:r>
      <w:r w:rsidRPr="008B0111">
        <w:rPr>
          <w:sz w:val="20"/>
          <w:szCs w:val="20"/>
        </w:rPr>
        <w:t xml:space="preserve"> could be attri</w:t>
      </w:r>
      <w:r w:rsidR="003507A2" w:rsidRPr="008B0111">
        <w:rPr>
          <w:sz w:val="20"/>
          <w:szCs w:val="20"/>
        </w:rPr>
        <w:t>buted to the hydroxyl groups [21</w:t>
      </w:r>
      <w:r w:rsidRPr="008B0111">
        <w:rPr>
          <w:sz w:val="20"/>
          <w:szCs w:val="20"/>
        </w:rPr>
        <w:t>]. The sharp peak at 668 cm</w:t>
      </w:r>
      <w:r w:rsidRPr="008B0111">
        <w:rPr>
          <w:sz w:val="20"/>
          <w:szCs w:val="20"/>
          <w:vertAlign w:val="superscript"/>
        </w:rPr>
        <w:t>−1</w:t>
      </w:r>
      <w:r w:rsidRPr="008B0111">
        <w:rPr>
          <w:sz w:val="20"/>
          <w:szCs w:val="20"/>
        </w:rPr>
        <w:t xml:space="preserve"> and 405 cm</w:t>
      </w:r>
      <w:r w:rsidRPr="008B0111">
        <w:rPr>
          <w:sz w:val="20"/>
          <w:szCs w:val="20"/>
          <w:vertAlign w:val="superscript"/>
        </w:rPr>
        <w:t>−1</w:t>
      </w:r>
      <w:r w:rsidRPr="008B0111">
        <w:rPr>
          <w:sz w:val="20"/>
          <w:szCs w:val="20"/>
        </w:rPr>
        <w:t xml:space="preserve"> might correspond to the Ni-O-H stretching bond and Ni-O </w:t>
      </w:r>
      <w:r w:rsidR="003507A2" w:rsidRPr="008B0111">
        <w:rPr>
          <w:sz w:val="20"/>
          <w:szCs w:val="20"/>
        </w:rPr>
        <w:t>bond vibration, respectively [21</w:t>
      </w:r>
      <w:r w:rsidRPr="008B0111">
        <w:rPr>
          <w:sz w:val="20"/>
          <w:szCs w:val="20"/>
        </w:rPr>
        <w:t xml:space="preserve">]. This peak decreased with increasing electrolyte concentration, possibly indicating the </w:t>
      </w:r>
      <w:r w:rsidR="003507A2" w:rsidRPr="008B0111">
        <w:rPr>
          <w:sz w:val="20"/>
          <w:szCs w:val="20"/>
        </w:rPr>
        <w:t>Ni groups [22</w:t>
      </w:r>
      <w:r w:rsidRPr="008B0111">
        <w:rPr>
          <w:sz w:val="20"/>
          <w:szCs w:val="20"/>
        </w:rPr>
        <w:t>]</w:t>
      </w:r>
      <w:r w:rsidR="003B2127" w:rsidRPr="008B0111">
        <w:rPr>
          <w:sz w:val="20"/>
          <w:szCs w:val="20"/>
        </w:rPr>
        <w:t>.</w:t>
      </w:r>
    </w:p>
    <w:p w14:paraId="1F9006B8" w14:textId="77777777" w:rsidR="00A44DA1" w:rsidRPr="008B0111" w:rsidRDefault="00A44DA1" w:rsidP="003B4145">
      <w:pPr>
        <w:tabs>
          <w:tab w:val="left" w:pos="540"/>
        </w:tabs>
        <w:jc w:val="both"/>
        <w:rPr>
          <w:sz w:val="20"/>
          <w:szCs w:val="20"/>
        </w:rPr>
      </w:pPr>
    </w:p>
    <w:p w14:paraId="24C5CC99" w14:textId="24194264" w:rsidR="001122AD" w:rsidRDefault="00C637C3" w:rsidP="003B4145">
      <w:pPr>
        <w:tabs>
          <w:tab w:val="left" w:pos="567"/>
        </w:tabs>
        <w:jc w:val="center"/>
        <w:rPr>
          <w:sz w:val="20"/>
          <w:szCs w:val="20"/>
        </w:rPr>
      </w:pPr>
      <w:r w:rsidRPr="008B0111">
        <w:rPr>
          <w:noProof/>
          <w:lang w:val="en-GB" w:eastAsia="en-GB"/>
        </w:rPr>
        <w:drawing>
          <wp:inline distT="0" distB="0" distL="0" distR="0" wp14:anchorId="000155EF" wp14:editId="3F4DBB5A">
            <wp:extent cx="3078992" cy="2159635"/>
            <wp:effectExtent l="19050" t="19050" r="26670" b="120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0934" cy="2168011"/>
                    </a:xfrm>
                    <a:prstGeom prst="rect">
                      <a:avLst/>
                    </a:prstGeom>
                    <a:noFill/>
                    <a:ln w="6350">
                      <a:solidFill>
                        <a:schemeClr val="tx1"/>
                      </a:solidFill>
                    </a:ln>
                  </pic:spPr>
                </pic:pic>
              </a:graphicData>
            </a:graphic>
          </wp:inline>
        </w:drawing>
      </w:r>
    </w:p>
    <w:p w14:paraId="7814AFDF" w14:textId="77777777" w:rsidR="00A44DA1" w:rsidRPr="008B0111" w:rsidRDefault="00A44DA1" w:rsidP="003B4145">
      <w:pPr>
        <w:tabs>
          <w:tab w:val="left" w:pos="567"/>
        </w:tabs>
        <w:jc w:val="center"/>
        <w:rPr>
          <w:sz w:val="20"/>
          <w:szCs w:val="20"/>
        </w:rPr>
      </w:pPr>
    </w:p>
    <w:p w14:paraId="5346C1B4" w14:textId="76469125" w:rsidR="003B2127" w:rsidRPr="00A44DA1" w:rsidRDefault="003B2127" w:rsidP="00A44DA1">
      <w:pPr>
        <w:ind w:left="851" w:hanging="851"/>
        <w:jc w:val="both"/>
        <w:rPr>
          <w:bCs/>
          <w:iCs/>
          <w:sz w:val="20"/>
          <w:szCs w:val="20"/>
        </w:rPr>
      </w:pPr>
      <w:r w:rsidRPr="00A44DA1">
        <w:rPr>
          <w:bCs/>
          <w:sz w:val="20"/>
          <w:szCs w:val="20"/>
        </w:rPr>
        <w:t>Fig</w:t>
      </w:r>
      <w:r w:rsidR="00A44DA1">
        <w:rPr>
          <w:bCs/>
          <w:sz w:val="20"/>
          <w:szCs w:val="20"/>
        </w:rPr>
        <w:t xml:space="preserve">ure </w:t>
      </w:r>
      <w:r w:rsidRPr="00A44DA1">
        <w:rPr>
          <w:bCs/>
          <w:sz w:val="20"/>
          <w:szCs w:val="20"/>
        </w:rPr>
        <w:t>1</w:t>
      </w:r>
      <w:r w:rsidR="00A44DA1">
        <w:rPr>
          <w:bCs/>
          <w:sz w:val="20"/>
          <w:szCs w:val="20"/>
        </w:rPr>
        <w:t>.</w:t>
      </w:r>
      <w:r w:rsidRPr="00A44DA1">
        <w:rPr>
          <w:bCs/>
          <w:sz w:val="20"/>
          <w:szCs w:val="20"/>
        </w:rPr>
        <w:t xml:space="preserve"> </w:t>
      </w:r>
      <w:bookmarkStart w:id="0" w:name="OLE_LINK3"/>
      <w:bookmarkStart w:id="1" w:name="OLE_LINK4"/>
      <w:r w:rsidRPr="00A44DA1">
        <w:rPr>
          <w:bCs/>
          <w:iCs/>
          <w:sz w:val="20"/>
          <w:szCs w:val="20"/>
        </w:rPr>
        <w:t>FTIR patterns of NiO catalysts synthesized using 50 mgL</w:t>
      </w:r>
      <w:r w:rsidRPr="00A44DA1">
        <w:rPr>
          <w:bCs/>
          <w:iCs/>
          <w:sz w:val="20"/>
          <w:szCs w:val="20"/>
          <w:vertAlign w:val="superscript"/>
        </w:rPr>
        <w:t>-1</w:t>
      </w:r>
      <w:r w:rsidRPr="00A44DA1">
        <w:rPr>
          <w:bCs/>
          <w:iCs/>
          <w:sz w:val="20"/>
          <w:szCs w:val="20"/>
        </w:rPr>
        <w:t xml:space="preserve"> (NiO</w:t>
      </w:r>
      <w:r w:rsidRPr="00A44DA1">
        <w:rPr>
          <w:bCs/>
          <w:iCs/>
          <w:sz w:val="20"/>
          <w:szCs w:val="20"/>
          <w:vertAlign w:val="subscript"/>
        </w:rPr>
        <w:t>50</w:t>
      </w:r>
      <w:r w:rsidRPr="00A44DA1">
        <w:rPr>
          <w:bCs/>
          <w:iCs/>
          <w:sz w:val="20"/>
          <w:szCs w:val="20"/>
        </w:rPr>
        <w:t>) and 1000 mgL</w:t>
      </w:r>
      <w:r w:rsidRPr="00A44DA1">
        <w:rPr>
          <w:bCs/>
          <w:iCs/>
          <w:sz w:val="20"/>
          <w:szCs w:val="20"/>
          <w:vertAlign w:val="superscript"/>
        </w:rPr>
        <w:t>-1</w:t>
      </w:r>
      <w:r w:rsidRPr="00A44DA1">
        <w:rPr>
          <w:bCs/>
          <w:iCs/>
          <w:sz w:val="20"/>
          <w:szCs w:val="20"/>
        </w:rPr>
        <w:t xml:space="preserve"> (NiO</w:t>
      </w:r>
      <w:r w:rsidRPr="00A44DA1">
        <w:rPr>
          <w:bCs/>
          <w:iCs/>
          <w:sz w:val="20"/>
          <w:szCs w:val="20"/>
          <w:vertAlign w:val="subscript"/>
        </w:rPr>
        <w:t>1000</w:t>
      </w:r>
      <w:r w:rsidRPr="00A44DA1">
        <w:rPr>
          <w:bCs/>
          <w:iCs/>
          <w:sz w:val="20"/>
          <w:szCs w:val="20"/>
        </w:rPr>
        <w:t xml:space="preserve">) of </w:t>
      </w:r>
      <w:r w:rsidRPr="00A44DA1">
        <w:rPr>
          <w:bCs/>
          <w:i/>
          <w:iCs/>
          <w:sz w:val="20"/>
          <w:szCs w:val="20"/>
        </w:rPr>
        <w:t>Nephelium lappaceum</w:t>
      </w:r>
      <w:r w:rsidRPr="00A44DA1">
        <w:rPr>
          <w:bCs/>
          <w:iCs/>
          <w:sz w:val="20"/>
          <w:szCs w:val="20"/>
        </w:rPr>
        <w:t xml:space="preserve"> extract</w:t>
      </w:r>
      <w:bookmarkEnd w:id="0"/>
      <w:bookmarkEnd w:id="1"/>
    </w:p>
    <w:p w14:paraId="5C81F21A" w14:textId="77777777" w:rsidR="003B2127" w:rsidRPr="008B0111" w:rsidRDefault="003B2127" w:rsidP="003B2127">
      <w:pPr>
        <w:tabs>
          <w:tab w:val="left" w:pos="567"/>
        </w:tabs>
        <w:jc w:val="both"/>
        <w:rPr>
          <w:b/>
          <w:sz w:val="20"/>
          <w:szCs w:val="20"/>
        </w:rPr>
      </w:pPr>
    </w:p>
    <w:p w14:paraId="0031B5E0" w14:textId="07E8C466" w:rsidR="003B2127" w:rsidRPr="008B0111" w:rsidRDefault="00B97D2D" w:rsidP="003B2127">
      <w:pPr>
        <w:tabs>
          <w:tab w:val="left" w:pos="567"/>
        </w:tabs>
        <w:jc w:val="both"/>
        <w:rPr>
          <w:b/>
          <w:sz w:val="20"/>
          <w:szCs w:val="20"/>
        </w:rPr>
      </w:pPr>
      <w:r w:rsidRPr="008B0111">
        <w:rPr>
          <w:b/>
          <w:sz w:val="20"/>
          <w:szCs w:val="20"/>
        </w:rPr>
        <w:t xml:space="preserve">Performance </w:t>
      </w:r>
      <w:r w:rsidR="00A44DA1" w:rsidRPr="008B0111">
        <w:rPr>
          <w:b/>
          <w:sz w:val="20"/>
          <w:szCs w:val="20"/>
        </w:rPr>
        <w:t>of the prepared catalysts</w:t>
      </w:r>
    </w:p>
    <w:p w14:paraId="0E1B1178" w14:textId="4E89BC09" w:rsidR="003B2127" w:rsidRDefault="00B97D2D" w:rsidP="003B2127">
      <w:pPr>
        <w:jc w:val="both"/>
        <w:rPr>
          <w:sz w:val="20"/>
          <w:szCs w:val="20"/>
        </w:rPr>
      </w:pPr>
      <w:r w:rsidRPr="008B0111">
        <w:rPr>
          <w:sz w:val="20"/>
          <w:szCs w:val="20"/>
        </w:rPr>
        <w:t>The performance of the prepared catalysts was examined by the degradation of RBB, and the results are shown in Fig</w:t>
      </w:r>
      <w:r w:rsidR="00A44DA1">
        <w:rPr>
          <w:sz w:val="20"/>
          <w:szCs w:val="20"/>
        </w:rPr>
        <w:t>ure</w:t>
      </w:r>
      <w:r w:rsidRPr="008B0111">
        <w:rPr>
          <w:sz w:val="20"/>
          <w:szCs w:val="20"/>
        </w:rPr>
        <w:t xml:space="preserve"> 2. The results show that complete degradation of RBB was achieved within a very short contact time (2 h</w:t>
      </w:r>
      <w:r w:rsidR="00A44DA1">
        <w:rPr>
          <w:sz w:val="20"/>
          <w:szCs w:val="20"/>
        </w:rPr>
        <w:t>ours</w:t>
      </w:r>
      <w:r w:rsidRPr="008B0111">
        <w:rPr>
          <w:sz w:val="20"/>
          <w:szCs w:val="20"/>
        </w:rPr>
        <w:t>) under visible light conditions when using NiO</w:t>
      </w:r>
      <w:r w:rsidRPr="008B0111">
        <w:rPr>
          <w:sz w:val="20"/>
          <w:szCs w:val="20"/>
          <w:vertAlign w:val="subscript"/>
        </w:rPr>
        <w:t>50</w:t>
      </w:r>
      <w:r w:rsidRPr="008B0111">
        <w:rPr>
          <w:sz w:val="20"/>
          <w:szCs w:val="20"/>
        </w:rPr>
        <w:t xml:space="preserve"> and NiO</w:t>
      </w:r>
      <w:r w:rsidRPr="008B0111">
        <w:rPr>
          <w:sz w:val="20"/>
          <w:szCs w:val="20"/>
          <w:vertAlign w:val="subscript"/>
        </w:rPr>
        <w:t>1000</w:t>
      </w:r>
      <w:r w:rsidRPr="008B0111">
        <w:rPr>
          <w:sz w:val="20"/>
          <w:szCs w:val="20"/>
        </w:rPr>
        <w:t xml:space="preserve"> at 480 mA cm</w:t>
      </w:r>
      <w:r w:rsidRPr="008B0111">
        <w:rPr>
          <w:sz w:val="20"/>
          <w:szCs w:val="20"/>
          <w:vertAlign w:val="superscript"/>
        </w:rPr>
        <w:t>-2</w:t>
      </w:r>
      <w:r w:rsidRPr="008B0111">
        <w:rPr>
          <w:sz w:val="20"/>
          <w:szCs w:val="20"/>
        </w:rPr>
        <w:t xml:space="preserve">. </w:t>
      </w:r>
      <w:r w:rsidRPr="008B0111">
        <w:rPr>
          <w:sz w:val="20"/>
          <w:szCs w:val="20"/>
          <w:lang w:val="en-GB"/>
        </w:rPr>
        <w:t xml:space="preserve">By comparing the percentage of RBB degradation using both NiO, it is believed that the </w:t>
      </w:r>
      <w:r w:rsidRPr="008B0111">
        <w:rPr>
          <w:sz w:val="20"/>
          <w:szCs w:val="20"/>
        </w:rPr>
        <w:t>NiO</w:t>
      </w:r>
      <w:r w:rsidRPr="008B0111">
        <w:rPr>
          <w:sz w:val="20"/>
          <w:szCs w:val="20"/>
          <w:vertAlign w:val="subscript"/>
        </w:rPr>
        <w:t>1000</w:t>
      </w:r>
      <w:r w:rsidRPr="008B0111">
        <w:rPr>
          <w:sz w:val="20"/>
          <w:szCs w:val="20"/>
          <w:lang w:val="en-GB"/>
        </w:rPr>
        <w:t xml:space="preserve"> is more </w:t>
      </w:r>
      <w:r w:rsidR="00A44DA1" w:rsidRPr="008B0111">
        <w:rPr>
          <w:sz w:val="20"/>
          <w:szCs w:val="20"/>
          <w:lang w:val="en-GB"/>
        </w:rPr>
        <w:t>favourable</w:t>
      </w:r>
      <w:r w:rsidRPr="008B0111">
        <w:rPr>
          <w:sz w:val="20"/>
          <w:szCs w:val="20"/>
          <w:lang w:val="en-GB"/>
        </w:rPr>
        <w:t xml:space="preserve"> to decolorize RBB in high percentage</w:t>
      </w:r>
      <w:r w:rsidRPr="008B0111">
        <w:rPr>
          <w:sz w:val="20"/>
          <w:szCs w:val="20"/>
        </w:rPr>
        <w:t>,</w:t>
      </w:r>
      <w:r w:rsidRPr="008B0111">
        <w:rPr>
          <w:sz w:val="20"/>
          <w:szCs w:val="20"/>
          <w:lang w:val="en-GB"/>
        </w:rPr>
        <w:t xml:space="preserve"> which leads to high efficiency in treating dyes. It is</w:t>
      </w:r>
      <w:r w:rsidRPr="008B0111">
        <w:rPr>
          <w:sz w:val="20"/>
          <w:szCs w:val="20"/>
        </w:rPr>
        <w:t xml:space="preserve"> attributed to the increasing amount of bio-active compound in the </w:t>
      </w:r>
      <w:r w:rsidRPr="008B0111">
        <w:rPr>
          <w:i/>
          <w:sz w:val="20"/>
          <w:szCs w:val="20"/>
        </w:rPr>
        <w:t>Nephelium lapp</w:t>
      </w:r>
      <w:r w:rsidR="00A44DA1">
        <w:rPr>
          <w:i/>
          <w:sz w:val="20"/>
          <w:szCs w:val="20"/>
        </w:rPr>
        <w:t>a</w:t>
      </w:r>
      <w:r w:rsidRPr="008B0111">
        <w:rPr>
          <w:i/>
          <w:sz w:val="20"/>
          <w:szCs w:val="20"/>
        </w:rPr>
        <w:t>ceum</w:t>
      </w:r>
      <w:r w:rsidRPr="008B0111">
        <w:rPr>
          <w:sz w:val="20"/>
          <w:szCs w:val="20"/>
        </w:rPr>
        <w:t xml:space="preserve"> extract which will enhance the morphology of the synthesized NiO </w:t>
      </w:r>
      <w:r w:rsidR="003507A2" w:rsidRPr="008B0111">
        <w:rPr>
          <w:sz w:val="20"/>
          <w:szCs w:val="20"/>
        </w:rPr>
        <w:t>[22</w:t>
      </w:r>
      <w:r w:rsidRPr="008B0111">
        <w:rPr>
          <w:sz w:val="20"/>
          <w:szCs w:val="20"/>
        </w:rPr>
        <w:t>]</w:t>
      </w:r>
      <w:r w:rsidR="003B2127" w:rsidRPr="008B0111">
        <w:rPr>
          <w:sz w:val="20"/>
          <w:szCs w:val="20"/>
        </w:rPr>
        <w:t xml:space="preserve">. </w:t>
      </w:r>
    </w:p>
    <w:p w14:paraId="3ECC42D4" w14:textId="77777777" w:rsidR="00A44DA1" w:rsidRPr="008B0111" w:rsidRDefault="00A44DA1" w:rsidP="003B2127">
      <w:pPr>
        <w:jc w:val="both"/>
        <w:rPr>
          <w:sz w:val="20"/>
          <w:szCs w:val="20"/>
        </w:rPr>
      </w:pPr>
    </w:p>
    <w:p w14:paraId="3F79D9D3" w14:textId="2E77629E" w:rsidR="003B2127" w:rsidRDefault="003B2127" w:rsidP="003B2127">
      <w:pPr>
        <w:tabs>
          <w:tab w:val="left" w:pos="567"/>
        </w:tabs>
        <w:jc w:val="center"/>
        <w:rPr>
          <w:sz w:val="20"/>
          <w:szCs w:val="20"/>
        </w:rPr>
      </w:pPr>
      <w:r w:rsidRPr="008B0111">
        <w:rPr>
          <w:sz w:val="20"/>
          <w:szCs w:val="20"/>
        </w:rPr>
        <w:t xml:space="preserve"> </w:t>
      </w:r>
      <w:r w:rsidRPr="008B0111">
        <w:rPr>
          <w:noProof/>
          <w:lang w:val="en-GB" w:eastAsia="en-GB"/>
        </w:rPr>
        <w:drawing>
          <wp:inline distT="0" distB="0" distL="0" distR="0" wp14:anchorId="15B2DCF2" wp14:editId="46510D48">
            <wp:extent cx="2875174" cy="2275368"/>
            <wp:effectExtent l="19050" t="19050" r="2095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8">
                      <a:extLst>
                        <a:ext uri="{28A0092B-C50C-407E-A947-70E740481C1C}">
                          <a14:useLocalDpi xmlns:a14="http://schemas.microsoft.com/office/drawing/2010/main" val="0"/>
                        </a:ext>
                      </a:extLst>
                    </a:blip>
                    <a:srcRect t="4629" b="5298"/>
                    <a:stretch/>
                  </pic:blipFill>
                  <pic:spPr bwMode="auto">
                    <a:xfrm>
                      <a:off x="0" y="0"/>
                      <a:ext cx="2876400" cy="2276338"/>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350F0A9C" w14:textId="77777777" w:rsidR="00A44DA1" w:rsidRPr="008B0111" w:rsidRDefault="00A44DA1" w:rsidP="003B2127">
      <w:pPr>
        <w:tabs>
          <w:tab w:val="left" w:pos="567"/>
        </w:tabs>
        <w:jc w:val="center"/>
        <w:rPr>
          <w:sz w:val="20"/>
          <w:szCs w:val="20"/>
        </w:rPr>
      </w:pPr>
    </w:p>
    <w:p w14:paraId="40A64275" w14:textId="3671BBA2" w:rsidR="003B2127" w:rsidRPr="008B0111" w:rsidRDefault="003B2127" w:rsidP="003B2127">
      <w:pPr>
        <w:pStyle w:val="NoSpacing"/>
        <w:jc w:val="center"/>
        <w:rPr>
          <w:rFonts w:ascii="Times New Roman" w:hAnsi="Times New Roman" w:cs="Times New Roman"/>
          <w:sz w:val="20"/>
          <w:szCs w:val="20"/>
        </w:rPr>
      </w:pPr>
      <w:r w:rsidRPr="00A44DA1">
        <w:rPr>
          <w:rFonts w:ascii="Times New Roman" w:hAnsi="Times New Roman" w:cs="Times New Roman"/>
          <w:bCs/>
          <w:sz w:val="20"/>
          <w:szCs w:val="20"/>
        </w:rPr>
        <w:t>Fig</w:t>
      </w:r>
      <w:r w:rsidR="00A44DA1" w:rsidRPr="00A44DA1">
        <w:rPr>
          <w:rFonts w:ascii="Times New Roman" w:hAnsi="Times New Roman" w:cs="Times New Roman"/>
          <w:bCs/>
          <w:sz w:val="20"/>
          <w:szCs w:val="20"/>
        </w:rPr>
        <w:t xml:space="preserve">ure </w:t>
      </w:r>
      <w:r w:rsidRPr="00A44DA1">
        <w:rPr>
          <w:rFonts w:ascii="Times New Roman" w:hAnsi="Times New Roman" w:cs="Times New Roman"/>
          <w:bCs/>
          <w:sz w:val="20"/>
          <w:szCs w:val="20"/>
        </w:rPr>
        <w:t>2</w:t>
      </w:r>
      <w:r w:rsidR="00A44DA1" w:rsidRPr="00A44DA1">
        <w:rPr>
          <w:rFonts w:ascii="Times New Roman" w:hAnsi="Times New Roman" w:cs="Times New Roman"/>
          <w:bCs/>
          <w:sz w:val="20"/>
          <w:szCs w:val="20"/>
        </w:rPr>
        <w:t>.</w:t>
      </w:r>
      <w:r w:rsidRPr="008B0111">
        <w:rPr>
          <w:rFonts w:ascii="Times New Roman" w:hAnsi="Times New Roman" w:cs="Times New Roman"/>
          <w:sz w:val="20"/>
          <w:szCs w:val="20"/>
        </w:rPr>
        <w:t xml:space="preserve"> </w:t>
      </w:r>
      <w:r w:rsidRPr="008B0111">
        <w:rPr>
          <w:rFonts w:ascii="Times New Roman" w:hAnsi="Times New Roman" w:cs="Times New Roman"/>
          <w:sz w:val="20"/>
          <w:szCs w:val="20"/>
          <w:lang w:val="en-GB"/>
        </w:rPr>
        <w:t xml:space="preserve">Performance of NiO on degradation of RBB </w:t>
      </w:r>
      <w:bookmarkStart w:id="2" w:name="OLE_LINK5"/>
      <w:bookmarkStart w:id="3" w:name="OLE_LINK6"/>
      <w:r w:rsidRPr="008B0111">
        <w:rPr>
          <w:rFonts w:ascii="Times New Roman" w:hAnsi="Times New Roman" w:cs="Times New Roman"/>
          <w:sz w:val="20"/>
          <w:szCs w:val="20"/>
          <w:lang w:val="en-GB"/>
        </w:rPr>
        <w:t>[C = 10 mgL</w:t>
      </w:r>
      <w:r w:rsidRPr="008B0111">
        <w:rPr>
          <w:rFonts w:ascii="Times New Roman" w:hAnsi="Times New Roman" w:cs="Times New Roman"/>
          <w:sz w:val="20"/>
          <w:szCs w:val="20"/>
          <w:vertAlign w:val="superscript"/>
        </w:rPr>
        <w:t>-1</w:t>
      </w:r>
      <w:r w:rsidRPr="008B0111">
        <w:rPr>
          <w:rFonts w:ascii="Times New Roman" w:hAnsi="Times New Roman" w:cs="Times New Roman"/>
          <w:sz w:val="20"/>
          <w:szCs w:val="20"/>
          <w:lang w:val="en-GB"/>
        </w:rPr>
        <w:t xml:space="preserve">, pH = 5, </w:t>
      </w:r>
      <w:r w:rsidRPr="008B0111">
        <w:rPr>
          <w:rFonts w:ascii="Times New Roman" w:hAnsi="Times New Roman" w:cs="Times New Roman"/>
          <w:i/>
          <w:sz w:val="20"/>
          <w:szCs w:val="20"/>
          <w:lang w:val="en-GB"/>
        </w:rPr>
        <w:t xml:space="preserve">W </w:t>
      </w:r>
      <w:r w:rsidRPr="008B0111">
        <w:rPr>
          <w:rFonts w:ascii="Times New Roman" w:hAnsi="Times New Roman" w:cs="Times New Roman"/>
          <w:sz w:val="20"/>
          <w:szCs w:val="20"/>
          <w:lang w:val="en-GB"/>
        </w:rPr>
        <w:t>=</w:t>
      </w:r>
      <w:r w:rsidRPr="008B0111">
        <w:rPr>
          <w:rFonts w:ascii="Times New Roman" w:hAnsi="Times New Roman" w:cs="Times New Roman"/>
          <w:i/>
          <w:sz w:val="20"/>
          <w:szCs w:val="20"/>
          <w:lang w:val="en-GB"/>
        </w:rPr>
        <w:t xml:space="preserve"> </w:t>
      </w:r>
      <w:r w:rsidRPr="008B0111">
        <w:rPr>
          <w:rFonts w:ascii="Times New Roman" w:hAnsi="Times New Roman" w:cs="Times New Roman"/>
          <w:sz w:val="20"/>
          <w:szCs w:val="20"/>
          <w:lang w:val="en-GB"/>
        </w:rPr>
        <w:t>1.0 gL</w:t>
      </w:r>
      <w:r w:rsidRPr="008B0111">
        <w:rPr>
          <w:rFonts w:ascii="Times New Roman" w:hAnsi="Times New Roman" w:cs="Times New Roman"/>
          <w:sz w:val="20"/>
          <w:szCs w:val="20"/>
          <w:vertAlign w:val="superscript"/>
        </w:rPr>
        <w:t>-1</w:t>
      </w:r>
      <w:r w:rsidRPr="008B0111">
        <w:rPr>
          <w:rFonts w:ascii="Times New Roman" w:hAnsi="Times New Roman" w:cs="Times New Roman"/>
          <w:sz w:val="20"/>
          <w:szCs w:val="20"/>
          <w:lang w:val="en-GB"/>
        </w:rPr>
        <w:t xml:space="preserve">, </w:t>
      </w:r>
      <w:r w:rsidRPr="008B0111">
        <w:rPr>
          <w:rFonts w:ascii="Times New Roman" w:hAnsi="Times New Roman" w:cs="Times New Roman"/>
          <w:i/>
          <w:sz w:val="20"/>
          <w:szCs w:val="20"/>
          <w:lang w:val="en-GB"/>
        </w:rPr>
        <w:t xml:space="preserve">t </w:t>
      </w:r>
      <w:r w:rsidRPr="008B0111">
        <w:rPr>
          <w:rFonts w:ascii="Times New Roman" w:hAnsi="Times New Roman" w:cs="Times New Roman"/>
          <w:sz w:val="20"/>
          <w:szCs w:val="20"/>
          <w:lang w:val="en-GB"/>
        </w:rPr>
        <w:t>= 2 h, T = 303K]</w:t>
      </w:r>
      <w:bookmarkEnd w:id="2"/>
      <w:bookmarkEnd w:id="3"/>
    </w:p>
    <w:p w14:paraId="45506782" w14:textId="77777777" w:rsidR="003B2127" w:rsidRPr="008B0111" w:rsidRDefault="003B2127" w:rsidP="003B2127">
      <w:pPr>
        <w:tabs>
          <w:tab w:val="left" w:pos="567"/>
        </w:tabs>
        <w:jc w:val="center"/>
        <w:rPr>
          <w:sz w:val="20"/>
          <w:szCs w:val="20"/>
        </w:rPr>
      </w:pPr>
    </w:p>
    <w:p w14:paraId="389FBA5F" w14:textId="77777777" w:rsidR="003B2127" w:rsidRPr="008B0111" w:rsidRDefault="003B2127" w:rsidP="003B2127">
      <w:pPr>
        <w:tabs>
          <w:tab w:val="left" w:pos="567"/>
        </w:tabs>
        <w:jc w:val="both"/>
        <w:rPr>
          <w:b/>
          <w:sz w:val="20"/>
          <w:szCs w:val="20"/>
        </w:rPr>
      </w:pPr>
      <w:r w:rsidRPr="008B0111">
        <w:rPr>
          <w:b/>
          <w:sz w:val="20"/>
          <w:szCs w:val="20"/>
        </w:rPr>
        <w:t>Effect of pH</w:t>
      </w:r>
    </w:p>
    <w:p w14:paraId="62BDA7AD" w14:textId="227F75B8" w:rsidR="00F54DA9" w:rsidRDefault="003B2127" w:rsidP="003B2127">
      <w:pPr>
        <w:tabs>
          <w:tab w:val="left" w:pos="567"/>
        </w:tabs>
        <w:jc w:val="both"/>
        <w:rPr>
          <w:sz w:val="20"/>
          <w:szCs w:val="20"/>
          <w:lang w:val="en-GB"/>
        </w:rPr>
      </w:pPr>
      <w:r w:rsidRPr="008B0111">
        <w:rPr>
          <w:sz w:val="20"/>
          <w:szCs w:val="20"/>
          <w:lang w:val="en-GB"/>
        </w:rPr>
        <w:t xml:space="preserve">The </w:t>
      </w:r>
      <w:r w:rsidR="00B97D2D" w:rsidRPr="008B0111">
        <w:rPr>
          <w:sz w:val="20"/>
          <w:szCs w:val="20"/>
          <w:lang w:val="en-GB"/>
        </w:rPr>
        <w:t>pH value is one of the main factors influencing the rate of degradation of some organic compounds since it dictates the surface charge properties of the photocatalyst and the</w:t>
      </w:r>
      <w:r w:rsidR="003507A2" w:rsidRPr="008B0111">
        <w:rPr>
          <w:sz w:val="20"/>
          <w:szCs w:val="20"/>
          <w:lang w:val="en-GB"/>
        </w:rPr>
        <w:t xml:space="preserve"> size of aggregates it forms [23</w:t>
      </w:r>
      <w:r w:rsidR="00B97D2D" w:rsidRPr="008B0111">
        <w:rPr>
          <w:sz w:val="20"/>
          <w:szCs w:val="20"/>
          <w:lang w:val="en-GB"/>
        </w:rPr>
        <w:t>]</w:t>
      </w:r>
      <w:r w:rsidR="00B97D2D" w:rsidRPr="008B0111">
        <w:rPr>
          <w:bCs/>
          <w:sz w:val="20"/>
          <w:szCs w:val="20"/>
          <w:lang w:val="en-GB"/>
        </w:rPr>
        <w:t>.</w:t>
      </w:r>
      <w:r w:rsidR="00B97D2D" w:rsidRPr="008B0111">
        <w:rPr>
          <w:sz w:val="20"/>
          <w:szCs w:val="20"/>
          <w:lang w:val="en-GB"/>
        </w:rPr>
        <w:t xml:space="preserve"> In this study, the effect of pH on degradation of RBB was conducted with pH values of 3, 5, 7, 9 and 11, and illustrated in Fig</w:t>
      </w:r>
      <w:r w:rsidR="00A44DA1">
        <w:rPr>
          <w:sz w:val="20"/>
          <w:szCs w:val="20"/>
          <w:lang w:val="en-GB"/>
        </w:rPr>
        <w:t>ure</w:t>
      </w:r>
      <w:r w:rsidR="00B97D2D" w:rsidRPr="008B0111">
        <w:rPr>
          <w:sz w:val="20"/>
          <w:szCs w:val="20"/>
          <w:lang w:val="en-GB"/>
        </w:rPr>
        <w:t xml:space="preserve"> 3. The highest performance of degradation of RBB was at pH 3 with an RBB degradation percentage of 89.1%. As the pH value increased, the percentage of RBB degradation decreased. Reactive dyes like RBB will </w:t>
      </w:r>
      <w:r w:rsidR="00B97D2D" w:rsidRPr="008B0111">
        <w:rPr>
          <w:sz w:val="20"/>
          <w:szCs w:val="20"/>
          <w:lang w:val="en-GB"/>
        </w:rPr>
        <w:lastRenderedPageBreak/>
        <w:t xml:space="preserve">release </w:t>
      </w:r>
      <w:r w:rsidR="00A44DA1" w:rsidRPr="008B0111">
        <w:rPr>
          <w:sz w:val="20"/>
          <w:szCs w:val="20"/>
          <w:lang w:val="en-GB"/>
        </w:rPr>
        <w:t>coloured</w:t>
      </w:r>
      <w:r w:rsidR="00B97D2D" w:rsidRPr="008B0111">
        <w:rPr>
          <w:sz w:val="20"/>
          <w:szCs w:val="20"/>
          <w:lang w:val="en-GB"/>
        </w:rPr>
        <w:t xml:space="preserve"> negatively ch</w:t>
      </w:r>
      <w:r w:rsidR="003507A2" w:rsidRPr="008B0111">
        <w:rPr>
          <w:sz w:val="20"/>
          <w:szCs w:val="20"/>
          <w:lang w:val="en-GB"/>
        </w:rPr>
        <w:t>arged anions in the solution [24</w:t>
      </w:r>
      <w:r w:rsidR="00B97D2D" w:rsidRPr="008B0111">
        <w:rPr>
          <w:sz w:val="20"/>
          <w:szCs w:val="20"/>
          <w:lang w:val="en-GB"/>
        </w:rPr>
        <w:t xml:space="preserve">]. A metal oxide semiconductor usually exhibits an amphoteric behaviour, which influences the surface-charge properties of the photocatalyst when the reactions occur on the </w:t>
      </w:r>
      <w:r w:rsidR="003507A2" w:rsidRPr="008B0111">
        <w:rPr>
          <w:sz w:val="20"/>
          <w:szCs w:val="20"/>
          <w:lang w:val="en-GB"/>
        </w:rPr>
        <w:t>surface of the semiconductor [25</w:t>
      </w:r>
      <w:r w:rsidR="00B97D2D" w:rsidRPr="008B0111">
        <w:rPr>
          <w:sz w:val="20"/>
          <w:szCs w:val="20"/>
          <w:lang w:val="en-GB"/>
        </w:rPr>
        <w:t>]. Therefore, when the pH of the solution was low, more positively charged cations appeared on the surface of the NiO photocatalyst. Hence, it increased the electrostatic force of attraction between NiO photocatalyst and dye molecules of RBB</w:t>
      </w:r>
      <w:r w:rsidR="00B97D2D" w:rsidRPr="008B0111">
        <w:rPr>
          <w:sz w:val="20"/>
          <w:szCs w:val="20"/>
        </w:rPr>
        <w:t>,</w:t>
      </w:r>
      <w:r w:rsidR="00B97D2D" w:rsidRPr="008B0111">
        <w:rPr>
          <w:sz w:val="20"/>
          <w:szCs w:val="20"/>
          <w:lang w:val="en-GB"/>
        </w:rPr>
        <w:t xml:space="preserve"> which consequently caused an increase in degradation of dye at low pH values</w:t>
      </w:r>
      <w:r w:rsidRPr="008B0111">
        <w:rPr>
          <w:sz w:val="20"/>
          <w:szCs w:val="20"/>
          <w:lang w:val="en-GB"/>
        </w:rPr>
        <w:t>.</w:t>
      </w:r>
    </w:p>
    <w:p w14:paraId="0ED3DE53" w14:textId="77777777" w:rsidR="00A44DA1" w:rsidRPr="008B0111" w:rsidRDefault="00A44DA1" w:rsidP="003B2127">
      <w:pPr>
        <w:tabs>
          <w:tab w:val="left" w:pos="567"/>
        </w:tabs>
        <w:jc w:val="both"/>
        <w:rPr>
          <w:sz w:val="20"/>
          <w:szCs w:val="20"/>
          <w:lang w:val="en-GB"/>
        </w:rPr>
      </w:pPr>
    </w:p>
    <w:p w14:paraId="20D67789" w14:textId="77777777" w:rsidR="00F54DA9" w:rsidRPr="008B0111" w:rsidRDefault="00F54DA9" w:rsidP="00F54DA9">
      <w:pPr>
        <w:tabs>
          <w:tab w:val="left" w:pos="567"/>
        </w:tabs>
        <w:jc w:val="center"/>
        <w:rPr>
          <w:sz w:val="20"/>
          <w:szCs w:val="20"/>
          <w:lang w:val="en-GB"/>
        </w:rPr>
      </w:pPr>
      <w:r w:rsidRPr="008B0111">
        <w:rPr>
          <w:noProof/>
          <w:lang w:val="en-GB" w:eastAsia="en-GB"/>
        </w:rPr>
        <w:drawing>
          <wp:inline distT="0" distB="0" distL="0" distR="0" wp14:anchorId="79C0ACA1" wp14:editId="66C47200">
            <wp:extent cx="2669559" cy="2159635"/>
            <wp:effectExtent l="19050" t="19050" r="1651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9">
                      <a:extLst>
                        <a:ext uri="{28A0092B-C50C-407E-A947-70E740481C1C}">
                          <a14:useLocalDpi xmlns:a14="http://schemas.microsoft.com/office/drawing/2010/main" val="0"/>
                        </a:ext>
                      </a:extLst>
                    </a:blip>
                    <a:srcRect t="4240"/>
                    <a:stretch/>
                  </pic:blipFill>
                  <pic:spPr bwMode="auto">
                    <a:xfrm>
                      <a:off x="0" y="0"/>
                      <a:ext cx="2679086" cy="2167342"/>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22CAC35A" w14:textId="77777777" w:rsidR="00A44DA1" w:rsidRDefault="00A44DA1" w:rsidP="00F54DA9">
      <w:pPr>
        <w:jc w:val="center"/>
        <w:rPr>
          <w:b/>
          <w:sz w:val="20"/>
          <w:szCs w:val="20"/>
        </w:rPr>
      </w:pPr>
    </w:p>
    <w:p w14:paraId="5EB47485" w14:textId="79A6389B" w:rsidR="00F54DA9" w:rsidRPr="008B0111" w:rsidRDefault="00F54DA9" w:rsidP="00F54DA9">
      <w:pPr>
        <w:jc w:val="center"/>
        <w:rPr>
          <w:sz w:val="20"/>
          <w:szCs w:val="20"/>
          <w:lang w:val="en-GB"/>
        </w:rPr>
      </w:pPr>
      <w:r w:rsidRPr="00A44DA1">
        <w:rPr>
          <w:bCs/>
          <w:sz w:val="20"/>
          <w:szCs w:val="20"/>
        </w:rPr>
        <w:t>Fig</w:t>
      </w:r>
      <w:r w:rsidR="00A44DA1">
        <w:rPr>
          <w:bCs/>
          <w:sz w:val="20"/>
          <w:szCs w:val="20"/>
        </w:rPr>
        <w:t>ure</w:t>
      </w:r>
      <w:r w:rsidRPr="00A44DA1">
        <w:rPr>
          <w:bCs/>
          <w:sz w:val="20"/>
          <w:szCs w:val="20"/>
        </w:rPr>
        <w:t xml:space="preserve"> 3</w:t>
      </w:r>
      <w:r w:rsidR="00A44DA1" w:rsidRPr="00A44DA1">
        <w:rPr>
          <w:bCs/>
          <w:sz w:val="20"/>
          <w:szCs w:val="20"/>
        </w:rPr>
        <w:t xml:space="preserve">. </w:t>
      </w:r>
      <w:r w:rsidRPr="008B0111">
        <w:rPr>
          <w:iCs/>
          <w:sz w:val="20"/>
          <w:szCs w:val="20"/>
          <w:lang w:val="en-GB"/>
        </w:rPr>
        <w:t xml:space="preserve">Effect of pH </w:t>
      </w:r>
      <w:r w:rsidRPr="008B0111">
        <w:rPr>
          <w:sz w:val="20"/>
          <w:szCs w:val="20"/>
          <w:lang w:val="en-GB"/>
        </w:rPr>
        <w:t>[</w:t>
      </w:r>
      <w:r w:rsidRPr="008B0111">
        <w:rPr>
          <w:i/>
          <w:sz w:val="20"/>
          <w:szCs w:val="20"/>
          <w:lang w:val="en-GB"/>
        </w:rPr>
        <w:t xml:space="preserve">W </w:t>
      </w:r>
      <w:r w:rsidRPr="008B0111">
        <w:rPr>
          <w:sz w:val="20"/>
          <w:szCs w:val="20"/>
          <w:lang w:val="en-GB"/>
        </w:rPr>
        <w:t>=</w:t>
      </w:r>
      <w:r w:rsidRPr="008B0111">
        <w:rPr>
          <w:i/>
          <w:sz w:val="20"/>
          <w:szCs w:val="20"/>
          <w:lang w:val="en-GB"/>
        </w:rPr>
        <w:t xml:space="preserve"> </w:t>
      </w:r>
      <w:r w:rsidRPr="008B0111">
        <w:rPr>
          <w:sz w:val="20"/>
          <w:szCs w:val="20"/>
          <w:lang w:val="en-GB"/>
        </w:rPr>
        <w:t>1.0 gL</w:t>
      </w:r>
      <w:r w:rsidRPr="008B0111">
        <w:rPr>
          <w:sz w:val="20"/>
          <w:szCs w:val="20"/>
          <w:vertAlign w:val="superscript"/>
        </w:rPr>
        <w:t>-1</w:t>
      </w:r>
      <w:r w:rsidRPr="008B0111">
        <w:rPr>
          <w:sz w:val="20"/>
          <w:szCs w:val="20"/>
          <w:lang w:val="en-GB"/>
        </w:rPr>
        <w:t>, C</w:t>
      </w:r>
      <w:r w:rsidRPr="008B0111">
        <w:rPr>
          <w:sz w:val="20"/>
          <w:szCs w:val="20"/>
          <w:vertAlign w:val="subscript"/>
          <w:lang w:val="en-GB"/>
        </w:rPr>
        <w:t xml:space="preserve"> </w:t>
      </w:r>
      <w:r w:rsidRPr="008B0111">
        <w:rPr>
          <w:sz w:val="20"/>
          <w:szCs w:val="20"/>
          <w:lang w:val="en-GB"/>
        </w:rPr>
        <w:t>= 10 mgL</w:t>
      </w:r>
      <w:r w:rsidRPr="008B0111">
        <w:rPr>
          <w:sz w:val="20"/>
          <w:szCs w:val="20"/>
          <w:vertAlign w:val="superscript"/>
        </w:rPr>
        <w:t>-1</w:t>
      </w:r>
      <w:r w:rsidRPr="008B0111">
        <w:rPr>
          <w:sz w:val="20"/>
          <w:szCs w:val="20"/>
          <w:lang w:val="en-GB"/>
        </w:rPr>
        <w:t xml:space="preserve">, </w:t>
      </w:r>
      <w:r w:rsidRPr="008B0111">
        <w:rPr>
          <w:i/>
          <w:sz w:val="20"/>
          <w:szCs w:val="20"/>
          <w:lang w:val="en-GB"/>
        </w:rPr>
        <w:t xml:space="preserve">t </w:t>
      </w:r>
      <w:r w:rsidRPr="008B0111">
        <w:rPr>
          <w:sz w:val="20"/>
          <w:szCs w:val="20"/>
          <w:lang w:val="en-GB"/>
        </w:rPr>
        <w:t>= 2 h, T = 303K]</w:t>
      </w:r>
    </w:p>
    <w:p w14:paraId="4BE70388" w14:textId="77777777" w:rsidR="00F54DA9" w:rsidRPr="008B0111" w:rsidRDefault="00F54DA9" w:rsidP="003B2127">
      <w:pPr>
        <w:tabs>
          <w:tab w:val="left" w:pos="567"/>
        </w:tabs>
        <w:jc w:val="both"/>
      </w:pPr>
    </w:p>
    <w:p w14:paraId="787F63DA" w14:textId="2C1505E1" w:rsidR="003B2127" w:rsidRPr="008B0111" w:rsidRDefault="003B2127" w:rsidP="003B2127">
      <w:pPr>
        <w:tabs>
          <w:tab w:val="left" w:pos="567"/>
        </w:tabs>
        <w:jc w:val="both"/>
        <w:rPr>
          <w:b/>
          <w:sz w:val="20"/>
          <w:szCs w:val="20"/>
        </w:rPr>
      </w:pPr>
      <w:r w:rsidRPr="008B0111">
        <w:rPr>
          <w:b/>
          <w:sz w:val="20"/>
          <w:szCs w:val="20"/>
        </w:rPr>
        <w:t xml:space="preserve">Effect </w:t>
      </w:r>
      <w:r w:rsidR="00A44DA1" w:rsidRPr="008B0111">
        <w:rPr>
          <w:b/>
          <w:sz w:val="20"/>
          <w:szCs w:val="20"/>
        </w:rPr>
        <w:t xml:space="preserve">of </w:t>
      </w:r>
      <w:r w:rsidR="00A44DA1" w:rsidRPr="008B0111">
        <w:rPr>
          <w:b/>
          <w:iCs/>
          <w:sz w:val="20"/>
          <w:szCs w:val="20"/>
          <w:lang w:val="en-GB"/>
        </w:rPr>
        <w:t>catalyst dosage</w:t>
      </w:r>
    </w:p>
    <w:p w14:paraId="4A268E2B" w14:textId="33CC0687" w:rsidR="003B2127" w:rsidRDefault="00B97D2D" w:rsidP="003B2127">
      <w:pPr>
        <w:tabs>
          <w:tab w:val="left" w:pos="567"/>
        </w:tabs>
        <w:jc w:val="both"/>
        <w:rPr>
          <w:sz w:val="20"/>
          <w:szCs w:val="20"/>
          <w:lang w:val="en-GB"/>
        </w:rPr>
      </w:pPr>
      <w:r w:rsidRPr="008B0111">
        <w:rPr>
          <w:sz w:val="20"/>
          <w:szCs w:val="20"/>
          <w:lang w:val="en-GB"/>
        </w:rPr>
        <w:t>The effect of catalyst dosage on the degradation of RBB was carried out by varying the catalyst dosages (0.5, 1.0, 1.5, 3.0 and 5.0 gL</w:t>
      </w:r>
      <w:r w:rsidRPr="008B0111">
        <w:rPr>
          <w:sz w:val="20"/>
          <w:szCs w:val="20"/>
          <w:vertAlign w:val="superscript"/>
        </w:rPr>
        <w:t>-1</w:t>
      </w:r>
      <w:r w:rsidRPr="008B0111">
        <w:rPr>
          <w:sz w:val="20"/>
          <w:szCs w:val="20"/>
          <w:lang w:val="en-GB"/>
        </w:rPr>
        <w:t>) to decolorize 10 mgL</w:t>
      </w:r>
      <w:r w:rsidRPr="008B0111">
        <w:rPr>
          <w:sz w:val="20"/>
          <w:szCs w:val="20"/>
          <w:vertAlign w:val="superscript"/>
        </w:rPr>
        <w:t>-1</w:t>
      </w:r>
      <w:r w:rsidRPr="008B0111">
        <w:rPr>
          <w:sz w:val="20"/>
          <w:szCs w:val="20"/>
          <w:lang w:val="en-GB"/>
        </w:rPr>
        <w:t xml:space="preserve"> of RBB. A plot of percentage degradation of RBB using different dosages of NiO is shown as in Fig</w:t>
      </w:r>
      <w:r w:rsidR="00A44DA1">
        <w:rPr>
          <w:sz w:val="20"/>
          <w:szCs w:val="20"/>
          <w:lang w:val="en-GB"/>
        </w:rPr>
        <w:t>ure</w:t>
      </w:r>
      <w:r w:rsidRPr="008B0111">
        <w:rPr>
          <w:sz w:val="20"/>
          <w:szCs w:val="20"/>
          <w:lang w:val="en-GB"/>
        </w:rPr>
        <w:t xml:space="preserve"> 4. Increase in the dosage of NiO showed an increase in the degradation efficiency of RBB. This is because of the increase in the number of binding sites with increasing NiO dosage. About 3.0 gL</w:t>
      </w:r>
      <w:r w:rsidRPr="008B0111">
        <w:rPr>
          <w:sz w:val="20"/>
          <w:szCs w:val="20"/>
          <w:vertAlign w:val="superscript"/>
        </w:rPr>
        <w:t>-1</w:t>
      </w:r>
      <w:r w:rsidRPr="008B0111">
        <w:rPr>
          <w:sz w:val="20"/>
          <w:szCs w:val="20"/>
          <w:lang w:val="en-GB"/>
        </w:rPr>
        <w:t xml:space="preserve"> and 5.0 gL</w:t>
      </w:r>
      <w:r w:rsidRPr="008B0111">
        <w:rPr>
          <w:sz w:val="20"/>
          <w:szCs w:val="20"/>
          <w:vertAlign w:val="superscript"/>
        </w:rPr>
        <w:t>-1</w:t>
      </w:r>
      <w:r w:rsidRPr="008B0111">
        <w:rPr>
          <w:sz w:val="20"/>
          <w:szCs w:val="20"/>
          <w:lang w:val="en-GB"/>
        </w:rPr>
        <w:t xml:space="preserve"> of NiO showed the highest percentages of degradation of RBB</w:t>
      </w:r>
      <w:r w:rsidRPr="008B0111">
        <w:rPr>
          <w:sz w:val="20"/>
          <w:szCs w:val="20"/>
        </w:rPr>
        <w:t>,</w:t>
      </w:r>
      <w:r w:rsidRPr="008B0111">
        <w:rPr>
          <w:sz w:val="20"/>
          <w:szCs w:val="20"/>
          <w:lang w:val="en-GB"/>
        </w:rPr>
        <w:t xml:space="preserve"> which were 83.7% and 83.8%, respectively. In addition, there was no drastic change between 3.0 gL</w:t>
      </w:r>
      <w:r w:rsidRPr="008B0111">
        <w:rPr>
          <w:sz w:val="20"/>
          <w:szCs w:val="20"/>
          <w:vertAlign w:val="superscript"/>
        </w:rPr>
        <w:t>-1</w:t>
      </w:r>
      <w:r w:rsidRPr="008B0111">
        <w:rPr>
          <w:sz w:val="20"/>
          <w:szCs w:val="20"/>
          <w:lang w:val="en-GB"/>
        </w:rPr>
        <w:t xml:space="preserve"> and 5.0 gL</w:t>
      </w:r>
      <w:r w:rsidRPr="008B0111">
        <w:rPr>
          <w:sz w:val="20"/>
          <w:szCs w:val="20"/>
          <w:vertAlign w:val="superscript"/>
        </w:rPr>
        <w:t>-1</w:t>
      </w:r>
      <w:r w:rsidRPr="008B0111">
        <w:rPr>
          <w:sz w:val="20"/>
          <w:szCs w:val="20"/>
          <w:lang w:val="en-GB"/>
        </w:rPr>
        <w:t xml:space="preserve"> of NiO as the increase in catalyst dosage may lead to higher turbidity of the suspension, hence reducing light penetration and inhibiting the degradation process. The increase in the catalyst dosage led to an increase in the active surface area and enhanced t</w:t>
      </w:r>
      <w:r w:rsidR="00535E6D" w:rsidRPr="008B0111">
        <w:rPr>
          <w:sz w:val="20"/>
          <w:szCs w:val="20"/>
          <w:lang w:val="en-GB"/>
        </w:rPr>
        <w:t xml:space="preserve">he </w:t>
      </w:r>
      <w:r w:rsidR="003507A2" w:rsidRPr="008B0111">
        <w:rPr>
          <w:sz w:val="20"/>
          <w:szCs w:val="20"/>
          <w:lang w:val="en-GB"/>
        </w:rPr>
        <w:t>photodegradation reaction [25</w:t>
      </w:r>
      <w:r w:rsidRPr="008B0111">
        <w:rPr>
          <w:sz w:val="20"/>
          <w:szCs w:val="20"/>
          <w:lang w:val="en-GB"/>
        </w:rPr>
        <w:t>]. Moreover, the increase in degradation was most likely due to the increase in the number of photon</w:t>
      </w:r>
      <w:r w:rsidR="003507A2" w:rsidRPr="008B0111">
        <w:rPr>
          <w:sz w:val="20"/>
          <w:szCs w:val="20"/>
          <w:lang w:val="en-GB"/>
        </w:rPr>
        <w:t>s and dye molecules absorbed [24</w:t>
      </w:r>
      <w:r w:rsidRPr="008B0111">
        <w:rPr>
          <w:sz w:val="20"/>
          <w:szCs w:val="20"/>
          <w:lang w:val="en-GB"/>
        </w:rPr>
        <w:t>]. Increasing the number of photons will increase the number of free radical. These free radicals will attack the RBB dye molecule by breaking the structure of the RBB dye molecule and convert it into oxidative products and carbon dioxide gases</w:t>
      </w:r>
      <w:r w:rsidR="003B2127" w:rsidRPr="008B0111">
        <w:rPr>
          <w:sz w:val="20"/>
          <w:szCs w:val="20"/>
          <w:lang w:val="en-GB"/>
        </w:rPr>
        <w:t>.</w:t>
      </w:r>
    </w:p>
    <w:p w14:paraId="352334DF" w14:textId="77777777" w:rsidR="00A44DA1" w:rsidRPr="008B0111" w:rsidRDefault="00A44DA1" w:rsidP="003B2127">
      <w:pPr>
        <w:tabs>
          <w:tab w:val="left" w:pos="567"/>
        </w:tabs>
        <w:jc w:val="both"/>
        <w:rPr>
          <w:sz w:val="20"/>
          <w:szCs w:val="20"/>
          <w:lang w:val="en-GB"/>
        </w:rPr>
      </w:pPr>
    </w:p>
    <w:p w14:paraId="4428D7B8" w14:textId="68DEB837" w:rsidR="003B2127" w:rsidRDefault="00F54DA9" w:rsidP="00F54DA9">
      <w:pPr>
        <w:tabs>
          <w:tab w:val="left" w:pos="567"/>
        </w:tabs>
        <w:jc w:val="center"/>
        <w:rPr>
          <w:sz w:val="20"/>
          <w:szCs w:val="20"/>
        </w:rPr>
      </w:pPr>
      <w:r w:rsidRPr="008B0111">
        <w:rPr>
          <w:noProof/>
          <w:lang w:val="en-GB" w:eastAsia="en-GB"/>
        </w:rPr>
        <w:drawing>
          <wp:inline distT="0" distB="0" distL="0" distR="0" wp14:anchorId="21C750BE" wp14:editId="08275B1A">
            <wp:extent cx="2758269" cy="2159635"/>
            <wp:effectExtent l="19050" t="19050" r="2349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4806" cy="2164753"/>
                    </a:xfrm>
                    <a:prstGeom prst="rect">
                      <a:avLst/>
                    </a:prstGeom>
                    <a:noFill/>
                    <a:ln w="6350">
                      <a:solidFill>
                        <a:schemeClr val="tx1"/>
                      </a:solidFill>
                    </a:ln>
                  </pic:spPr>
                </pic:pic>
              </a:graphicData>
            </a:graphic>
          </wp:inline>
        </w:drawing>
      </w:r>
    </w:p>
    <w:p w14:paraId="434E0E47" w14:textId="77777777" w:rsidR="00A44DA1" w:rsidRPr="008B0111" w:rsidRDefault="00A44DA1" w:rsidP="00F54DA9">
      <w:pPr>
        <w:tabs>
          <w:tab w:val="left" w:pos="567"/>
        </w:tabs>
        <w:jc w:val="center"/>
        <w:rPr>
          <w:sz w:val="20"/>
          <w:szCs w:val="20"/>
        </w:rPr>
      </w:pPr>
    </w:p>
    <w:p w14:paraId="6DE88E59" w14:textId="2A305CCC" w:rsidR="00F54DA9" w:rsidRPr="008B0111" w:rsidRDefault="00F54DA9" w:rsidP="00F54DA9">
      <w:pPr>
        <w:jc w:val="center"/>
        <w:rPr>
          <w:sz w:val="20"/>
          <w:szCs w:val="20"/>
        </w:rPr>
      </w:pPr>
      <w:r w:rsidRPr="00A44DA1">
        <w:rPr>
          <w:bCs/>
          <w:sz w:val="20"/>
          <w:szCs w:val="20"/>
        </w:rPr>
        <w:t>Fig</w:t>
      </w:r>
      <w:r w:rsidR="00A44DA1">
        <w:rPr>
          <w:bCs/>
          <w:sz w:val="20"/>
          <w:szCs w:val="20"/>
        </w:rPr>
        <w:t>ure</w:t>
      </w:r>
      <w:r w:rsidRPr="00A44DA1">
        <w:rPr>
          <w:bCs/>
          <w:sz w:val="20"/>
          <w:szCs w:val="20"/>
        </w:rPr>
        <w:t xml:space="preserve"> 4</w:t>
      </w:r>
      <w:r w:rsidR="00A44DA1">
        <w:rPr>
          <w:sz w:val="20"/>
          <w:szCs w:val="20"/>
        </w:rPr>
        <w:t xml:space="preserve">. </w:t>
      </w:r>
      <w:r w:rsidRPr="008B0111">
        <w:rPr>
          <w:sz w:val="20"/>
          <w:szCs w:val="20"/>
          <w:lang w:val="en-GB"/>
        </w:rPr>
        <w:t>Effect of catalyst dosage [pH = 3, C</w:t>
      </w:r>
      <w:r w:rsidRPr="008B0111">
        <w:rPr>
          <w:sz w:val="20"/>
          <w:szCs w:val="20"/>
          <w:vertAlign w:val="subscript"/>
          <w:lang w:val="en-GB"/>
        </w:rPr>
        <w:t xml:space="preserve"> </w:t>
      </w:r>
      <w:r w:rsidRPr="008B0111">
        <w:rPr>
          <w:sz w:val="20"/>
          <w:szCs w:val="20"/>
          <w:lang w:val="en-GB"/>
        </w:rPr>
        <w:t>= 10 mgL</w:t>
      </w:r>
      <w:r w:rsidRPr="008B0111">
        <w:rPr>
          <w:sz w:val="20"/>
          <w:szCs w:val="20"/>
          <w:vertAlign w:val="superscript"/>
        </w:rPr>
        <w:t>-1</w:t>
      </w:r>
      <w:r w:rsidRPr="008B0111">
        <w:rPr>
          <w:sz w:val="20"/>
          <w:szCs w:val="20"/>
          <w:lang w:val="en-GB"/>
        </w:rPr>
        <w:t xml:space="preserve">, </w:t>
      </w:r>
      <w:r w:rsidRPr="008B0111">
        <w:rPr>
          <w:i/>
          <w:sz w:val="20"/>
          <w:szCs w:val="20"/>
          <w:lang w:val="en-GB"/>
        </w:rPr>
        <w:t xml:space="preserve">t </w:t>
      </w:r>
      <w:r w:rsidRPr="008B0111">
        <w:rPr>
          <w:sz w:val="20"/>
          <w:szCs w:val="20"/>
          <w:lang w:val="en-GB"/>
        </w:rPr>
        <w:t>= 1 h, T = 303K]</w:t>
      </w:r>
    </w:p>
    <w:p w14:paraId="4A9F189F" w14:textId="77777777" w:rsidR="003B4145" w:rsidRPr="008B0111" w:rsidRDefault="003B4145" w:rsidP="00F54DA9">
      <w:pPr>
        <w:rPr>
          <w:b/>
          <w:sz w:val="20"/>
          <w:szCs w:val="20"/>
        </w:rPr>
      </w:pPr>
    </w:p>
    <w:p w14:paraId="54805BEF" w14:textId="77777777" w:rsidR="003B2127" w:rsidRPr="008B0111" w:rsidRDefault="003B2127" w:rsidP="00F54DA9">
      <w:pPr>
        <w:rPr>
          <w:sz w:val="20"/>
          <w:szCs w:val="20"/>
        </w:rPr>
      </w:pPr>
      <w:r w:rsidRPr="008B0111">
        <w:rPr>
          <w:b/>
          <w:sz w:val="20"/>
          <w:szCs w:val="20"/>
        </w:rPr>
        <w:t xml:space="preserve">Effect of </w:t>
      </w:r>
      <w:r w:rsidR="00F54DA9" w:rsidRPr="008B0111">
        <w:rPr>
          <w:b/>
          <w:sz w:val="20"/>
          <w:szCs w:val="20"/>
        </w:rPr>
        <w:t>Initial C</w:t>
      </w:r>
      <w:r w:rsidRPr="008B0111">
        <w:rPr>
          <w:b/>
          <w:sz w:val="20"/>
          <w:szCs w:val="20"/>
        </w:rPr>
        <w:t>oncentration</w:t>
      </w:r>
    </w:p>
    <w:p w14:paraId="5B53C74D" w14:textId="300CA450" w:rsidR="003B2127" w:rsidRDefault="00F035AF" w:rsidP="003B2127">
      <w:pPr>
        <w:tabs>
          <w:tab w:val="left" w:pos="567"/>
        </w:tabs>
        <w:jc w:val="both"/>
        <w:rPr>
          <w:sz w:val="20"/>
          <w:szCs w:val="20"/>
          <w:lang w:val="en-GB"/>
        </w:rPr>
      </w:pPr>
      <w:r w:rsidRPr="008B0111">
        <w:rPr>
          <w:sz w:val="20"/>
          <w:szCs w:val="20"/>
          <w:lang w:val="en-GB"/>
        </w:rPr>
        <w:t>The effect of initial dye concentrations on degradation of RBB in this study was investigated by varying the RBB concentrations (10, 20, 30, 50, 70 and 100 mgL</w:t>
      </w:r>
      <w:r w:rsidRPr="008B0111">
        <w:rPr>
          <w:sz w:val="20"/>
          <w:szCs w:val="20"/>
          <w:vertAlign w:val="superscript"/>
        </w:rPr>
        <w:t>-1</w:t>
      </w:r>
      <w:r w:rsidRPr="008B0111">
        <w:rPr>
          <w:sz w:val="20"/>
          <w:szCs w:val="20"/>
          <w:lang w:val="en-GB"/>
        </w:rPr>
        <w:t>). Fig</w:t>
      </w:r>
      <w:r w:rsidR="00A44DA1">
        <w:rPr>
          <w:sz w:val="20"/>
          <w:szCs w:val="20"/>
          <w:lang w:val="en-GB"/>
        </w:rPr>
        <w:t>ure</w:t>
      </w:r>
      <w:r w:rsidRPr="008B0111">
        <w:rPr>
          <w:sz w:val="20"/>
          <w:szCs w:val="20"/>
          <w:lang w:val="en-GB"/>
        </w:rPr>
        <w:t xml:space="preserve"> 5 illustrates the changes in degradation of RBB as </w:t>
      </w:r>
      <w:r w:rsidRPr="008B0111">
        <w:rPr>
          <w:sz w:val="20"/>
          <w:szCs w:val="20"/>
          <w:lang w:val="en-GB"/>
        </w:rPr>
        <w:lastRenderedPageBreak/>
        <w:t>photodegradation has taken place. The degradation efficiency was decreased with increase in the initial concentration of RBB dyes. The initial concentration of 10 mgL</w:t>
      </w:r>
      <w:r w:rsidRPr="008B0111">
        <w:rPr>
          <w:sz w:val="20"/>
          <w:szCs w:val="20"/>
          <w:vertAlign w:val="superscript"/>
        </w:rPr>
        <w:t>-1</w:t>
      </w:r>
      <w:r w:rsidRPr="008B0111">
        <w:rPr>
          <w:sz w:val="20"/>
          <w:szCs w:val="20"/>
          <w:lang w:val="en-GB"/>
        </w:rPr>
        <w:t xml:space="preserve"> of RBB showed the highest percentage of degradation of RBB</w:t>
      </w:r>
      <w:r w:rsidRPr="008B0111">
        <w:rPr>
          <w:sz w:val="20"/>
          <w:szCs w:val="20"/>
        </w:rPr>
        <w:t>,</w:t>
      </w:r>
      <w:r w:rsidRPr="008B0111">
        <w:rPr>
          <w:sz w:val="20"/>
          <w:szCs w:val="20"/>
          <w:lang w:val="en-GB"/>
        </w:rPr>
        <w:t xml:space="preserve"> which was at 83.7%. The decrease in degradation efficiency on increasing initial dye concentration may be due to the lack of available active sites required for the high </w:t>
      </w:r>
      <w:r w:rsidR="003507A2" w:rsidRPr="008B0111">
        <w:rPr>
          <w:sz w:val="20"/>
          <w:szCs w:val="20"/>
          <w:lang w:val="en-GB"/>
        </w:rPr>
        <w:t>initial concentration of dye [24</w:t>
      </w:r>
      <w:r w:rsidRPr="008B0111">
        <w:rPr>
          <w:sz w:val="20"/>
          <w:szCs w:val="20"/>
          <w:lang w:val="en-GB"/>
        </w:rPr>
        <w:t xml:space="preserve">]. At the same time, when the RBB dye concentration was increasing, higher particle concentration became present in the aqueous solution and led to a higher turbidity of the solution. Hence, it reduced the penetration of light to the photocatalyst. When a low amount of light intensity approached the surface of the photocatalyst, low amount of free radical is produced, therefore inhibiting </w:t>
      </w:r>
      <w:r w:rsidR="003507A2" w:rsidRPr="008B0111">
        <w:rPr>
          <w:sz w:val="20"/>
          <w:szCs w:val="20"/>
          <w:lang w:val="en-GB"/>
        </w:rPr>
        <w:t>the photodegradation process [25</w:t>
      </w:r>
      <w:r w:rsidRPr="008B0111">
        <w:rPr>
          <w:sz w:val="20"/>
          <w:szCs w:val="20"/>
          <w:lang w:val="en-GB"/>
        </w:rPr>
        <w:t>]. However, lowering the RBB dye molecule concentration will enhance the photocatalytic reaction because less RBB dye molecule will be degraded with enough active sites on the surface of the catalyst. At the same time, it will reduce the time of degradation of substrate molecule. The active sites of photocatalyst are probably completely e</w:t>
      </w:r>
      <w:r w:rsidR="003507A2" w:rsidRPr="008B0111">
        <w:rPr>
          <w:sz w:val="20"/>
          <w:szCs w:val="20"/>
          <w:lang w:val="en-GB"/>
        </w:rPr>
        <w:t>xposed to the substrate ions [25</w:t>
      </w:r>
      <w:r w:rsidRPr="008B0111">
        <w:rPr>
          <w:sz w:val="20"/>
          <w:szCs w:val="20"/>
          <w:lang w:val="en-GB"/>
        </w:rPr>
        <w:t>] which will make the substrate molecule easier to degrade</w:t>
      </w:r>
      <w:r w:rsidR="003B2127" w:rsidRPr="008B0111">
        <w:rPr>
          <w:sz w:val="20"/>
          <w:szCs w:val="20"/>
          <w:lang w:val="en-GB"/>
        </w:rPr>
        <w:t>.</w:t>
      </w:r>
    </w:p>
    <w:p w14:paraId="7008679A" w14:textId="77777777" w:rsidR="00A44DA1" w:rsidRPr="008B0111" w:rsidRDefault="00A44DA1" w:rsidP="003B2127">
      <w:pPr>
        <w:tabs>
          <w:tab w:val="left" w:pos="567"/>
        </w:tabs>
        <w:jc w:val="both"/>
        <w:rPr>
          <w:sz w:val="20"/>
          <w:szCs w:val="20"/>
          <w:lang w:val="en-GB"/>
        </w:rPr>
      </w:pPr>
    </w:p>
    <w:p w14:paraId="3811A8E5" w14:textId="20EA6F6B" w:rsidR="003B2127" w:rsidRDefault="00F54DA9" w:rsidP="003B2127">
      <w:pPr>
        <w:tabs>
          <w:tab w:val="left" w:pos="567"/>
        </w:tabs>
        <w:jc w:val="center"/>
        <w:rPr>
          <w:sz w:val="20"/>
          <w:szCs w:val="20"/>
        </w:rPr>
      </w:pPr>
      <w:r w:rsidRPr="008B0111">
        <w:rPr>
          <w:sz w:val="20"/>
          <w:szCs w:val="20"/>
        </w:rPr>
        <w:t xml:space="preserve"> </w:t>
      </w:r>
      <w:r w:rsidRPr="008B0111">
        <w:rPr>
          <w:noProof/>
          <w:lang w:val="en-GB" w:eastAsia="en-GB"/>
        </w:rPr>
        <w:drawing>
          <wp:inline distT="0" distB="0" distL="0" distR="0" wp14:anchorId="738C30C0" wp14:editId="5C14B180">
            <wp:extent cx="2908394" cy="2159635"/>
            <wp:effectExtent l="19050" t="19050" r="25400" b="1206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1">
                      <a:extLst>
                        <a:ext uri="{28A0092B-C50C-407E-A947-70E740481C1C}">
                          <a14:useLocalDpi xmlns:a14="http://schemas.microsoft.com/office/drawing/2010/main" val="0"/>
                        </a:ext>
                      </a:extLst>
                    </a:blip>
                    <a:srcRect b="3878"/>
                    <a:stretch/>
                  </pic:blipFill>
                  <pic:spPr bwMode="auto">
                    <a:xfrm>
                      <a:off x="0" y="0"/>
                      <a:ext cx="2915969" cy="216526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5CC10F45" w14:textId="77777777" w:rsidR="00A44DA1" w:rsidRPr="008B0111" w:rsidRDefault="00A44DA1" w:rsidP="003B2127">
      <w:pPr>
        <w:tabs>
          <w:tab w:val="left" w:pos="567"/>
        </w:tabs>
        <w:jc w:val="center"/>
        <w:rPr>
          <w:sz w:val="20"/>
          <w:szCs w:val="20"/>
        </w:rPr>
      </w:pPr>
    </w:p>
    <w:p w14:paraId="18891D74" w14:textId="4277235D" w:rsidR="00F54DA9" w:rsidRPr="008B0111" w:rsidRDefault="00F54DA9" w:rsidP="00F54DA9">
      <w:pPr>
        <w:jc w:val="center"/>
        <w:rPr>
          <w:sz w:val="20"/>
          <w:szCs w:val="20"/>
          <w:lang w:val="en-GB"/>
        </w:rPr>
      </w:pPr>
      <w:r w:rsidRPr="00A44DA1">
        <w:rPr>
          <w:bCs/>
          <w:sz w:val="20"/>
          <w:szCs w:val="20"/>
        </w:rPr>
        <w:t>Fig</w:t>
      </w:r>
      <w:r w:rsidR="00A44DA1">
        <w:rPr>
          <w:bCs/>
          <w:sz w:val="20"/>
          <w:szCs w:val="20"/>
        </w:rPr>
        <w:t>ure</w:t>
      </w:r>
      <w:r w:rsidRPr="00A44DA1">
        <w:rPr>
          <w:bCs/>
          <w:sz w:val="20"/>
          <w:szCs w:val="20"/>
        </w:rPr>
        <w:t xml:space="preserve"> 5</w:t>
      </w:r>
      <w:r w:rsidR="00A44DA1">
        <w:rPr>
          <w:bCs/>
          <w:sz w:val="20"/>
          <w:szCs w:val="20"/>
        </w:rPr>
        <w:t>.</w:t>
      </w:r>
      <w:r w:rsidRPr="008B0111">
        <w:rPr>
          <w:sz w:val="20"/>
          <w:szCs w:val="20"/>
        </w:rPr>
        <w:t xml:space="preserve"> </w:t>
      </w:r>
      <w:r w:rsidRPr="008B0111">
        <w:rPr>
          <w:sz w:val="20"/>
          <w:szCs w:val="20"/>
          <w:lang w:val="en-GB"/>
        </w:rPr>
        <w:t xml:space="preserve">Effect of initial concentration [pH = 3, </w:t>
      </w:r>
      <w:r w:rsidRPr="008B0111">
        <w:rPr>
          <w:i/>
          <w:sz w:val="20"/>
          <w:szCs w:val="20"/>
          <w:lang w:val="en-GB"/>
        </w:rPr>
        <w:t xml:space="preserve">W </w:t>
      </w:r>
      <w:r w:rsidRPr="008B0111">
        <w:rPr>
          <w:sz w:val="20"/>
          <w:szCs w:val="20"/>
          <w:lang w:val="en-GB"/>
        </w:rPr>
        <w:t>=</w:t>
      </w:r>
      <w:r w:rsidRPr="008B0111">
        <w:rPr>
          <w:i/>
          <w:sz w:val="20"/>
          <w:szCs w:val="20"/>
          <w:lang w:val="en-GB"/>
        </w:rPr>
        <w:t xml:space="preserve"> </w:t>
      </w:r>
      <w:r w:rsidRPr="008B0111">
        <w:rPr>
          <w:sz w:val="20"/>
          <w:szCs w:val="20"/>
          <w:lang w:val="en-GB"/>
        </w:rPr>
        <w:t>3.0 gL</w:t>
      </w:r>
      <w:r w:rsidRPr="008B0111">
        <w:rPr>
          <w:sz w:val="20"/>
          <w:szCs w:val="20"/>
          <w:vertAlign w:val="superscript"/>
        </w:rPr>
        <w:t>-1</w:t>
      </w:r>
      <w:r w:rsidRPr="008B0111">
        <w:rPr>
          <w:sz w:val="20"/>
          <w:szCs w:val="20"/>
          <w:lang w:val="en-GB"/>
        </w:rPr>
        <w:t xml:space="preserve">, </w:t>
      </w:r>
      <w:r w:rsidRPr="008B0111">
        <w:rPr>
          <w:i/>
          <w:sz w:val="20"/>
          <w:szCs w:val="20"/>
          <w:lang w:val="en-GB"/>
        </w:rPr>
        <w:t xml:space="preserve">t </w:t>
      </w:r>
      <w:r w:rsidRPr="008B0111">
        <w:rPr>
          <w:sz w:val="20"/>
          <w:szCs w:val="20"/>
          <w:lang w:val="en-GB"/>
        </w:rPr>
        <w:t>= 1 h, T = 303K]</w:t>
      </w:r>
    </w:p>
    <w:p w14:paraId="5F3BB0D3" w14:textId="77777777" w:rsidR="00F54DA9" w:rsidRPr="008B0111" w:rsidRDefault="00F54DA9" w:rsidP="003B2127">
      <w:pPr>
        <w:jc w:val="both"/>
      </w:pPr>
    </w:p>
    <w:p w14:paraId="0FFB65A6" w14:textId="2F4549BB" w:rsidR="003B2127" w:rsidRPr="008B0111" w:rsidRDefault="00F54DA9" w:rsidP="003B2127">
      <w:pPr>
        <w:jc w:val="both"/>
        <w:rPr>
          <w:b/>
          <w:sz w:val="20"/>
          <w:szCs w:val="20"/>
        </w:rPr>
      </w:pPr>
      <w:r w:rsidRPr="008B0111">
        <w:rPr>
          <w:b/>
          <w:sz w:val="20"/>
          <w:szCs w:val="20"/>
        </w:rPr>
        <w:t xml:space="preserve">Kinetic </w:t>
      </w:r>
      <w:r w:rsidR="00A44DA1">
        <w:rPr>
          <w:b/>
          <w:sz w:val="20"/>
          <w:szCs w:val="20"/>
        </w:rPr>
        <w:t>s</w:t>
      </w:r>
      <w:r w:rsidR="003B2127" w:rsidRPr="008B0111">
        <w:rPr>
          <w:b/>
          <w:sz w:val="20"/>
          <w:szCs w:val="20"/>
        </w:rPr>
        <w:t>tudy</w:t>
      </w:r>
    </w:p>
    <w:p w14:paraId="3A77405C" w14:textId="1E0010B4" w:rsidR="003B2127" w:rsidRPr="008B0111" w:rsidRDefault="00F035AF" w:rsidP="00F54DA9">
      <w:pPr>
        <w:jc w:val="both"/>
        <w:rPr>
          <w:sz w:val="20"/>
          <w:szCs w:val="20"/>
        </w:rPr>
      </w:pPr>
      <w:r w:rsidRPr="008B0111">
        <w:rPr>
          <w:sz w:val="20"/>
          <w:szCs w:val="20"/>
        </w:rPr>
        <w:t>The kinetic degradation of RBB using NiO was studied by applying the Langmuir–Hinshelwood (L–H) kinetic model at different initial concentrations, and the results are shown in Fig</w:t>
      </w:r>
      <w:r w:rsidR="00FE4177">
        <w:rPr>
          <w:sz w:val="20"/>
          <w:szCs w:val="20"/>
        </w:rPr>
        <w:t>ure</w:t>
      </w:r>
      <w:r w:rsidRPr="008B0111">
        <w:rPr>
          <w:sz w:val="20"/>
          <w:szCs w:val="20"/>
        </w:rPr>
        <w:t xml:space="preserve"> 6. </w:t>
      </w:r>
      <w:r w:rsidRPr="008B0111">
        <w:rPr>
          <w:sz w:val="20"/>
          <w:szCs w:val="20"/>
          <w:lang w:val="en-GB"/>
        </w:rPr>
        <w:t>Higher concentrations showed lower efficiency of photocatalytic degradation due to the formation of several layers of adsorbed dye on the catalyst surface, which increased at higher dye concentrations. In addition, large amounts of adsorbed dye were found to inhibit the reaction with the dye molecules, since there was no direct contact of the catalyst with photogenerate</w:t>
      </w:r>
      <w:r w:rsidR="003507A2" w:rsidRPr="008B0111">
        <w:rPr>
          <w:sz w:val="20"/>
          <w:szCs w:val="20"/>
          <w:lang w:val="en-GB"/>
        </w:rPr>
        <w:t>d holes or hydroxyl radicals [25</w:t>
      </w:r>
      <w:r w:rsidRPr="008B0111">
        <w:rPr>
          <w:sz w:val="20"/>
          <w:szCs w:val="20"/>
          <w:lang w:val="en-GB"/>
        </w:rPr>
        <w:t>].</w:t>
      </w:r>
      <w:r w:rsidRPr="008B0111">
        <w:rPr>
          <w:b/>
          <w:sz w:val="20"/>
          <w:szCs w:val="20"/>
          <w:lang w:val="en-GB"/>
        </w:rPr>
        <w:t xml:space="preserve"> </w:t>
      </w:r>
      <w:r w:rsidRPr="008B0111">
        <w:rPr>
          <w:sz w:val="20"/>
          <w:szCs w:val="20"/>
        </w:rPr>
        <w:t>The line with an intercept of 1/k</w:t>
      </w:r>
      <w:r w:rsidRPr="008B0111">
        <w:rPr>
          <w:sz w:val="20"/>
          <w:szCs w:val="20"/>
          <w:vertAlign w:val="subscript"/>
        </w:rPr>
        <w:t>r</w:t>
      </w:r>
      <w:r w:rsidRPr="008B0111">
        <w:rPr>
          <w:sz w:val="20"/>
          <w:szCs w:val="20"/>
        </w:rPr>
        <w:t xml:space="preserve"> and 1/k</w:t>
      </w:r>
      <w:r w:rsidRPr="008B0111">
        <w:rPr>
          <w:sz w:val="20"/>
          <w:szCs w:val="20"/>
          <w:vertAlign w:val="subscript"/>
        </w:rPr>
        <w:t>r</w:t>
      </w:r>
      <w:r w:rsidRPr="008B0111">
        <w:rPr>
          <w:sz w:val="20"/>
          <w:szCs w:val="20"/>
        </w:rPr>
        <w:t>K</w:t>
      </w:r>
      <w:r w:rsidRPr="008B0111">
        <w:rPr>
          <w:sz w:val="20"/>
          <w:szCs w:val="20"/>
          <w:vertAlign w:val="subscript"/>
        </w:rPr>
        <w:t>LH</w:t>
      </w:r>
      <w:r w:rsidRPr="008B0111">
        <w:rPr>
          <w:sz w:val="20"/>
          <w:szCs w:val="20"/>
        </w:rPr>
        <w:t xml:space="preserve"> was obtained from the Langmuir–Hinshelwood (L–H) kinetic formula </w:t>
      </w:r>
      <w:r w:rsidR="00446DC6" w:rsidRPr="008B0111">
        <w:rPr>
          <w:sz w:val="20"/>
          <w:szCs w:val="20"/>
        </w:rPr>
        <w:t>(</w:t>
      </w:r>
      <w:r w:rsidR="00FE4177">
        <w:rPr>
          <w:sz w:val="20"/>
          <w:szCs w:val="20"/>
        </w:rPr>
        <w:t>equation 2</w:t>
      </w:r>
      <w:r w:rsidR="003B2127" w:rsidRPr="008B0111">
        <w:rPr>
          <w:sz w:val="20"/>
          <w:szCs w:val="20"/>
        </w:rPr>
        <w:t>):</w:t>
      </w:r>
    </w:p>
    <w:p w14:paraId="0BECE5F6" w14:textId="77777777" w:rsidR="00F54DA9" w:rsidRPr="008B0111" w:rsidRDefault="00F54DA9" w:rsidP="003B2127">
      <w:pPr>
        <w:jc w:val="both"/>
        <w:rPr>
          <w:sz w:val="20"/>
          <w:szCs w:val="20"/>
        </w:rPr>
      </w:pPr>
    </w:p>
    <w:p w14:paraId="1A3ECE5C" w14:textId="54CB9AB4" w:rsidR="003B2127" w:rsidRPr="008B0111" w:rsidRDefault="00FE4177" w:rsidP="003B2127">
      <w:pPr>
        <w:jc w:val="both"/>
        <w:rPr>
          <w:rFonts w:eastAsiaTheme="minorEastAsia"/>
          <w:sz w:val="20"/>
          <w:szCs w:val="20"/>
        </w:rPr>
      </w:pPr>
      <m:oMathPara>
        <m:oMathParaPr>
          <m:jc m:val="left"/>
        </m:oMathParaPr>
        <m:oMath>
          <m:r>
            <w:rPr>
              <w:rFonts w:ascii="Cambria Math" w:hAnsi="Cambria Math"/>
              <w:sz w:val="18"/>
              <w:szCs w:val="18"/>
            </w:rPr>
            <m:t xml:space="preserve">          </m:t>
          </m:r>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k</m:t>
                  </m:r>
                </m:e>
                <m:sub>
                  <m:r>
                    <w:rPr>
                      <w:rFonts w:ascii="Cambria Math" w:hAnsi="Cambria Math"/>
                      <w:sz w:val="18"/>
                      <w:szCs w:val="18"/>
                    </w:rPr>
                    <m:t>app</m:t>
                  </m:r>
                </m:sub>
              </m:sSub>
            </m:den>
          </m:f>
          <m:r>
            <w:rPr>
              <w:rFonts w:ascii="Cambria Math" w:hAnsi="Cambria Math"/>
              <w:sz w:val="18"/>
              <w:szCs w:val="18"/>
            </w:rPr>
            <m:t>=</m:t>
          </m:r>
          <m:d>
            <m:dPr>
              <m:begChr m:val="["/>
              <m:endChr m:val="]"/>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K</m:t>
                      </m:r>
                    </m:e>
                    <m:sub>
                      <m:r>
                        <w:rPr>
                          <w:rFonts w:ascii="Cambria Math" w:hAnsi="Cambria Math"/>
                          <w:sz w:val="18"/>
                          <w:szCs w:val="18"/>
                        </w:rPr>
                        <m:t>r</m:t>
                      </m:r>
                    </m:sub>
                  </m:sSub>
                  <m:sSub>
                    <m:sSubPr>
                      <m:ctrlPr>
                        <w:rPr>
                          <w:rFonts w:ascii="Cambria Math" w:hAnsi="Cambria Math"/>
                          <w:i/>
                          <w:sz w:val="18"/>
                          <w:szCs w:val="18"/>
                        </w:rPr>
                      </m:ctrlPr>
                    </m:sSubPr>
                    <m:e>
                      <m:r>
                        <w:rPr>
                          <w:rFonts w:ascii="Cambria Math" w:hAnsi="Cambria Math"/>
                          <w:sz w:val="18"/>
                          <w:szCs w:val="18"/>
                        </w:rPr>
                        <m:t>K</m:t>
                      </m:r>
                    </m:e>
                    <m:sub>
                      <m:r>
                        <w:rPr>
                          <w:rFonts w:ascii="Cambria Math" w:hAnsi="Cambria Math"/>
                          <w:sz w:val="18"/>
                          <w:szCs w:val="18"/>
                        </w:rPr>
                        <m:t>LH</m:t>
                      </m:r>
                    </m:sub>
                  </m:sSub>
                </m:den>
              </m:f>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0</m:t>
                  </m:r>
                </m:sub>
              </m:sSub>
            </m:num>
            <m:den>
              <m:sSub>
                <m:sSubPr>
                  <m:ctrlPr>
                    <w:rPr>
                      <w:rFonts w:ascii="Cambria Math" w:hAnsi="Cambria Math"/>
                      <w:i/>
                      <w:sz w:val="18"/>
                      <w:szCs w:val="18"/>
                    </w:rPr>
                  </m:ctrlPr>
                </m:sSubPr>
                <m:e>
                  <m:r>
                    <w:rPr>
                      <w:rFonts w:ascii="Cambria Math" w:hAnsi="Cambria Math"/>
                      <w:sz w:val="18"/>
                      <w:szCs w:val="18"/>
                    </w:rPr>
                    <m:t>K</m:t>
                  </m:r>
                </m:e>
                <m:sub>
                  <m:r>
                    <w:rPr>
                      <w:rFonts w:ascii="Cambria Math" w:hAnsi="Cambria Math"/>
                      <w:sz w:val="18"/>
                      <w:szCs w:val="18"/>
                    </w:rPr>
                    <m:t>r</m:t>
                  </m:r>
                </m:sub>
              </m:sSub>
            </m:den>
          </m:f>
          <m:r>
            <w:rPr>
              <w:rFonts w:ascii="Cambria Math" w:hAnsi="Cambria Math"/>
              <w:sz w:val="18"/>
              <w:szCs w:val="18"/>
            </w:rPr>
            <m:t xml:space="preserve">                                                                                                                                                             </m:t>
          </m:r>
          <m:r>
            <w:rPr>
              <w:rFonts w:ascii="Cambria Math" w:hAnsi="Cambria Math"/>
              <w:sz w:val="18"/>
              <w:szCs w:val="18"/>
            </w:rPr>
            <m:t xml:space="preserve">         </m:t>
          </m:r>
          <m:d>
            <m:dPr>
              <m:ctrlPr>
                <w:rPr>
                  <w:rFonts w:ascii="Cambria Math" w:hAnsi="Cambria Math"/>
                  <w:i/>
                  <w:sz w:val="18"/>
                  <w:szCs w:val="18"/>
                </w:rPr>
              </m:ctrlPr>
            </m:dPr>
            <m:e>
              <m:r>
                <w:rPr>
                  <w:rFonts w:ascii="Cambria Math" w:hAnsi="Cambria Math"/>
                  <w:sz w:val="18"/>
                  <w:szCs w:val="18"/>
                </w:rPr>
                <m:t>2</m:t>
              </m:r>
            </m:e>
          </m:d>
        </m:oMath>
      </m:oMathPara>
    </w:p>
    <w:p w14:paraId="767F578A" w14:textId="77777777" w:rsidR="003B2127" w:rsidRPr="008B0111" w:rsidRDefault="003B2127" w:rsidP="003B2127">
      <w:pPr>
        <w:jc w:val="both"/>
        <w:rPr>
          <w:rFonts w:eastAsiaTheme="minorEastAsia"/>
          <w:sz w:val="20"/>
          <w:szCs w:val="20"/>
        </w:rPr>
      </w:pPr>
    </w:p>
    <w:p w14:paraId="0E4E4B36" w14:textId="1F2AF832" w:rsidR="003B2127" w:rsidRPr="008B0111" w:rsidRDefault="003B2127" w:rsidP="003B2127">
      <w:pPr>
        <w:jc w:val="both"/>
        <w:rPr>
          <w:sz w:val="20"/>
          <w:szCs w:val="20"/>
        </w:rPr>
      </w:pPr>
      <w:r w:rsidRPr="008B0111">
        <w:rPr>
          <w:sz w:val="20"/>
          <w:szCs w:val="20"/>
        </w:rPr>
        <w:t>where K</w:t>
      </w:r>
      <w:r w:rsidRPr="008B0111">
        <w:rPr>
          <w:sz w:val="20"/>
          <w:szCs w:val="20"/>
          <w:vertAlign w:val="subscript"/>
        </w:rPr>
        <w:t>r</w:t>
      </w:r>
      <w:r w:rsidRPr="008B0111">
        <w:rPr>
          <w:sz w:val="20"/>
          <w:szCs w:val="20"/>
        </w:rPr>
        <w:t xml:space="preserve"> is the reaction rate constant (mg L</w:t>
      </w:r>
      <w:r w:rsidRPr="008B0111">
        <w:rPr>
          <w:sz w:val="20"/>
          <w:szCs w:val="20"/>
          <w:vertAlign w:val="superscript"/>
        </w:rPr>
        <w:t>−1</w:t>
      </w:r>
      <w:r w:rsidRPr="008B0111">
        <w:rPr>
          <w:sz w:val="20"/>
          <w:szCs w:val="20"/>
        </w:rPr>
        <w:t xml:space="preserve"> h</w:t>
      </w:r>
      <w:r w:rsidRPr="008B0111">
        <w:rPr>
          <w:sz w:val="20"/>
          <w:szCs w:val="20"/>
          <w:vertAlign w:val="superscript"/>
        </w:rPr>
        <w:t>−1</w:t>
      </w:r>
      <w:r w:rsidRPr="008B0111">
        <w:rPr>
          <w:sz w:val="20"/>
          <w:szCs w:val="20"/>
        </w:rPr>
        <w:t>), K</w:t>
      </w:r>
      <w:r w:rsidRPr="008B0111">
        <w:rPr>
          <w:sz w:val="20"/>
          <w:szCs w:val="20"/>
          <w:vertAlign w:val="subscript"/>
        </w:rPr>
        <w:t>LH</w:t>
      </w:r>
      <w:r w:rsidRPr="008B0111">
        <w:rPr>
          <w:sz w:val="20"/>
          <w:szCs w:val="20"/>
        </w:rPr>
        <w:t xml:space="preserve"> is the Langmuir–Hinshelwood adsorption equilibrium constant (L mg</w:t>
      </w:r>
      <w:r w:rsidRPr="008B0111">
        <w:rPr>
          <w:sz w:val="20"/>
          <w:szCs w:val="20"/>
          <w:vertAlign w:val="superscript"/>
        </w:rPr>
        <w:t>−1</w:t>
      </w:r>
      <w:r w:rsidRPr="008B0111">
        <w:rPr>
          <w:sz w:val="20"/>
          <w:szCs w:val="20"/>
        </w:rPr>
        <w:t>) and C</w:t>
      </w:r>
      <w:r w:rsidRPr="008B0111">
        <w:rPr>
          <w:sz w:val="20"/>
          <w:szCs w:val="20"/>
          <w:vertAlign w:val="subscript"/>
        </w:rPr>
        <w:t>0</w:t>
      </w:r>
      <w:r w:rsidRPr="008B0111">
        <w:rPr>
          <w:sz w:val="20"/>
          <w:szCs w:val="20"/>
        </w:rPr>
        <w:t xml:space="preserve"> is the initial concentration of CR (mg L</w:t>
      </w:r>
      <w:r w:rsidRPr="008B0111">
        <w:rPr>
          <w:sz w:val="20"/>
          <w:szCs w:val="20"/>
          <w:vertAlign w:val="superscript"/>
        </w:rPr>
        <w:t>−1</w:t>
      </w:r>
      <w:r w:rsidR="00F035AF" w:rsidRPr="008B0111">
        <w:rPr>
          <w:sz w:val="20"/>
          <w:szCs w:val="20"/>
        </w:rPr>
        <w:t>). The calculated values of K</w:t>
      </w:r>
      <w:r w:rsidR="00F035AF" w:rsidRPr="008B0111">
        <w:rPr>
          <w:sz w:val="20"/>
          <w:szCs w:val="20"/>
          <w:vertAlign w:val="subscript"/>
        </w:rPr>
        <w:t>r</w:t>
      </w:r>
      <w:r w:rsidR="00F035AF" w:rsidRPr="008B0111">
        <w:rPr>
          <w:sz w:val="20"/>
          <w:szCs w:val="20"/>
        </w:rPr>
        <w:t xml:space="preserve"> and K</w:t>
      </w:r>
      <w:r w:rsidR="00F035AF" w:rsidRPr="008B0111">
        <w:rPr>
          <w:sz w:val="20"/>
          <w:szCs w:val="20"/>
          <w:vertAlign w:val="subscript"/>
        </w:rPr>
        <w:t>LH</w:t>
      </w:r>
      <w:r w:rsidR="00F035AF" w:rsidRPr="008B0111">
        <w:rPr>
          <w:sz w:val="20"/>
          <w:szCs w:val="20"/>
        </w:rPr>
        <w:t xml:space="preserve"> were </w:t>
      </w:r>
      <w:r w:rsidR="00F035AF" w:rsidRPr="008B0111">
        <w:rPr>
          <w:rFonts w:eastAsia="Calibri"/>
          <w:bCs/>
          <w:sz w:val="20"/>
          <w:szCs w:val="20"/>
        </w:rPr>
        <w:t>1.38 mg L</w:t>
      </w:r>
      <w:r w:rsidR="00F035AF" w:rsidRPr="008B0111">
        <w:rPr>
          <w:rFonts w:eastAsia="Calibri"/>
          <w:bCs/>
          <w:sz w:val="20"/>
          <w:szCs w:val="20"/>
          <w:vertAlign w:val="superscript"/>
        </w:rPr>
        <w:t>−1</w:t>
      </w:r>
      <w:r w:rsidR="00F035AF" w:rsidRPr="008B0111">
        <w:rPr>
          <w:rFonts w:eastAsia="Calibri"/>
          <w:bCs/>
          <w:sz w:val="20"/>
          <w:szCs w:val="20"/>
        </w:rPr>
        <w:t xml:space="preserve"> h</w:t>
      </w:r>
      <w:r w:rsidR="00F035AF" w:rsidRPr="008B0111">
        <w:rPr>
          <w:rFonts w:eastAsia="Calibri"/>
          <w:bCs/>
          <w:sz w:val="20"/>
          <w:szCs w:val="20"/>
          <w:vertAlign w:val="superscript"/>
        </w:rPr>
        <w:t>−1</w:t>
      </w:r>
      <w:r w:rsidR="00F035AF" w:rsidRPr="008B0111">
        <w:rPr>
          <w:rFonts w:eastAsia="Calibri"/>
          <w:bCs/>
          <w:sz w:val="20"/>
          <w:szCs w:val="20"/>
        </w:rPr>
        <w:t xml:space="preserve"> and 0.03 L mg</w:t>
      </w:r>
      <w:r w:rsidR="00F035AF" w:rsidRPr="008B0111">
        <w:rPr>
          <w:rFonts w:eastAsia="Calibri"/>
          <w:bCs/>
          <w:sz w:val="20"/>
          <w:szCs w:val="20"/>
          <w:vertAlign w:val="superscript"/>
        </w:rPr>
        <w:t>−1</w:t>
      </w:r>
      <w:r w:rsidR="00F035AF" w:rsidRPr="008B0111">
        <w:rPr>
          <w:sz w:val="20"/>
          <w:szCs w:val="20"/>
        </w:rPr>
        <w:t>, respectively, for NiO</w:t>
      </w:r>
      <w:r w:rsidR="00F035AF" w:rsidRPr="008B0111">
        <w:rPr>
          <w:sz w:val="20"/>
          <w:szCs w:val="20"/>
          <w:vertAlign w:val="subscript"/>
        </w:rPr>
        <w:t>1000</w:t>
      </w:r>
      <w:r w:rsidR="00F035AF" w:rsidRPr="008B0111">
        <w:rPr>
          <w:sz w:val="20"/>
          <w:szCs w:val="20"/>
        </w:rPr>
        <w:t>. The values of k</w:t>
      </w:r>
      <w:r w:rsidR="00F035AF" w:rsidRPr="008B0111">
        <w:rPr>
          <w:sz w:val="20"/>
          <w:szCs w:val="20"/>
          <w:vertAlign w:val="subscript"/>
        </w:rPr>
        <w:t>r</w:t>
      </w:r>
      <w:r w:rsidR="00F035AF" w:rsidRPr="008B0111">
        <w:rPr>
          <w:sz w:val="20"/>
          <w:szCs w:val="20"/>
        </w:rPr>
        <w:t xml:space="preserve"> were greater than those of K</w:t>
      </w:r>
      <w:r w:rsidR="00F035AF" w:rsidRPr="008B0111">
        <w:rPr>
          <w:sz w:val="20"/>
          <w:szCs w:val="20"/>
          <w:vertAlign w:val="subscript"/>
        </w:rPr>
        <w:t>LH</w:t>
      </w:r>
      <w:r w:rsidR="00F035AF" w:rsidRPr="008B0111">
        <w:rPr>
          <w:sz w:val="20"/>
          <w:szCs w:val="20"/>
        </w:rPr>
        <w:t xml:space="preserve"> for catalysts, indicating the dye adsorption was the controlling step of the process</w:t>
      </w:r>
      <w:r w:rsidRPr="008B0111">
        <w:rPr>
          <w:sz w:val="20"/>
          <w:szCs w:val="20"/>
        </w:rPr>
        <w:t xml:space="preserve">. </w:t>
      </w:r>
    </w:p>
    <w:p w14:paraId="6CA816AE" w14:textId="77777777" w:rsidR="00446DC6" w:rsidRPr="008B0111" w:rsidRDefault="00446DC6" w:rsidP="003B2127">
      <w:pPr>
        <w:jc w:val="both"/>
        <w:rPr>
          <w:sz w:val="20"/>
          <w:szCs w:val="20"/>
        </w:rPr>
      </w:pPr>
    </w:p>
    <w:p w14:paraId="077AF6AB" w14:textId="77777777" w:rsidR="00446DC6" w:rsidRPr="008B0111" w:rsidRDefault="00446DC6" w:rsidP="003B2127">
      <w:pPr>
        <w:jc w:val="both"/>
        <w:rPr>
          <w:sz w:val="20"/>
          <w:szCs w:val="20"/>
        </w:rPr>
      </w:pPr>
    </w:p>
    <w:p w14:paraId="1355AF80" w14:textId="77777777" w:rsidR="00446DC6" w:rsidRPr="008B0111" w:rsidRDefault="00446DC6" w:rsidP="003B2127">
      <w:pPr>
        <w:jc w:val="both"/>
        <w:rPr>
          <w:sz w:val="20"/>
          <w:szCs w:val="20"/>
        </w:rPr>
      </w:pPr>
    </w:p>
    <w:p w14:paraId="593A8FE0" w14:textId="77777777" w:rsidR="00446DC6" w:rsidRPr="008B0111" w:rsidRDefault="00446DC6" w:rsidP="003B2127">
      <w:pPr>
        <w:jc w:val="both"/>
        <w:rPr>
          <w:sz w:val="20"/>
          <w:szCs w:val="20"/>
        </w:rPr>
      </w:pPr>
    </w:p>
    <w:p w14:paraId="36AE5E11" w14:textId="77777777" w:rsidR="00446DC6" w:rsidRPr="008B0111" w:rsidRDefault="00446DC6" w:rsidP="003B2127">
      <w:pPr>
        <w:jc w:val="both"/>
        <w:rPr>
          <w:sz w:val="20"/>
          <w:szCs w:val="20"/>
        </w:rPr>
      </w:pPr>
    </w:p>
    <w:p w14:paraId="5A5B75E9" w14:textId="77777777" w:rsidR="00446DC6" w:rsidRPr="008B0111" w:rsidRDefault="00446DC6" w:rsidP="003B2127">
      <w:pPr>
        <w:jc w:val="both"/>
        <w:rPr>
          <w:sz w:val="20"/>
          <w:szCs w:val="20"/>
        </w:rPr>
      </w:pPr>
    </w:p>
    <w:p w14:paraId="01C74D48" w14:textId="34CEC0AD" w:rsidR="00446DC6" w:rsidRDefault="00446DC6" w:rsidP="003B4145">
      <w:pPr>
        <w:jc w:val="center"/>
        <w:rPr>
          <w:sz w:val="20"/>
          <w:szCs w:val="20"/>
        </w:rPr>
      </w:pPr>
      <w:r w:rsidRPr="008B0111">
        <w:rPr>
          <w:noProof/>
          <w:lang w:val="en-GB" w:eastAsia="en-GB"/>
        </w:rPr>
        <w:lastRenderedPageBreak/>
        <w:drawing>
          <wp:inline distT="0" distB="0" distL="0" distR="0" wp14:anchorId="365F94E7" wp14:editId="79B426E0">
            <wp:extent cx="5133696" cy="2160000"/>
            <wp:effectExtent l="19050" t="19050" r="10160" b="1206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3696" cy="2160000"/>
                    </a:xfrm>
                    <a:prstGeom prst="rect">
                      <a:avLst/>
                    </a:prstGeom>
                    <a:noFill/>
                    <a:ln w="6350">
                      <a:solidFill>
                        <a:schemeClr val="tx1"/>
                      </a:solidFill>
                    </a:ln>
                  </pic:spPr>
                </pic:pic>
              </a:graphicData>
            </a:graphic>
          </wp:inline>
        </w:drawing>
      </w:r>
    </w:p>
    <w:p w14:paraId="7AC28363" w14:textId="77777777" w:rsidR="00FE4177" w:rsidRPr="008B0111" w:rsidRDefault="00FE4177" w:rsidP="003B4145">
      <w:pPr>
        <w:jc w:val="center"/>
        <w:rPr>
          <w:sz w:val="20"/>
          <w:szCs w:val="20"/>
        </w:rPr>
      </w:pPr>
    </w:p>
    <w:p w14:paraId="55EC6A45" w14:textId="1BEF0B88" w:rsidR="00446DC6" w:rsidRPr="008B0111" w:rsidRDefault="00446DC6" w:rsidP="00FE4177">
      <w:pPr>
        <w:ind w:left="851" w:hanging="851"/>
        <w:jc w:val="both"/>
        <w:rPr>
          <w:sz w:val="20"/>
          <w:szCs w:val="20"/>
        </w:rPr>
      </w:pPr>
      <w:r w:rsidRPr="00FE4177">
        <w:rPr>
          <w:bCs/>
          <w:sz w:val="20"/>
          <w:szCs w:val="20"/>
        </w:rPr>
        <w:t>Fig</w:t>
      </w:r>
      <w:r w:rsidR="00FE4177">
        <w:rPr>
          <w:bCs/>
          <w:sz w:val="20"/>
          <w:szCs w:val="20"/>
        </w:rPr>
        <w:t xml:space="preserve">ure </w:t>
      </w:r>
      <w:r w:rsidRPr="00FE4177">
        <w:rPr>
          <w:bCs/>
          <w:sz w:val="20"/>
          <w:szCs w:val="20"/>
        </w:rPr>
        <w:t>6</w:t>
      </w:r>
      <w:r w:rsidR="00FE4177">
        <w:rPr>
          <w:bCs/>
          <w:sz w:val="20"/>
          <w:szCs w:val="20"/>
        </w:rPr>
        <w:t>.</w:t>
      </w:r>
      <w:r w:rsidRPr="008B0111">
        <w:rPr>
          <w:sz w:val="20"/>
          <w:szCs w:val="20"/>
        </w:rPr>
        <w:t xml:space="preserve"> (</w:t>
      </w:r>
      <w:r w:rsidRPr="008B0111">
        <w:rPr>
          <w:sz w:val="20"/>
          <w:szCs w:val="20"/>
          <w:lang w:val="en-GB"/>
        </w:rPr>
        <w:t xml:space="preserve">a) Photodegradation kinetics of RBB by NiO at different RBB initial concentration; (b) </w:t>
      </w:r>
      <w:r w:rsidR="00FE4177">
        <w:rPr>
          <w:sz w:val="20"/>
          <w:szCs w:val="20"/>
          <w:lang w:val="en-GB"/>
        </w:rPr>
        <w:t>t</w:t>
      </w:r>
      <w:r w:rsidRPr="008B0111">
        <w:rPr>
          <w:sz w:val="20"/>
          <w:szCs w:val="20"/>
          <w:lang w:val="en-GB"/>
        </w:rPr>
        <w:t>he relationship between 1/K</w:t>
      </w:r>
      <w:r w:rsidRPr="008B0111">
        <w:rPr>
          <w:sz w:val="20"/>
          <w:szCs w:val="20"/>
          <w:vertAlign w:val="subscript"/>
          <w:lang w:val="en-GB"/>
        </w:rPr>
        <w:t>app</w:t>
      </w:r>
      <w:r w:rsidRPr="008B0111">
        <w:rPr>
          <w:sz w:val="20"/>
          <w:szCs w:val="20"/>
          <w:lang w:val="en-GB"/>
        </w:rPr>
        <w:t xml:space="preserve"> and 1/C</w:t>
      </w:r>
      <w:r w:rsidRPr="008B0111">
        <w:rPr>
          <w:sz w:val="20"/>
          <w:szCs w:val="20"/>
          <w:vertAlign w:val="subscript"/>
          <w:lang w:val="en-GB"/>
        </w:rPr>
        <w:t>0</w:t>
      </w:r>
      <w:r w:rsidRPr="008B0111">
        <w:rPr>
          <w:sz w:val="20"/>
          <w:szCs w:val="20"/>
          <w:lang w:val="en-GB"/>
        </w:rPr>
        <w:t xml:space="preserve"> at different initial concentration</w:t>
      </w:r>
      <w:r w:rsidR="00F035AF" w:rsidRPr="008B0111">
        <w:rPr>
          <w:sz w:val="20"/>
          <w:szCs w:val="20"/>
          <w:lang w:val="en-GB"/>
        </w:rPr>
        <w:t>s of</w:t>
      </w:r>
      <w:r w:rsidRPr="008B0111">
        <w:rPr>
          <w:sz w:val="20"/>
          <w:szCs w:val="20"/>
          <w:lang w:val="en-GB"/>
        </w:rPr>
        <w:t xml:space="preserve"> RBB</w:t>
      </w:r>
    </w:p>
    <w:p w14:paraId="69B5ABDD" w14:textId="77777777" w:rsidR="003B2127" w:rsidRPr="008B0111" w:rsidRDefault="003B2127" w:rsidP="00446DC6">
      <w:pPr>
        <w:tabs>
          <w:tab w:val="left" w:pos="567"/>
          <w:tab w:val="left" w:pos="6885"/>
        </w:tabs>
        <w:rPr>
          <w:b/>
          <w:sz w:val="20"/>
          <w:szCs w:val="20"/>
        </w:rPr>
      </w:pPr>
    </w:p>
    <w:p w14:paraId="798F231C" w14:textId="2484498B" w:rsidR="003B2127" w:rsidRPr="008B0111" w:rsidRDefault="00F035AF" w:rsidP="003B2127">
      <w:pPr>
        <w:tabs>
          <w:tab w:val="left" w:pos="567"/>
        </w:tabs>
        <w:jc w:val="both"/>
        <w:rPr>
          <w:sz w:val="20"/>
          <w:szCs w:val="20"/>
          <w:lang w:val="en-GB"/>
        </w:rPr>
      </w:pPr>
      <w:r w:rsidRPr="008B0111">
        <w:rPr>
          <w:sz w:val="20"/>
          <w:szCs w:val="20"/>
          <w:lang w:val="en-GB"/>
        </w:rPr>
        <w:t>The values of k</w:t>
      </w:r>
      <w:r w:rsidRPr="008B0111">
        <w:rPr>
          <w:sz w:val="20"/>
          <w:szCs w:val="20"/>
          <w:vertAlign w:val="subscript"/>
          <w:lang w:val="en-GB"/>
        </w:rPr>
        <w:t>app</w:t>
      </w:r>
      <w:r w:rsidRPr="008B0111">
        <w:rPr>
          <w:sz w:val="20"/>
          <w:szCs w:val="20"/>
          <w:lang w:val="en-GB"/>
        </w:rPr>
        <w:t xml:space="preserve"> obtained from Fig. 6 are listed in Table 1. Higher values were obtained with lower concentrations of RBB</w:t>
      </w:r>
      <w:r w:rsidRPr="008B0111">
        <w:rPr>
          <w:sz w:val="20"/>
          <w:szCs w:val="20"/>
        </w:rPr>
        <w:t>,</w:t>
      </w:r>
      <w:r w:rsidRPr="008B0111">
        <w:rPr>
          <w:sz w:val="20"/>
          <w:szCs w:val="20"/>
          <w:lang w:val="en-GB"/>
        </w:rPr>
        <w:t xml:space="preserve"> which illustrated the </w:t>
      </w:r>
      <w:r w:rsidR="00FE4177" w:rsidRPr="008B0111">
        <w:rPr>
          <w:sz w:val="20"/>
          <w:szCs w:val="20"/>
          <w:lang w:val="en-GB"/>
        </w:rPr>
        <w:t>favourable</w:t>
      </w:r>
      <w:r w:rsidRPr="008B0111">
        <w:rPr>
          <w:sz w:val="20"/>
          <w:szCs w:val="20"/>
          <w:lang w:val="en-GB"/>
        </w:rPr>
        <w:t xml:space="preserve"> system of low dye concentrations</w:t>
      </w:r>
      <w:r w:rsidR="003507A2" w:rsidRPr="008B0111">
        <w:rPr>
          <w:sz w:val="20"/>
          <w:szCs w:val="20"/>
          <w:lang w:val="en-GB"/>
        </w:rPr>
        <w:t xml:space="preserve"> [25</w:t>
      </w:r>
      <w:r w:rsidRPr="008B0111">
        <w:rPr>
          <w:sz w:val="20"/>
          <w:szCs w:val="20"/>
          <w:lang w:val="en-GB"/>
        </w:rPr>
        <w:t>]</w:t>
      </w:r>
      <w:r w:rsidR="003B2127" w:rsidRPr="008B0111">
        <w:rPr>
          <w:sz w:val="20"/>
          <w:szCs w:val="20"/>
          <w:lang w:val="en-GB"/>
        </w:rPr>
        <w:t xml:space="preserve">. </w:t>
      </w:r>
    </w:p>
    <w:p w14:paraId="0342E39C" w14:textId="77777777" w:rsidR="003B2127" w:rsidRPr="008B0111" w:rsidRDefault="003B2127" w:rsidP="003B2127">
      <w:pPr>
        <w:tabs>
          <w:tab w:val="left" w:pos="567"/>
        </w:tabs>
        <w:jc w:val="both"/>
        <w:rPr>
          <w:sz w:val="20"/>
          <w:szCs w:val="20"/>
          <w:lang w:val="en-GB"/>
        </w:rPr>
      </w:pPr>
    </w:p>
    <w:p w14:paraId="382283A8" w14:textId="016E504B" w:rsidR="003B2127" w:rsidRDefault="00446DC6" w:rsidP="003B2127">
      <w:pPr>
        <w:ind w:firstLine="567"/>
        <w:jc w:val="center"/>
        <w:rPr>
          <w:iCs/>
          <w:sz w:val="20"/>
          <w:szCs w:val="20"/>
        </w:rPr>
      </w:pPr>
      <w:r w:rsidRPr="00FE4177">
        <w:rPr>
          <w:bCs/>
          <w:iCs/>
          <w:sz w:val="20"/>
          <w:szCs w:val="20"/>
        </w:rPr>
        <w:t xml:space="preserve">Table </w:t>
      </w:r>
      <w:r w:rsidR="003B2127" w:rsidRPr="00FE4177">
        <w:rPr>
          <w:bCs/>
          <w:iCs/>
          <w:sz w:val="20"/>
          <w:szCs w:val="20"/>
        </w:rPr>
        <w:t>1</w:t>
      </w:r>
      <w:r w:rsidR="00FE4177" w:rsidRPr="00FE4177">
        <w:rPr>
          <w:bCs/>
          <w:iCs/>
          <w:sz w:val="20"/>
          <w:szCs w:val="20"/>
        </w:rPr>
        <w:t>.</w:t>
      </w:r>
      <w:r w:rsidR="00FE4177">
        <w:rPr>
          <w:iCs/>
          <w:sz w:val="20"/>
          <w:szCs w:val="20"/>
        </w:rPr>
        <w:t xml:space="preserve"> </w:t>
      </w:r>
      <w:r w:rsidR="003B2127" w:rsidRPr="008B0111">
        <w:rPr>
          <w:iCs/>
          <w:sz w:val="20"/>
          <w:szCs w:val="20"/>
        </w:rPr>
        <w:t>Pseudo first-order apparent constant value for RBB degradation</w:t>
      </w:r>
    </w:p>
    <w:p w14:paraId="000AF261" w14:textId="77777777" w:rsidR="00FE4177" w:rsidRPr="008B0111" w:rsidRDefault="00FE4177" w:rsidP="003B2127">
      <w:pPr>
        <w:ind w:firstLine="567"/>
        <w:jc w:val="center"/>
        <w:rPr>
          <w:iCs/>
          <w:sz w:val="20"/>
          <w:szCs w:val="20"/>
        </w:rPr>
      </w:pPr>
    </w:p>
    <w:tbl>
      <w:tblPr>
        <w:tblStyle w:val="ListTable3"/>
        <w:tblW w:w="7474"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90"/>
        <w:gridCol w:w="1690"/>
        <w:gridCol w:w="883"/>
        <w:gridCol w:w="1432"/>
        <w:gridCol w:w="1879"/>
      </w:tblGrid>
      <w:tr w:rsidR="008B0111" w:rsidRPr="008B0111" w14:paraId="70FB02F5" w14:textId="77777777" w:rsidTr="00FE4177">
        <w:trPr>
          <w:cnfStyle w:val="100000000000" w:firstRow="1" w:lastRow="0" w:firstColumn="0" w:lastColumn="0" w:oddVBand="0" w:evenVBand="0" w:oddHBand="0" w:evenHBand="0" w:firstRowFirstColumn="0" w:firstRowLastColumn="0" w:lastRowFirstColumn="0" w:lastRowLastColumn="0"/>
          <w:trHeight w:val="374"/>
          <w:jc w:val="center"/>
        </w:trPr>
        <w:tc>
          <w:tcPr>
            <w:cnfStyle w:val="001000000100" w:firstRow="0" w:lastRow="0" w:firstColumn="1" w:lastColumn="0" w:oddVBand="0" w:evenVBand="0" w:oddHBand="0" w:evenHBand="0" w:firstRowFirstColumn="1" w:firstRowLastColumn="0" w:lastRowFirstColumn="0" w:lastRowLastColumn="0"/>
            <w:tcW w:w="1590" w:type="dxa"/>
            <w:tcBorders>
              <w:top w:val="single" w:sz="4" w:space="0" w:color="auto"/>
              <w:bottom w:val="single" w:sz="4" w:space="0" w:color="auto"/>
            </w:tcBorders>
            <w:shd w:val="clear" w:color="auto" w:fill="auto"/>
            <w:noWrap/>
            <w:vAlign w:val="center"/>
            <w:hideMark/>
          </w:tcPr>
          <w:p w14:paraId="1F218F6A" w14:textId="1F4F73E7" w:rsidR="003B2127" w:rsidRPr="008B0111" w:rsidRDefault="003B2127" w:rsidP="00FE4177">
            <w:pPr>
              <w:jc w:val="center"/>
              <w:rPr>
                <w:color w:val="auto"/>
                <w:sz w:val="20"/>
                <w:szCs w:val="20"/>
              </w:rPr>
            </w:pPr>
            <w:r w:rsidRPr="008B0111">
              <w:rPr>
                <w:color w:val="auto"/>
                <w:sz w:val="20"/>
                <w:szCs w:val="20"/>
              </w:rPr>
              <w:t xml:space="preserve">Initial </w:t>
            </w:r>
            <w:r w:rsidR="00FE4177">
              <w:rPr>
                <w:color w:val="auto"/>
                <w:sz w:val="20"/>
                <w:szCs w:val="20"/>
              </w:rPr>
              <w:t>C</w:t>
            </w:r>
            <w:r w:rsidRPr="008B0111">
              <w:rPr>
                <w:color w:val="auto"/>
                <w:sz w:val="20"/>
                <w:szCs w:val="20"/>
              </w:rPr>
              <w:t>oncentration, C</w:t>
            </w:r>
            <w:r w:rsidRPr="008B0111">
              <w:rPr>
                <w:color w:val="auto"/>
                <w:sz w:val="20"/>
                <w:szCs w:val="20"/>
                <w:vertAlign w:val="subscript"/>
              </w:rPr>
              <w:t>0</w:t>
            </w:r>
            <w:r w:rsidRPr="008B0111">
              <w:rPr>
                <w:color w:val="auto"/>
                <w:sz w:val="20"/>
                <w:szCs w:val="20"/>
              </w:rPr>
              <w:t xml:space="preserve"> (mgL</w:t>
            </w:r>
            <w:r w:rsidRPr="008B0111">
              <w:rPr>
                <w:color w:val="auto"/>
                <w:sz w:val="20"/>
                <w:szCs w:val="20"/>
                <w:vertAlign w:val="superscript"/>
              </w:rPr>
              <w:t>-1</w:t>
            </w:r>
            <w:r w:rsidRPr="008B0111">
              <w:rPr>
                <w:color w:val="auto"/>
                <w:sz w:val="20"/>
                <w:szCs w:val="20"/>
              </w:rPr>
              <w:t>)</w:t>
            </w:r>
          </w:p>
        </w:tc>
        <w:tc>
          <w:tcPr>
            <w:tcW w:w="1690" w:type="dxa"/>
            <w:tcBorders>
              <w:top w:val="single" w:sz="4" w:space="0" w:color="auto"/>
              <w:bottom w:val="single" w:sz="4" w:space="0" w:color="auto"/>
            </w:tcBorders>
            <w:shd w:val="clear" w:color="auto" w:fill="auto"/>
            <w:noWrap/>
            <w:vAlign w:val="center"/>
            <w:hideMark/>
          </w:tcPr>
          <w:p w14:paraId="50BE507E" w14:textId="77777777" w:rsidR="00FE4177" w:rsidRDefault="003B2127" w:rsidP="00FE4177">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B0111">
              <w:rPr>
                <w:color w:val="auto"/>
                <w:sz w:val="20"/>
                <w:szCs w:val="20"/>
              </w:rPr>
              <w:t xml:space="preserve">Reaction </w:t>
            </w:r>
            <w:r w:rsidR="00FE4177">
              <w:rPr>
                <w:color w:val="auto"/>
                <w:sz w:val="20"/>
                <w:szCs w:val="20"/>
              </w:rPr>
              <w:t>R</w:t>
            </w:r>
            <w:r w:rsidRPr="008B0111">
              <w:rPr>
                <w:color w:val="auto"/>
                <w:sz w:val="20"/>
                <w:szCs w:val="20"/>
              </w:rPr>
              <w:t xml:space="preserve">ate </w:t>
            </w:r>
            <w:r w:rsidR="00FE4177">
              <w:rPr>
                <w:color w:val="auto"/>
                <w:sz w:val="20"/>
                <w:szCs w:val="20"/>
              </w:rPr>
              <w:t>C</w:t>
            </w:r>
            <w:r w:rsidRPr="008B0111">
              <w:rPr>
                <w:color w:val="auto"/>
                <w:sz w:val="20"/>
                <w:szCs w:val="20"/>
              </w:rPr>
              <w:t xml:space="preserve">onstant, </w:t>
            </w:r>
          </w:p>
          <w:p w14:paraId="658795A5" w14:textId="22F5F4D5" w:rsidR="003B2127" w:rsidRPr="008B0111" w:rsidRDefault="003B2127" w:rsidP="00FE4177">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B0111">
              <w:rPr>
                <w:color w:val="auto"/>
                <w:sz w:val="20"/>
                <w:szCs w:val="20"/>
              </w:rPr>
              <w:t>K</w:t>
            </w:r>
            <w:r w:rsidRPr="008B0111">
              <w:rPr>
                <w:color w:val="auto"/>
                <w:sz w:val="20"/>
                <w:szCs w:val="20"/>
                <w:vertAlign w:val="subscript"/>
              </w:rPr>
              <w:t>app</w:t>
            </w:r>
            <w:r w:rsidRPr="008B0111">
              <w:rPr>
                <w:color w:val="auto"/>
                <w:sz w:val="20"/>
                <w:szCs w:val="20"/>
              </w:rPr>
              <w:t xml:space="preserve"> (min</w:t>
            </w:r>
            <w:r w:rsidRPr="008B0111">
              <w:rPr>
                <w:color w:val="auto"/>
                <w:sz w:val="20"/>
                <w:szCs w:val="20"/>
                <w:vertAlign w:val="superscript"/>
              </w:rPr>
              <w:t>-1</w:t>
            </w:r>
            <w:r w:rsidRPr="008B0111">
              <w:rPr>
                <w:color w:val="auto"/>
                <w:sz w:val="20"/>
                <w:szCs w:val="20"/>
              </w:rPr>
              <w:t>)</w:t>
            </w:r>
          </w:p>
        </w:tc>
        <w:tc>
          <w:tcPr>
            <w:tcW w:w="883" w:type="dxa"/>
            <w:tcBorders>
              <w:top w:val="single" w:sz="4" w:space="0" w:color="auto"/>
              <w:bottom w:val="single" w:sz="4" w:space="0" w:color="auto"/>
            </w:tcBorders>
            <w:shd w:val="clear" w:color="auto" w:fill="auto"/>
            <w:noWrap/>
            <w:vAlign w:val="center"/>
            <w:hideMark/>
          </w:tcPr>
          <w:p w14:paraId="1D84C75D" w14:textId="77777777" w:rsidR="003B2127" w:rsidRPr="008B0111" w:rsidRDefault="003B2127" w:rsidP="00FE4177">
            <w:pPr>
              <w:ind w:hanging="7"/>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B0111">
              <w:rPr>
                <w:color w:val="auto"/>
                <w:sz w:val="20"/>
                <w:szCs w:val="20"/>
              </w:rPr>
              <w:t>R</w:t>
            </w:r>
            <w:r w:rsidRPr="008B0111">
              <w:rPr>
                <w:color w:val="auto"/>
                <w:sz w:val="20"/>
                <w:szCs w:val="20"/>
                <w:vertAlign w:val="superscript"/>
              </w:rPr>
              <w:t>2</w:t>
            </w:r>
          </w:p>
        </w:tc>
        <w:tc>
          <w:tcPr>
            <w:tcW w:w="1432" w:type="dxa"/>
            <w:tcBorders>
              <w:top w:val="single" w:sz="4" w:space="0" w:color="auto"/>
              <w:bottom w:val="single" w:sz="4" w:space="0" w:color="auto"/>
            </w:tcBorders>
            <w:shd w:val="clear" w:color="auto" w:fill="auto"/>
            <w:noWrap/>
            <w:vAlign w:val="center"/>
            <w:hideMark/>
          </w:tcPr>
          <w:p w14:paraId="09E10E42" w14:textId="410701ED" w:rsidR="00446DC6" w:rsidRPr="008B0111" w:rsidRDefault="003B2127" w:rsidP="00FE4177">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B0111">
              <w:rPr>
                <w:color w:val="auto"/>
                <w:sz w:val="20"/>
                <w:szCs w:val="20"/>
              </w:rPr>
              <w:t xml:space="preserve">Initial </w:t>
            </w:r>
            <w:r w:rsidR="00FE4177" w:rsidRPr="008B0111">
              <w:rPr>
                <w:color w:val="auto"/>
                <w:sz w:val="20"/>
                <w:szCs w:val="20"/>
              </w:rPr>
              <w:t>Reaction Rate</w:t>
            </w:r>
          </w:p>
          <w:p w14:paraId="19ECBACB" w14:textId="77777777" w:rsidR="003B2127" w:rsidRPr="008B0111" w:rsidRDefault="003B2127" w:rsidP="00FE4177">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B0111">
              <w:rPr>
                <w:color w:val="auto"/>
                <w:sz w:val="20"/>
                <w:szCs w:val="20"/>
              </w:rPr>
              <w:t>(mgL</w:t>
            </w:r>
            <w:r w:rsidRPr="008B0111">
              <w:rPr>
                <w:color w:val="auto"/>
                <w:sz w:val="20"/>
                <w:szCs w:val="20"/>
                <w:vertAlign w:val="superscript"/>
              </w:rPr>
              <w:t>-1</w:t>
            </w:r>
            <w:r w:rsidRPr="008B0111">
              <w:rPr>
                <w:color w:val="auto"/>
                <w:sz w:val="20"/>
                <w:szCs w:val="20"/>
              </w:rPr>
              <w:t>min</w:t>
            </w:r>
            <w:r w:rsidRPr="008B0111">
              <w:rPr>
                <w:color w:val="auto"/>
                <w:sz w:val="20"/>
                <w:szCs w:val="20"/>
                <w:vertAlign w:val="superscript"/>
              </w:rPr>
              <w:t>-1</w:t>
            </w:r>
            <w:r w:rsidRPr="008B0111">
              <w:rPr>
                <w:color w:val="auto"/>
                <w:sz w:val="20"/>
                <w:szCs w:val="20"/>
              </w:rPr>
              <w:t>)</w:t>
            </w:r>
          </w:p>
        </w:tc>
        <w:tc>
          <w:tcPr>
            <w:tcW w:w="1879" w:type="dxa"/>
            <w:tcBorders>
              <w:top w:val="single" w:sz="4" w:space="0" w:color="auto"/>
              <w:bottom w:val="single" w:sz="4" w:space="0" w:color="auto"/>
            </w:tcBorders>
            <w:shd w:val="clear" w:color="auto" w:fill="auto"/>
            <w:noWrap/>
            <w:vAlign w:val="center"/>
            <w:hideMark/>
          </w:tcPr>
          <w:p w14:paraId="29C6B5CB" w14:textId="1FC81DA6" w:rsidR="00446DC6" w:rsidRPr="008B0111" w:rsidRDefault="003B2127" w:rsidP="00FE4177">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B0111">
              <w:rPr>
                <w:color w:val="auto"/>
                <w:sz w:val="20"/>
                <w:szCs w:val="20"/>
              </w:rPr>
              <w:t xml:space="preserve">Percentage of </w:t>
            </w:r>
            <w:r w:rsidR="00FE4177">
              <w:rPr>
                <w:color w:val="auto"/>
                <w:sz w:val="20"/>
                <w:szCs w:val="20"/>
              </w:rPr>
              <w:t>D</w:t>
            </w:r>
            <w:r w:rsidRPr="008B0111">
              <w:rPr>
                <w:color w:val="auto"/>
                <w:sz w:val="20"/>
                <w:szCs w:val="20"/>
              </w:rPr>
              <w:t>egradation</w:t>
            </w:r>
          </w:p>
          <w:p w14:paraId="4739017D" w14:textId="77777777" w:rsidR="003B2127" w:rsidRPr="008B0111" w:rsidRDefault="003B2127" w:rsidP="00FE4177">
            <w:pPr>
              <w:ind w:firstLine="53"/>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B0111">
              <w:rPr>
                <w:color w:val="auto"/>
                <w:sz w:val="20"/>
                <w:szCs w:val="20"/>
              </w:rPr>
              <w:t>(%)</w:t>
            </w:r>
          </w:p>
        </w:tc>
      </w:tr>
      <w:tr w:rsidR="008B0111" w:rsidRPr="008B0111" w14:paraId="321CEA76" w14:textId="77777777" w:rsidTr="00FE4177">
        <w:trPr>
          <w:cnfStyle w:val="000000100000" w:firstRow="0" w:lastRow="0" w:firstColumn="0" w:lastColumn="0" w:oddVBand="0" w:evenVBand="0" w:oddHBand="1"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auto"/>
              <w:bottom w:val="none" w:sz="0" w:space="0" w:color="auto"/>
            </w:tcBorders>
            <w:noWrap/>
            <w:hideMark/>
          </w:tcPr>
          <w:p w14:paraId="68AD5614" w14:textId="77777777" w:rsidR="003B2127" w:rsidRPr="008B0111" w:rsidRDefault="003B2127" w:rsidP="003B2127">
            <w:pPr>
              <w:ind w:firstLine="34"/>
              <w:jc w:val="center"/>
              <w:rPr>
                <w:b w:val="0"/>
                <w:sz w:val="20"/>
                <w:szCs w:val="20"/>
              </w:rPr>
            </w:pPr>
            <w:r w:rsidRPr="008B0111">
              <w:rPr>
                <w:b w:val="0"/>
                <w:sz w:val="20"/>
                <w:szCs w:val="20"/>
              </w:rPr>
              <w:t>10</w:t>
            </w:r>
          </w:p>
        </w:tc>
        <w:tc>
          <w:tcPr>
            <w:tcW w:w="1690" w:type="dxa"/>
            <w:tcBorders>
              <w:top w:val="single" w:sz="4" w:space="0" w:color="auto"/>
              <w:bottom w:val="none" w:sz="0" w:space="0" w:color="auto"/>
            </w:tcBorders>
            <w:shd w:val="clear" w:color="auto" w:fill="auto"/>
            <w:noWrap/>
          </w:tcPr>
          <w:p w14:paraId="5CCC3ED1"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0.0275</w:t>
            </w:r>
          </w:p>
        </w:tc>
        <w:tc>
          <w:tcPr>
            <w:tcW w:w="883" w:type="dxa"/>
            <w:tcBorders>
              <w:top w:val="single" w:sz="4" w:space="0" w:color="auto"/>
              <w:bottom w:val="none" w:sz="0" w:space="0" w:color="auto"/>
            </w:tcBorders>
            <w:shd w:val="clear" w:color="auto" w:fill="auto"/>
            <w:noWrap/>
          </w:tcPr>
          <w:p w14:paraId="2292B3F1"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0.985</w:t>
            </w:r>
          </w:p>
        </w:tc>
        <w:tc>
          <w:tcPr>
            <w:tcW w:w="1432" w:type="dxa"/>
            <w:tcBorders>
              <w:top w:val="single" w:sz="4" w:space="0" w:color="auto"/>
              <w:bottom w:val="none" w:sz="0" w:space="0" w:color="auto"/>
            </w:tcBorders>
            <w:shd w:val="clear" w:color="auto" w:fill="auto"/>
            <w:noWrap/>
          </w:tcPr>
          <w:p w14:paraId="710DDA1F"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0.275</w:t>
            </w:r>
          </w:p>
        </w:tc>
        <w:tc>
          <w:tcPr>
            <w:tcW w:w="1879" w:type="dxa"/>
            <w:tcBorders>
              <w:top w:val="single" w:sz="4" w:space="0" w:color="auto"/>
              <w:bottom w:val="none" w:sz="0" w:space="0" w:color="auto"/>
            </w:tcBorders>
            <w:shd w:val="clear" w:color="auto" w:fill="auto"/>
            <w:noWrap/>
          </w:tcPr>
          <w:p w14:paraId="3B75D298" w14:textId="77777777" w:rsidR="003B2127" w:rsidRPr="008B0111" w:rsidRDefault="003B2127" w:rsidP="003B2127">
            <w:pPr>
              <w:ind w:firstLine="53"/>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83.69</w:t>
            </w:r>
          </w:p>
        </w:tc>
      </w:tr>
      <w:tr w:rsidR="008B0111" w:rsidRPr="008B0111" w14:paraId="49C72B79" w14:textId="77777777" w:rsidTr="00FE4177">
        <w:trPr>
          <w:trHeight w:val="149"/>
          <w:jc w:val="center"/>
        </w:trPr>
        <w:tc>
          <w:tcPr>
            <w:cnfStyle w:val="001000000000" w:firstRow="0" w:lastRow="0" w:firstColumn="1" w:lastColumn="0" w:oddVBand="0" w:evenVBand="0" w:oddHBand="0" w:evenHBand="0" w:firstRowFirstColumn="0" w:firstRowLastColumn="0" w:lastRowFirstColumn="0" w:lastRowLastColumn="0"/>
            <w:tcW w:w="1590" w:type="dxa"/>
            <w:noWrap/>
            <w:hideMark/>
          </w:tcPr>
          <w:p w14:paraId="1A5B7129" w14:textId="77777777" w:rsidR="003B2127" w:rsidRPr="008B0111" w:rsidRDefault="003B2127" w:rsidP="003B2127">
            <w:pPr>
              <w:ind w:firstLine="34"/>
              <w:jc w:val="center"/>
              <w:rPr>
                <w:b w:val="0"/>
                <w:sz w:val="20"/>
                <w:szCs w:val="20"/>
              </w:rPr>
            </w:pPr>
            <w:r w:rsidRPr="008B0111">
              <w:rPr>
                <w:b w:val="0"/>
                <w:sz w:val="20"/>
                <w:szCs w:val="20"/>
              </w:rPr>
              <w:t>20</w:t>
            </w:r>
          </w:p>
        </w:tc>
        <w:tc>
          <w:tcPr>
            <w:tcW w:w="1690" w:type="dxa"/>
            <w:shd w:val="clear" w:color="auto" w:fill="auto"/>
            <w:noWrap/>
          </w:tcPr>
          <w:p w14:paraId="4110DF87"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0.0238</w:t>
            </w:r>
          </w:p>
        </w:tc>
        <w:tc>
          <w:tcPr>
            <w:tcW w:w="883" w:type="dxa"/>
            <w:shd w:val="clear" w:color="auto" w:fill="auto"/>
            <w:noWrap/>
          </w:tcPr>
          <w:p w14:paraId="3F5C0945"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0.999</w:t>
            </w:r>
          </w:p>
        </w:tc>
        <w:tc>
          <w:tcPr>
            <w:tcW w:w="1432" w:type="dxa"/>
            <w:shd w:val="clear" w:color="auto" w:fill="auto"/>
            <w:noWrap/>
          </w:tcPr>
          <w:p w14:paraId="48DC83FE"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0.476</w:t>
            </w:r>
          </w:p>
        </w:tc>
        <w:tc>
          <w:tcPr>
            <w:tcW w:w="1879" w:type="dxa"/>
            <w:shd w:val="clear" w:color="auto" w:fill="auto"/>
            <w:noWrap/>
          </w:tcPr>
          <w:p w14:paraId="4EC07EA4" w14:textId="77777777" w:rsidR="003B2127" w:rsidRPr="008B0111" w:rsidRDefault="003B2127" w:rsidP="003B2127">
            <w:pPr>
              <w:ind w:firstLine="53"/>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73.53</w:t>
            </w:r>
          </w:p>
        </w:tc>
      </w:tr>
      <w:tr w:rsidR="008B0111" w:rsidRPr="008B0111" w14:paraId="415F7D57" w14:textId="77777777" w:rsidTr="00FE4177">
        <w:trPr>
          <w:cnfStyle w:val="000000100000" w:firstRow="0" w:lastRow="0" w:firstColumn="0" w:lastColumn="0" w:oddVBand="0" w:evenVBand="0" w:oddHBand="1" w:evenHBand="0" w:firstRowFirstColumn="0" w:firstRowLastColumn="0" w:lastRowFirstColumn="0" w:lastRowLastColumn="0"/>
          <w:trHeight w:val="167"/>
          <w:jc w:val="center"/>
        </w:trPr>
        <w:tc>
          <w:tcPr>
            <w:cnfStyle w:val="001000000000" w:firstRow="0" w:lastRow="0" w:firstColumn="1" w:lastColumn="0" w:oddVBand="0" w:evenVBand="0" w:oddHBand="0" w:evenHBand="0" w:firstRowFirstColumn="0" w:firstRowLastColumn="0" w:lastRowFirstColumn="0" w:lastRowLastColumn="0"/>
            <w:tcW w:w="1590" w:type="dxa"/>
            <w:tcBorders>
              <w:top w:val="none" w:sz="0" w:space="0" w:color="auto"/>
              <w:bottom w:val="none" w:sz="0" w:space="0" w:color="auto"/>
            </w:tcBorders>
            <w:noWrap/>
            <w:hideMark/>
          </w:tcPr>
          <w:p w14:paraId="78DBAF40" w14:textId="77777777" w:rsidR="003B2127" w:rsidRPr="008B0111" w:rsidRDefault="003B2127" w:rsidP="003B2127">
            <w:pPr>
              <w:ind w:firstLine="34"/>
              <w:jc w:val="center"/>
              <w:rPr>
                <w:b w:val="0"/>
                <w:sz w:val="20"/>
                <w:szCs w:val="20"/>
              </w:rPr>
            </w:pPr>
            <w:r w:rsidRPr="008B0111">
              <w:rPr>
                <w:b w:val="0"/>
                <w:sz w:val="20"/>
                <w:szCs w:val="20"/>
              </w:rPr>
              <w:t>30</w:t>
            </w:r>
          </w:p>
        </w:tc>
        <w:tc>
          <w:tcPr>
            <w:tcW w:w="1690" w:type="dxa"/>
            <w:tcBorders>
              <w:top w:val="none" w:sz="0" w:space="0" w:color="auto"/>
              <w:bottom w:val="none" w:sz="0" w:space="0" w:color="auto"/>
            </w:tcBorders>
            <w:shd w:val="clear" w:color="auto" w:fill="auto"/>
            <w:noWrap/>
          </w:tcPr>
          <w:p w14:paraId="1EDF127A"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0.0208</w:t>
            </w:r>
          </w:p>
        </w:tc>
        <w:tc>
          <w:tcPr>
            <w:tcW w:w="883" w:type="dxa"/>
            <w:tcBorders>
              <w:top w:val="none" w:sz="0" w:space="0" w:color="auto"/>
              <w:bottom w:val="none" w:sz="0" w:space="0" w:color="auto"/>
            </w:tcBorders>
            <w:shd w:val="clear" w:color="auto" w:fill="auto"/>
            <w:noWrap/>
          </w:tcPr>
          <w:p w14:paraId="6ED49F45"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0.997</w:t>
            </w:r>
          </w:p>
        </w:tc>
        <w:tc>
          <w:tcPr>
            <w:tcW w:w="1432" w:type="dxa"/>
            <w:tcBorders>
              <w:top w:val="none" w:sz="0" w:space="0" w:color="auto"/>
              <w:bottom w:val="none" w:sz="0" w:space="0" w:color="auto"/>
            </w:tcBorders>
            <w:shd w:val="clear" w:color="auto" w:fill="auto"/>
            <w:noWrap/>
          </w:tcPr>
          <w:p w14:paraId="6DEF08CF"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0.624</w:t>
            </w:r>
          </w:p>
        </w:tc>
        <w:tc>
          <w:tcPr>
            <w:tcW w:w="1879" w:type="dxa"/>
            <w:tcBorders>
              <w:top w:val="none" w:sz="0" w:space="0" w:color="auto"/>
              <w:bottom w:val="none" w:sz="0" w:space="0" w:color="auto"/>
            </w:tcBorders>
            <w:shd w:val="clear" w:color="auto" w:fill="auto"/>
            <w:noWrap/>
          </w:tcPr>
          <w:p w14:paraId="0631D906" w14:textId="77777777" w:rsidR="003B2127" w:rsidRPr="008B0111" w:rsidRDefault="003B2127" w:rsidP="003B2127">
            <w:pPr>
              <w:ind w:firstLine="53"/>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65.07</w:t>
            </w:r>
          </w:p>
        </w:tc>
      </w:tr>
      <w:tr w:rsidR="008B0111" w:rsidRPr="008B0111" w14:paraId="313874ED" w14:textId="77777777" w:rsidTr="00FE4177">
        <w:trPr>
          <w:trHeight w:val="63"/>
          <w:jc w:val="center"/>
        </w:trPr>
        <w:tc>
          <w:tcPr>
            <w:cnfStyle w:val="001000000000" w:firstRow="0" w:lastRow="0" w:firstColumn="1" w:lastColumn="0" w:oddVBand="0" w:evenVBand="0" w:oddHBand="0" w:evenHBand="0" w:firstRowFirstColumn="0" w:firstRowLastColumn="0" w:lastRowFirstColumn="0" w:lastRowLastColumn="0"/>
            <w:tcW w:w="1590" w:type="dxa"/>
            <w:noWrap/>
            <w:hideMark/>
          </w:tcPr>
          <w:p w14:paraId="07585B5C" w14:textId="77777777" w:rsidR="003B2127" w:rsidRPr="008B0111" w:rsidRDefault="003B2127" w:rsidP="003B2127">
            <w:pPr>
              <w:ind w:firstLine="34"/>
              <w:jc w:val="center"/>
              <w:rPr>
                <w:b w:val="0"/>
                <w:sz w:val="20"/>
                <w:szCs w:val="20"/>
              </w:rPr>
            </w:pPr>
            <w:r w:rsidRPr="008B0111">
              <w:rPr>
                <w:b w:val="0"/>
                <w:sz w:val="20"/>
                <w:szCs w:val="20"/>
              </w:rPr>
              <w:t>50</w:t>
            </w:r>
          </w:p>
        </w:tc>
        <w:tc>
          <w:tcPr>
            <w:tcW w:w="1690" w:type="dxa"/>
            <w:shd w:val="clear" w:color="auto" w:fill="auto"/>
            <w:noWrap/>
          </w:tcPr>
          <w:p w14:paraId="63B58959"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0.0160</w:t>
            </w:r>
          </w:p>
        </w:tc>
        <w:tc>
          <w:tcPr>
            <w:tcW w:w="883" w:type="dxa"/>
            <w:shd w:val="clear" w:color="auto" w:fill="auto"/>
            <w:noWrap/>
          </w:tcPr>
          <w:p w14:paraId="46630CA0"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0.997</w:t>
            </w:r>
          </w:p>
        </w:tc>
        <w:tc>
          <w:tcPr>
            <w:tcW w:w="1432" w:type="dxa"/>
            <w:shd w:val="clear" w:color="auto" w:fill="auto"/>
            <w:noWrap/>
          </w:tcPr>
          <w:p w14:paraId="60E8222D"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0.800</w:t>
            </w:r>
          </w:p>
        </w:tc>
        <w:tc>
          <w:tcPr>
            <w:tcW w:w="1879" w:type="dxa"/>
            <w:shd w:val="clear" w:color="auto" w:fill="auto"/>
            <w:noWrap/>
          </w:tcPr>
          <w:p w14:paraId="44740033" w14:textId="77777777" w:rsidR="003B2127" w:rsidRPr="008B0111" w:rsidRDefault="003B2127" w:rsidP="003B2127">
            <w:pPr>
              <w:ind w:firstLine="53"/>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57.69</w:t>
            </w:r>
          </w:p>
        </w:tc>
      </w:tr>
      <w:tr w:rsidR="008B0111" w:rsidRPr="008B0111" w14:paraId="5BA32BF6" w14:textId="77777777" w:rsidTr="00FE4177">
        <w:trPr>
          <w:cnfStyle w:val="000000100000" w:firstRow="0" w:lastRow="0" w:firstColumn="0" w:lastColumn="0" w:oddVBand="0" w:evenVBand="0" w:oddHBand="1"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590" w:type="dxa"/>
            <w:tcBorders>
              <w:top w:val="none" w:sz="0" w:space="0" w:color="auto"/>
              <w:bottom w:val="none" w:sz="0" w:space="0" w:color="auto"/>
            </w:tcBorders>
            <w:noWrap/>
            <w:hideMark/>
          </w:tcPr>
          <w:p w14:paraId="5DEA7E1D" w14:textId="77777777" w:rsidR="003B2127" w:rsidRPr="008B0111" w:rsidRDefault="003B2127" w:rsidP="003B2127">
            <w:pPr>
              <w:ind w:firstLine="34"/>
              <w:jc w:val="center"/>
              <w:rPr>
                <w:b w:val="0"/>
                <w:sz w:val="20"/>
                <w:szCs w:val="20"/>
              </w:rPr>
            </w:pPr>
            <w:r w:rsidRPr="008B0111">
              <w:rPr>
                <w:b w:val="0"/>
                <w:sz w:val="20"/>
                <w:szCs w:val="20"/>
              </w:rPr>
              <w:t>70</w:t>
            </w:r>
          </w:p>
        </w:tc>
        <w:tc>
          <w:tcPr>
            <w:tcW w:w="1690" w:type="dxa"/>
            <w:tcBorders>
              <w:top w:val="none" w:sz="0" w:space="0" w:color="auto"/>
              <w:bottom w:val="none" w:sz="0" w:space="0" w:color="auto"/>
            </w:tcBorders>
            <w:shd w:val="clear" w:color="auto" w:fill="auto"/>
            <w:noWrap/>
          </w:tcPr>
          <w:p w14:paraId="07F50C75"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0.0124</w:t>
            </w:r>
          </w:p>
        </w:tc>
        <w:tc>
          <w:tcPr>
            <w:tcW w:w="883" w:type="dxa"/>
            <w:tcBorders>
              <w:top w:val="none" w:sz="0" w:space="0" w:color="auto"/>
              <w:bottom w:val="none" w:sz="0" w:space="0" w:color="auto"/>
            </w:tcBorders>
            <w:shd w:val="clear" w:color="auto" w:fill="auto"/>
            <w:noWrap/>
          </w:tcPr>
          <w:p w14:paraId="5EEBA9E3"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0.993</w:t>
            </w:r>
          </w:p>
        </w:tc>
        <w:tc>
          <w:tcPr>
            <w:tcW w:w="1432" w:type="dxa"/>
            <w:tcBorders>
              <w:top w:val="none" w:sz="0" w:space="0" w:color="auto"/>
              <w:bottom w:val="none" w:sz="0" w:space="0" w:color="auto"/>
            </w:tcBorders>
            <w:shd w:val="clear" w:color="auto" w:fill="auto"/>
            <w:noWrap/>
          </w:tcPr>
          <w:p w14:paraId="11E14AF3" w14:textId="77777777" w:rsidR="003B2127" w:rsidRPr="008B0111" w:rsidRDefault="003B2127" w:rsidP="003B2127">
            <w:pPr>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0.868</w:t>
            </w:r>
          </w:p>
        </w:tc>
        <w:tc>
          <w:tcPr>
            <w:tcW w:w="1879" w:type="dxa"/>
            <w:tcBorders>
              <w:top w:val="none" w:sz="0" w:space="0" w:color="auto"/>
              <w:bottom w:val="none" w:sz="0" w:space="0" w:color="auto"/>
            </w:tcBorders>
            <w:shd w:val="clear" w:color="auto" w:fill="auto"/>
            <w:noWrap/>
          </w:tcPr>
          <w:p w14:paraId="0B050BD2" w14:textId="77777777" w:rsidR="003B2127" w:rsidRPr="008B0111" w:rsidRDefault="003B2127" w:rsidP="003B2127">
            <w:pPr>
              <w:ind w:firstLine="53"/>
              <w:jc w:val="center"/>
              <w:cnfStyle w:val="000000100000" w:firstRow="0" w:lastRow="0" w:firstColumn="0" w:lastColumn="0" w:oddVBand="0" w:evenVBand="0" w:oddHBand="1" w:evenHBand="0" w:firstRowFirstColumn="0" w:firstRowLastColumn="0" w:lastRowFirstColumn="0" w:lastRowLastColumn="0"/>
              <w:rPr>
                <w:sz w:val="20"/>
                <w:szCs w:val="20"/>
              </w:rPr>
            </w:pPr>
            <w:r w:rsidRPr="008B0111">
              <w:rPr>
                <w:sz w:val="20"/>
                <w:szCs w:val="20"/>
              </w:rPr>
              <w:t>44.38</w:t>
            </w:r>
          </w:p>
        </w:tc>
      </w:tr>
      <w:tr w:rsidR="008B0111" w:rsidRPr="008B0111" w14:paraId="4AA177DB" w14:textId="77777777" w:rsidTr="00FE4177">
        <w:trPr>
          <w:trHeight w:val="63"/>
          <w:jc w:val="center"/>
        </w:trPr>
        <w:tc>
          <w:tcPr>
            <w:cnfStyle w:val="001000000000" w:firstRow="0" w:lastRow="0" w:firstColumn="1" w:lastColumn="0" w:oddVBand="0" w:evenVBand="0" w:oddHBand="0" w:evenHBand="0" w:firstRowFirstColumn="0" w:firstRowLastColumn="0" w:lastRowFirstColumn="0" w:lastRowLastColumn="0"/>
            <w:tcW w:w="1590" w:type="dxa"/>
            <w:tcBorders>
              <w:bottom w:val="single" w:sz="4" w:space="0" w:color="auto"/>
            </w:tcBorders>
            <w:noWrap/>
            <w:hideMark/>
          </w:tcPr>
          <w:p w14:paraId="1DDA70CF" w14:textId="77777777" w:rsidR="003B2127" w:rsidRPr="008B0111" w:rsidRDefault="003B2127" w:rsidP="003B2127">
            <w:pPr>
              <w:ind w:firstLine="34"/>
              <w:jc w:val="center"/>
              <w:rPr>
                <w:b w:val="0"/>
                <w:sz w:val="20"/>
                <w:szCs w:val="20"/>
              </w:rPr>
            </w:pPr>
            <w:r w:rsidRPr="008B0111">
              <w:rPr>
                <w:b w:val="0"/>
                <w:sz w:val="20"/>
                <w:szCs w:val="20"/>
              </w:rPr>
              <w:t>100</w:t>
            </w:r>
          </w:p>
        </w:tc>
        <w:tc>
          <w:tcPr>
            <w:tcW w:w="1690" w:type="dxa"/>
            <w:tcBorders>
              <w:bottom w:val="single" w:sz="4" w:space="0" w:color="auto"/>
            </w:tcBorders>
            <w:shd w:val="clear" w:color="auto" w:fill="auto"/>
            <w:noWrap/>
          </w:tcPr>
          <w:p w14:paraId="60267303"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0.0100</w:t>
            </w:r>
          </w:p>
        </w:tc>
        <w:tc>
          <w:tcPr>
            <w:tcW w:w="883" w:type="dxa"/>
            <w:tcBorders>
              <w:bottom w:val="single" w:sz="4" w:space="0" w:color="auto"/>
            </w:tcBorders>
            <w:shd w:val="clear" w:color="auto" w:fill="auto"/>
            <w:noWrap/>
          </w:tcPr>
          <w:p w14:paraId="3E1734AC"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0.983</w:t>
            </w:r>
          </w:p>
        </w:tc>
        <w:tc>
          <w:tcPr>
            <w:tcW w:w="1432" w:type="dxa"/>
            <w:tcBorders>
              <w:bottom w:val="single" w:sz="4" w:space="0" w:color="auto"/>
            </w:tcBorders>
            <w:shd w:val="clear" w:color="auto" w:fill="auto"/>
            <w:noWrap/>
          </w:tcPr>
          <w:p w14:paraId="1B4C8A9F" w14:textId="77777777" w:rsidR="003B2127" w:rsidRPr="008B0111" w:rsidRDefault="003B2127" w:rsidP="003B2127">
            <w:pPr>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1.000</w:t>
            </w:r>
          </w:p>
        </w:tc>
        <w:tc>
          <w:tcPr>
            <w:tcW w:w="1879" w:type="dxa"/>
            <w:tcBorders>
              <w:bottom w:val="single" w:sz="4" w:space="0" w:color="auto"/>
            </w:tcBorders>
            <w:shd w:val="clear" w:color="auto" w:fill="auto"/>
            <w:noWrap/>
          </w:tcPr>
          <w:p w14:paraId="626EAAF6" w14:textId="77777777" w:rsidR="003B2127" w:rsidRPr="008B0111" w:rsidRDefault="003B2127" w:rsidP="003B2127">
            <w:pPr>
              <w:ind w:firstLine="53"/>
              <w:jc w:val="center"/>
              <w:cnfStyle w:val="000000000000" w:firstRow="0" w:lastRow="0" w:firstColumn="0" w:lastColumn="0" w:oddVBand="0" w:evenVBand="0" w:oddHBand="0" w:evenHBand="0" w:firstRowFirstColumn="0" w:firstRowLastColumn="0" w:lastRowFirstColumn="0" w:lastRowLastColumn="0"/>
              <w:rPr>
                <w:sz w:val="20"/>
                <w:szCs w:val="20"/>
              </w:rPr>
            </w:pPr>
            <w:r w:rsidRPr="008B0111">
              <w:rPr>
                <w:sz w:val="20"/>
                <w:szCs w:val="20"/>
              </w:rPr>
              <w:t>39.75</w:t>
            </w:r>
          </w:p>
        </w:tc>
      </w:tr>
    </w:tbl>
    <w:p w14:paraId="5BB06674" w14:textId="77777777" w:rsidR="00446DC6" w:rsidRPr="008B0111" w:rsidRDefault="00446DC6" w:rsidP="003B2127">
      <w:pPr>
        <w:tabs>
          <w:tab w:val="left" w:pos="567"/>
        </w:tabs>
        <w:rPr>
          <w:sz w:val="20"/>
          <w:szCs w:val="20"/>
        </w:rPr>
      </w:pPr>
    </w:p>
    <w:p w14:paraId="19575DFD" w14:textId="71616671" w:rsidR="003B2127" w:rsidRPr="008B0111" w:rsidRDefault="00446DC6" w:rsidP="003B2127">
      <w:pPr>
        <w:tabs>
          <w:tab w:val="left" w:pos="567"/>
        </w:tabs>
        <w:rPr>
          <w:b/>
          <w:sz w:val="20"/>
          <w:szCs w:val="20"/>
        </w:rPr>
      </w:pPr>
      <w:r w:rsidRPr="008B0111">
        <w:rPr>
          <w:b/>
          <w:sz w:val="20"/>
          <w:szCs w:val="20"/>
        </w:rPr>
        <w:t xml:space="preserve">Investigation on </w:t>
      </w:r>
      <w:r w:rsidR="00FE4177">
        <w:rPr>
          <w:b/>
          <w:sz w:val="20"/>
          <w:szCs w:val="20"/>
        </w:rPr>
        <w:t>b</w:t>
      </w:r>
      <w:r w:rsidR="003B2127" w:rsidRPr="008B0111">
        <w:rPr>
          <w:b/>
          <w:sz w:val="20"/>
          <w:szCs w:val="20"/>
        </w:rPr>
        <w:t>iodegradability</w:t>
      </w:r>
    </w:p>
    <w:p w14:paraId="49B162C1" w14:textId="51EC8209" w:rsidR="00350E1F" w:rsidRDefault="00F035AF" w:rsidP="00FE4177">
      <w:pPr>
        <w:tabs>
          <w:tab w:val="left" w:pos="567"/>
        </w:tabs>
        <w:jc w:val="both"/>
        <w:rPr>
          <w:sz w:val="20"/>
          <w:szCs w:val="20"/>
          <w:lang w:val="en-GB"/>
        </w:rPr>
      </w:pPr>
      <w:r w:rsidRPr="008B0111">
        <w:rPr>
          <w:sz w:val="20"/>
          <w:szCs w:val="20"/>
          <w:lang w:val="en-GB"/>
        </w:rPr>
        <w:t>The biodegradability of RBB solution was conducted by performing the BOD</w:t>
      </w:r>
      <w:r w:rsidRPr="008B0111">
        <w:rPr>
          <w:sz w:val="20"/>
          <w:szCs w:val="20"/>
          <w:vertAlign w:val="subscript"/>
          <w:lang w:val="en-GB"/>
        </w:rPr>
        <w:t>5</w:t>
      </w:r>
      <w:r w:rsidRPr="008B0111">
        <w:rPr>
          <w:sz w:val="20"/>
          <w:szCs w:val="20"/>
          <w:lang w:val="en-GB"/>
        </w:rPr>
        <w:t xml:space="preserve"> and COD analyses before and after the photocatalytic process. The purpose of this study is to determine the toxicity of final RBB solution produced after the process. Fig</w:t>
      </w:r>
      <w:r w:rsidR="00FE4177">
        <w:rPr>
          <w:sz w:val="20"/>
          <w:szCs w:val="20"/>
          <w:lang w:val="en-GB"/>
        </w:rPr>
        <w:t>ure</w:t>
      </w:r>
      <w:r w:rsidRPr="008B0111">
        <w:rPr>
          <w:sz w:val="20"/>
          <w:szCs w:val="20"/>
          <w:lang w:val="en-GB"/>
        </w:rPr>
        <w:t xml:space="preserve"> 7 shows the values of BOD</w:t>
      </w:r>
      <w:r w:rsidRPr="008B0111">
        <w:rPr>
          <w:sz w:val="20"/>
          <w:szCs w:val="20"/>
          <w:vertAlign w:val="subscript"/>
          <w:lang w:val="en-GB"/>
        </w:rPr>
        <w:t>5</w:t>
      </w:r>
      <w:r w:rsidRPr="008B0111">
        <w:rPr>
          <w:sz w:val="20"/>
          <w:szCs w:val="20"/>
          <w:lang w:val="en-GB"/>
        </w:rPr>
        <w:t xml:space="preserve"> and COD of RBB solution before and after being treated </w:t>
      </w:r>
      <w:r w:rsidRPr="00FE4177">
        <w:rPr>
          <w:i/>
          <w:iCs/>
          <w:sz w:val="20"/>
          <w:szCs w:val="20"/>
          <w:lang w:val="en-GB"/>
        </w:rPr>
        <w:t xml:space="preserve">via </w:t>
      </w:r>
      <w:r w:rsidRPr="008B0111">
        <w:rPr>
          <w:sz w:val="20"/>
          <w:szCs w:val="20"/>
          <w:lang w:val="en-GB"/>
        </w:rPr>
        <w:t>photocatalytic degradation, which were 66.7% and 73.4%, respectively. There was a significant change in BOD</w:t>
      </w:r>
      <w:r w:rsidRPr="008B0111">
        <w:rPr>
          <w:sz w:val="20"/>
          <w:szCs w:val="20"/>
          <w:vertAlign w:val="subscript"/>
          <w:lang w:val="en-GB"/>
        </w:rPr>
        <w:t>5</w:t>
      </w:r>
      <w:r w:rsidRPr="008B0111">
        <w:rPr>
          <w:sz w:val="20"/>
          <w:szCs w:val="20"/>
          <w:lang w:val="en-GB"/>
        </w:rPr>
        <w:t xml:space="preserve"> and COD</w:t>
      </w:r>
      <w:r w:rsidRPr="008B0111">
        <w:rPr>
          <w:sz w:val="20"/>
          <w:szCs w:val="20"/>
        </w:rPr>
        <w:t>,</w:t>
      </w:r>
      <w:r w:rsidRPr="008B0111">
        <w:rPr>
          <w:sz w:val="20"/>
          <w:szCs w:val="20"/>
          <w:lang w:val="en-GB"/>
        </w:rPr>
        <w:t xml:space="preserve"> where the biodegradability of the RBB solution can be enhanced by this photocatalytic process. By calculating the ratio of BOD</w:t>
      </w:r>
      <w:r w:rsidRPr="008B0111">
        <w:rPr>
          <w:sz w:val="20"/>
          <w:szCs w:val="20"/>
          <w:vertAlign w:val="subscript"/>
          <w:lang w:val="en-GB"/>
        </w:rPr>
        <w:t>5</w:t>
      </w:r>
      <w:r w:rsidRPr="008B0111">
        <w:rPr>
          <w:sz w:val="20"/>
          <w:szCs w:val="20"/>
          <w:lang w:val="en-GB"/>
        </w:rPr>
        <w:t xml:space="preserve"> to COD before and after treatment, the value was 0.47 and 0.60, respectively. The ratio before being treated showed that the dye solution was non-biodegradable. However, it became biodegradable after undergoing the photocatalytic process by referring to the ratio value obtained after being treated. This stipulated that the final RBB solution can be treated because some non-organic components that had less biodegradability contained in the RBB molecule were decomposed durin</w:t>
      </w:r>
      <w:r w:rsidR="003507A2" w:rsidRPr="008B0111">
        <w:rPr>
          <w:sz w:val="20"/>
          <w:szCs w:val="20"/>
          <w:lang w:val="en-GB"/>
        </w:rPr>
        <w:t>g the photocatalytic process [25</w:t>
      </w:r>
      <w:r w:rsidRPr="008B0111">
        <w:rPr>
          <w:sz w:val="20"/>
          <w:szCs w:val="20"/>
          <w:lang w:val="en-GB"/>
        </w:rPr>
        <w:t>]</w:t>
      </w:r>
      <w:r w:rsidR="003B2127" w:rsidRPr="008B0111">
        <w:rPr>
          <w:b/>
          <w:sz w:val="20"/>
          <w:szCs w:val="20"/>
          <w:lang w:val="en-GB"/>
        </w:rPr>
        <w:t>.</w:t>
      </w:r>
    </w:p>
    <w:p w14:paraId="79458382" w14:textId="77777777" w:rsidR="00FE4177" w:rsidRPr="00FE4177" w:rsidRDefault="00FE4177" w:rsidP="00FE4177">
      <w:pPr>
        <w:tabs>
          <w:tab w:val="left" w:pos="567"/>
        </w:tabs>
        <w:jc w:val="both"/>
        <w:rPr>
          <w:sz w:val="20"/>
          <w:szCs w:val="20"/>
          <w:lang w:val="en-GB"/>
        </w:rPr>
      </w:pPr>
    </w:p>
    <w:p w14:paraId="35266BA4" w14:textId="77777777" w:rsidR="001122AD" w:rsidRPr="008B0111" w:rsidRDefault="001122AD" w:rsidP="00350E1F">
      <w:pPr>
        <w:tabs>
          <w:tab w:val="left" w:pos="567"/>
        </w:tabs>
        <w:jc w:val="center"/>
        <w:rPr>
          <w:sz w:val="20"/>
          <w:szCs w:val="20"/>
          <w:lang w:val="en-GB"/>
        </w:rPr>
      </w:pPr>
      <w:r w:rsidRPr="008B0111">
        <w:rPr>
          <w:noProof/>
          <w:lang w:val="en-GB" w:eastAsia="en-GB"/>
        </w:rPr>
        <w:lastRenderedPageBreak/>
        <w:drawing>
          <wp:inline distT="0" distB="0" distL="0" distR="0" wp14:anchorId="352D69F8" wp14:editId="7CB7AA31">
            <wp:extent cx="2358690" cy="2160000"/>
            <wp:effectExtent l="19050" t="19050" r="22860" b="1206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8690" cy="2160000"/>
                    </a:xfrm>
                    <a:prstGeom prst="rect">
                      <a:avLst/>
                    </a:prstGeom>
                    <a:noFill/>
                    <a:ln w="6350">
                      <a:solidFill>
                        <a:schemeClr val="tx1"/>
                      </a:solidFill>
                    </a:ln>
                  </pic:spPr>
                </pic:pic>
              </a:graphicData>
            </a:graphic>
          </wp:inline>
        </w:drawing>
      </w:r>
    </w:p>
    <w:p w14:paraId="1DFC5124" w14:textId="77777777" w:rsidR="00350E1F" w:rsidRPr="008B0111" w:rsidRDefault="00350E1F" w:rsidP="00350E1F">
      <w:pPr>
        <w:tabs>
          <w:tab w:val="left" w:pos="567"/>
        </w:tabs>
        <w:jc w:val="center"/>
        <w:rPr>
          <w:sz w:val="20"/>
          <w:szCs w:val="20"/>
          <w:lang w:val="en-GB"/>
        </w:rPr>
      </w:pPr>
    </w:p>
    <w:p w14:paraId="73C18E64" w14:textId="6949AA40" w:rsidR="00350E1F" w:rsidRPr="008B0111" w:rsidRDefault="00350E1F" w:rsidP="00FE4177">
      <w:pPr>
        <w:ind w:left="851" w:hanging="851"/>
        <w:jc w:val="both"/>
        <w:rPr>
          <w:sz w:val="20"/>
          <w:szCs w:val="20"/>
        </w:rPr>
      </w:pPr>
      <w:r w:rsidRPr="00FE4177">
        <w:rPr>
          <w:bCs/>
          <w:sz w:val="20"/>
          <w:szCs w:val="20"/>
        </w:rPr>
        <w:t>Fig</w:t>
      </w:r>
      <w:r w:rsidR="00FE4177">
        <w:rPr>
          <w:bCs/>
          <w:sz w:val="20"/>
          <w:szCs w:val="20"/>
        </w:rPr>
        <w:t>ure</w:t>
      </w:r>
      <w:r w:rsidRPr="00FE4177">
        <w:rPr>
          <w:bCs/>
          <w:sz w:val="20"/>
          <w:szCs w:val="20"/>
        </w:rPr>
        <w:t xml:space="preserve"> 7</w:t>
      </w:r>
      <w:r w:rsidR="00FE4177">
        <w:rPr>
          <w:sz w:val="20"/>
          <w:szCs w:val="20"/>
        </w:rPr>
        <w:t xml:space="preserve">. </w:t>
      </w:r>
      <w:r w:rsidRPr="008B0111">
        <w:rPr>
          <w:sz w:val="20"/>
          <w:szCs w:val="20"/>
          <w:lang w:val="en-GB"/>
        </w:rPr>
        <w:t>Concentration</w:t>
      </w:r>
      <w:r w:rsidR="00F035AF" w:rsidRPr="008B0111">
        <w:rPr>
          <w:sz w:val="20"/>
          <w:szCs w:val="20"/>
          <w:lang w:val="en-GB"/>
        </w:rPr>
        <w:t>s</w:t>
      </w:r>
      <w:r w:rsidRPr="008B0111">
        <w:rPr>
          <w:sz w:val="20"/>
          <w:szCs w:val="20"/>
          <w:lang w:val="en-GB"/>
        </w:rPr>
        <w:t xml:space="preserve"> of BOD</w:t>
      </w:r>
      <w:r w:rsidRPr="008B0111">
        <w:rPr>
          <w:sz w:val="20"/>
          <w:szCs w:val="20"/>
          <w:vertAlign w:val="subscript"/>
          <w:lang w:val="en-GB"/>
        </w:rPr>
        <w:t>5</w:t>
      </w:r>
      <w:r w:rsidRPr="008B0111">
        <w:rPr>
          <w:sz w:val="20"/>
          <w:szCs w:val="20"/>
          <w:lang w:val="en-GB"/>
        </w:rPr>
        <w:t xml:space="preserve"> and COD levels before and after photocatalytic process [pH = 7, </w:t>
      </w:r>
      <w:r w:rsidRPr="008B0111">
        <w:rPr>
          <w:i/>
          <w:sz w:val="20"/>
          <w:szCs w:val="20"/>
          <w:lang w:val="en-GB"/>
        </w:rPr>
        <w:t xml:space="preserve">W </w:t>
      </w:r>
      <w:r w:rsidRPr="008B0111">
        <w:rPr>
          <w:sz w:val="20"/>
          <w:szCs w:val="20"/>
          <w:lang w:val="en-GB"/>
        </w:rPr>
        <w:t>=</w:t>
      </w:r>
      <w:r w:rsidRPr="008B0111">
        <w:rPr>
          <w:i/>
          <w:sz w:val="20"/>
          <w:szCs w:val="20"/>
          <w:lang w:val="en-GB"/>
        </w:rPr>
        <w:t xml:space="preserve"> </w:t>
      </w:r>
      <w:r w:rsidRPr="008B0111">
        <w:rPr>
          <w:sz w:val="20"/>
          <w:szCs w:val="20"/>
          <w:lang w:val="en-GB"/>
        </w:rPr>
        <w:t>1.0 gL</w:t>
      </w:r>
      <w:r w:rsidRPr="008B0111">
        <w:rPr>
          <w:sz w:val="20"/>
          <w:szCs w:val="20"/>
          <w:vertAlign w:val="superscript"/>
        </w:rPr>
        <w:t>-1</w:t>
      </w:r>
      <w:r w:rsidRPr="008B0111">
        <w:rPr>
          <w:sz w:val="20"/>
          <w:szCs w:val="20"/>
          <w:lang w:val="en-GB"/>
        </w:rPr>
        <w:t>, C</w:t>
      </w:r>
      <w:r w:rsidRPr="008B0111">
        <w:rPr>
          <w:sz w:val="20"/>
          <w:szCs w:val="20"/>
          <w:vertAlign w:val="subscript"/>
          <w:lang w:val="en-GB"/>
        </w:rPr>
        <w:t xml:space="preserve"> </w:t>
      </w:r>
      <w:r w:rsidRPr="008B0111">
        <w:rPr>
          <w:sz w:val="20"/>
          <w:szCs w:val="20"/>
          <w:lang w:val="en-GB"/>
        </w:rPr>
        <w:t>= 10 mgL</w:t>
      </w:r>
      <w:r w:rsidRPr="008B0111">
        <w:rPr>
          <w:sz w:val="20"/>
          <w:szCs w:val="20"/>
          <w:vertAlign w:val="superscript"/>
        </w:rPr>
        <w:t>-1</w:t>
      </w:r>
      <w:r w:rsidRPr="008B0111">
        <w:rPr>
          <w:sz w:val="20"/>
          <w:szCs w:val="20"/>
          <w:lang w:val="en-GB"/>
        </w:rPr>
        <w:t xml:space="preserve">, </w:t>
      </w:r>
      <w:r w:rsidRPr="008B0111">
        <w:rPr>
          <w:i/>
          <w:sz w:val="20"/>
          <w:szCs w:val="20"/>
          <w:lang w:val="en-GB"/>
        </w:rPr>
        <w:t xml:space="preserve">t </w:t>
      </w:r>
      <w:r w:rsidRPr="008B0111">
        <w:rPr>
          <w:sz w:val="20"/>
          <w:szCs w:val="20"/>
          <w:lang w:val="en-GB"/>
        </w:rPr>
        <w:t>= 1 h, T = 303K]</w:t>
      </w:r>
    </w:p>
    <w:p w14:paraId="57C70E77" w14:textId="77777777" w:rsidR="00350E1F" w:rsidRPr="008B0111" w:rsidRDefault="00350E1F" w:rsidP="00B539A5">
      <w:pPr>
        <w:jc w:val="both"/>
        <w:rPr>
          <w:rFonts w:eastAsiaTheme="minorHAnsi"/>
          <w:sz w:val="20"/>
          <w:szCs w:val="20"/>
          <w:lang w:val="en-MY"/>
        </w:rPr>
      </w:pPr>
    </w:p>
    <w:p w14:paraId="0A82BF4E" w14:textId="4AF1F590" w:rsidR="00A9202B" w:rsidRPr="008B0111" w:rsidRDefault="00A9202B" w:rsidP="00A9202B">
      <w:pPr>
        <w:jc w:val="center"/>
        <w:rPr>
          <w:b/>
          <w:sz w:val="20"/>
          <w:szCs w:val="20"/>
          <w:lang w:eastAsia="zh-CN"/>
        </w:rPr>
      </w:pPr>
      <w:r w:rsidRPr="008B0111">
        <w:rPr>
          <w:b/>
          <w:sz w:val="20"/>
          <w:szCs w:val="20"/>
          <w:lang w:eastAsia="zh-CN"/>
        </w:rPr>
        <w:t>Conclusion</w:t>
      </w:r>
    </w:p>
    <w:p w14:paraId="1AB93D44" w14:textId="77777777" w:rsidR="00C93EDB" w:rsidRDefault="00F035AF" w:rsidP="00A9202B">
      <w:pPr>
        <w:jc w:val="both"/>
        <w:rPr>
          <w:sz w:val="20"/>
          <w:szCs w:val="20"/>
          <w:lang w:val="en-GB"/>
        </w:rPr>
      </w:pPr>
      <w:r w:rsidRPr="008B0111">
        <w:rPr>
          <w:sz w:val="20"/>
          <w:szCs w:val="20"/>
          <w:lang w:val="en-GB"/>
        </w:rPr>
        <w:t>The performance of NiO synthesized using 50 mgL</w:t>
      </w:r>
      <w:r w:rsidRPr="008B0111">
        <w:rPr>
          <w:sz w:val="20"/>
          <w:szCs w:val="20"/>
          <w:vertAlign w:val="superscript"/>
        </w:rPr>
        <w:t>-1</w:t>
      </w:r>
      <w:r w:rsidRPr="008B0111">
        <w:rPr>
          <w:sz w:val="20"/>
          <w:szCs w:val="20"/>
          <w:lang w:val="en-GB"/>
        </w:rPr>
        <w:t xml:space="preserve"> and 1000 mgL</w:t>
      </w:r>
      <w:r w:rsidRPr="008B0111">
        <w:rPr>
          <w:sz w:val="20"/>
          <w:szCs w:val="20"/>
          <w:vertAlign w:val="superscript"/>
        </w:rPr>
        <w:t>-1</w:t>
      </w:r>
      <w:r w:rsidRPr="008B0111">
        <w:rPr>
          <w:sz w:val="20"/>
          <w:szCs w:val="20"/>
          <w:lang w:val="en-GB"/>
        </w:rPr>
        <w:t xml:space="preserve"> of </w:t>
      </w:r>
      <w:r w:rsidRPr="008B0111">
        <w:rPr>
          <w:i/>
          <w:sz w:val="20"/>
          <w:szCs w:val="20"/>
          <w:lang w:val="en-GB"/>
        </w:rPr>
        <w:t>Nephelium lappaceum</w:t>
      </w:r>
      <w:r w:rsidRPr="008B0111">
        <w:rPr>
          <w:sz w:val="20"/>
          <w:szCs w:val="20"/>
          <w:lang w:val="en-GB"/>
        </w:rPr>
        <w:t xml:space="preserve"> extracts were conducted to compare the performance of the photodegradation of RBB. NiO synthesized using 1000 mgL</w:t>
      </w:r>
      <w:r w:rsidRPr="008B0111">
        <w:rPr>
          <w:sz w:val="20"/>
          <w:szCs w:val="20"/>
          <w:vertAlign w:val="superscript"/>
        </w:rPr>
        <w:t>-1</w:t>
      </w:r>
      <w:r w:rsidRPr="008B0111">
        <w:rPr>
          <w:sz w:val="20"/>
          <w:szCs w:val="20"/>
          <w:lang w:val="en-GB"/>
        </w:rPr>
        <w:t xml:space="preserve"> of </w:t>
      </w:r>
      <w:r w:rsidRPr="008B0111">
        <w:rPr>
          <w:i/>
          <w:sz w:val="20"/>
          <w:szCs w:val="20"/>
          <w:lang w:val="en-GB"/>
        </w:rPr>
        <w:t>Nephelium lappaceum</w:t>
      </w:r>
      <w:r w:rsidRPr="008B0111">
        <w:rPr>
          <w:sz w:val="20"/>
          <w:szCs w:val="20"/>
          <w:lang w:val="en-GB"/>
        </w:rPr>
        <w:t xml:space="preserve"> showed the highest percentage of RBB degradation which was 82.7%. The photocatalytic degradation of RBB was tested using several parameters</w:t>
      </w:r>
      <w:r w:rsidRPr="008B0111">
        <w:rPr>
          <w:sz w:val="20"/>
          <w:szCs w:val="20"/>
        </w:rPr>
        <w:t>,</w:t>
      </w:r>
      <w:r w:rsidRPr="008B0111">
        <w:rPr>
          <w:sz w:val="20"/>
          <w:szCs w:val="20"/>
          <w:lang w:val="en-GB"/>
        </w:rPr>
        <w:t xml:space="preserve"> such as pH of solution, dosage of catalyst</w:t>
      </w:r>
      <w:r w:rsidRPr="008B0111">
        <w:rPr>
          <w:sz w:val="20"/>
          <w:szCs w:val="20"/>
        </w:rPr>
        <w:t>,</w:t>
      </w:r>
      <w:r w:rsidRPr="008B0111">
        <w:rPr>
          <w:sz w:val="20"/>
          <w:szCs w:val="20"/>
          <w:lang w:val="en-GB"/>
        </w:rPr>
        <w:t xml:space="preserve"> and initial concentration of RBB dye solution. The degradation of RBB was more </w:t>
      </w:r>
      <w:r w:rsidR="00FE4177" w:rsidRPr="008B0111">
        <w:rPr>
          <w:sz w:val="20"/>
          <w:szCs w:val="20"/>
          <w:lang w:val="en-GB"/>
        </w:rPr>
        <w:t>favourable</w:t>
      </w:r>
      <w:r w:rsidRPr="008B0111">
        <w:rPr>
          <w:sz w:val="20"/>
          <w:szCs w:val="20"/>
          <w:lang w:val="en-GB"/>
        </w:rPr>
        <w:t xml:space="preserve"> in acidic conditions which was at pH of 3. A higher amount of catalyst dosage gave a</w:t>
      </w:r>
      <w:r w:rsidR="0011623D" w:rsidRPr="008B0111">
        <w:rPr>
          <w:sz w:val="20"/>
          <w:szCs w:val="20"/>
          <w:lang w:val="en-GB"/>
        </w:rPr>
        <w:t xml:space="preserve"> higher degradation percentage </w:t>
      </w:r>
      <w:r w:rsidRPr="008B0111">
        <w:rPr>
          <w:sz w:val="20"/>
          <w:szCs w:val="20"/>
          <w:lang w:val="en-GB"/>
        </w:rPr>
        <w:t>of RBB. 10 mgL</w:t>
      </w:r>
      <w:r w:rsidRPr="008B0111">
        <w:rPr>
          <w:sz w:val="20"/>
          <w:szCs w:val="20"/>
          <w:vertAlign w:val="superscript"/>
        </w:rPr>
        <w:t>-1</w:t>
      </w:r>
      <w:r w:rsidRPr="008B0111">
        <w:rPr>
          <w:sz w:val="20"/>
          <w:szCs w:val="20"/>
          <w:lang w:val="en-GB"/>
        </w:rPr>
        <w:t xml:space="preserve"> of initial concentration of RBB is shown to be the most effective in photodegradation reaction due to high availability of active site on the surface of catalyst. </w:t>
      </w:r>
    </w:p>
    <w:p w14:paraId="1B822F2F" w14:textId="77777777" w:rsidR="00C93EDB" w:rsidRDefault="00C93EDB" w:rsidP="00A9202B">
      <w:pPr>
        <w:jc w:val="both"/>
        <w:rPr>
          <w:sz w:val="20"/>
          <w:szCs w:val="20"/>
          <w:lang w:val="en-GB"/>
        </w:rPr>
      </w:pPr>
    </w:p>
    <w:p w14:paraId="54F1BF2B" w14:textId="4F701FD6" w:rsidR="00A9202B" w:rsidRPr="008B0111" w:rsidRDefault="00F035AF" w:rsidP="00A9202B">
      <w:pPr>
        <w:jc w:val="both"/>
        <w:rPr>
          <w:sz w:val="20"/>
          <w:szCs w:val="20"/>
          <w:lang w:val="en-GB"/>
        </w:rPr>
      </w:pPr>
      <w:r w:rsidRPr="008B0111">
        <w:rPr>
          <w:sz w:val="20"/>
          <w:szCs w:val="20"/>
          <w:lang w:val="en-GB"/>
        </w:rPr>
        <w:t>The photodegradation of RBB by NiO catalyst obeyed the pseudo first-order reaction because the apparent first-order rate constant (k</w:t>
      </w:r>
      <w:r w:rsidRPr="008B0111">
        <w:rPr>
          <w:sz w:val="20"/>
          <w:szCs w:val="20"/>
          <w:vertAlign w:val="subscript"/>
          <w:lang w:val="en-GB"/>
        </w:rPr>
        <w:t>app</w:t>
      </w:r>
      <w:r w:rsidRPr="008B0111">
        <w:rPr>
          <w:sz w:val="20"/>
          <w:szCs w:val="20"/>
          <w:lang w:val="en-GB"/>
        </w:rPr>
        <w:t>) obtained from the graph of ln (C</w:t>
      </w:r>
      <w:r w:rsidRPr="008B0111">
        <w:rPr>
          <w:sz w:val="20"/>
          <w:szCs w:val="20"/>
          <w:vertAlign w:val="subscript"/>
          <w:lang w:val="en-GB"/>
        </w:rPr>
        <w:t>o</w:t>
      </w:r>
      <w:r w:rsidRPr="008B0111">
        <w:rPr>
          <w:sz w:val="20"/>
          <w:szCs w:val="20"/>
          <w:lang w:val="en-GB"/>
        </w:rPr>
        <w:t>/C</w:t>
      </w:r>
      <w:r w:rsidRPr="008B0111">
        <w:rPr>
          <w:sz w:val="20"/>
          <w:szCs w:val="20"/>
          <w:vertAlign w:val="subscript"/>
          <w:lang w:val="en-GB"/>
        </w:rPr>
        <w:t>t</w:t>
      </w:r>
      <w:r w:rsidRPr="008B0111">
        <w:rPr>
          <w:sz w:val="20"/>
          <w:szCs w:val="20"/>
          <w:lang w:val="en-GB"/>
        </w:rPr>
        <w:t>) with a function of time gave a higher value as the concentration of RBB decreased. There was a significant change in BOD</w:t>
      </w:r>
      <w:r w:rsidRPr="008B0111">
        <w:rPr>
          <w:sz w:val="20"/>
          <w:szCs w:val="20"/>
          <w:vertAlign w:val="subscript"/>
          <w:lang w:val="en-GB"/>
        </w:rPr>
        <w:t>5</w:t>
      </w:r>
      <w:r w:rsidRPr="008B0111">
        <w:rPr>
          <w:sz w:val="20"/>
          <w:szCs w:val="20"/>
          <w:lang w:val="en-GB"/>
        </w:rPr>
        <w:t xml:space="preserve"> and COD at 66.5% and 73.3%</w:t>
      </w:r>
      <w:r w:rsidRPr="008B0111">
        <w:rPr>
          <w:sz w:val="20"/>
          <w:szCs w:val="20"/>
        </w:rPr>
        <w:t>,</w:t>
      </w:r>
      <w:r w:rsidRPr="008B0111">
        <w:rPr>
          <w:sz w:val="20"/>
          <w:szCs w:val="20"/>
          <w:lang w:val="en-GB"/>
        </w:rPr>
        <w:t xml:space="preserve"> respectively, showing that the biodegradability of the RBB solution can be enhanced by the photocatalytic process. The ratio of BOD</w:t>
      </w:r>
      <w:r w:rsidRPr="008B0111">
        <w:rPr>
          <w:sz w:val="20"/>
          <w:szCs w:val="20"/>
          <w:vertAlign w:val="subscript"/>
          <w:lang w:val="en-GB"/>
        </w:rPr>
        <w:t>5</w:t>
      </w:r>
      <w:r w:rsidRPr="008B0111">
        <w:rPr>
          <w:sz w:val="20"/>
          <w:szCs w:val="20"/>
          <w:lang w:val="en-GB"/>
        </w:rPr>
        <w:t xml:space="preserve"> to COD after being treated was 0.60. It stipulated the ability of the final RBB solution to be treated </w:t>
      </w:r>
      <w:r w:rsidRPr="008B0111">
        <w:rPr>
          <w:iCs/>
          <w:sz w:val="20"/>
          <w:szCs w:val="20"/>
          <w:lang w:val="en-GB"/>
        </w:rPr>
        <w:t>via</w:t>
      </w:r>
      <w:r w:rsidRPr="008B0111">
        <w:rPr>
          <w:sz w:val="20"/>
          <w:szCs w:val="20"/>
          <w:lang w:val="en-GB"/>
        </w:rPr>
        <w:t xml:space="preserve"> the photocatalytic method</w:t>
      </w:r>
      <w:r w:rsidRPr="008B0111">
        <w:rPr>
          <w:sz w:val="20"/>
          <w:szCs w:val="20"/>
          <w:lang w:eastAsia="zh-CN"/>
        </w:rPr>
        <w:t>. Furthermore, more instrument was needed in order to examine the pathway mechanism of catalyst synthesized using the electrolysis system and to explore new structural models of the catalyst. For the extension of this work, the system should be applied for degradation of other synthetic dyes and real wastewater should be employed</w:t>
      </w:r>
      <w:r w:rsidR="00F70270" w:rsidRPr="008B0111">
        <w:rPr>
          <w:sz w:val="20"/>
          <w:szCs w:val="20"/>
          <w:lang w:eastAsia="zh-CN"/>
        </w:rPr>
        <w:t>.</w:t>
      </w:r>
    </w:p>
    <w:p w14:paraId="7C930556" w14:textId="77777777" w:rsidR="00A9202B" w:rsidRPr="008B0111" w:rsidRDefault="00A9202B" w:rsidP="00B539A5">
      <w:pPr>
        <w:jc w:val="both"/>
        <w:rPr>
          <w:rFonts w:eastAsia="Calibri"/>
          <w:sz w:val="20"/>
          <w:szCs w:val="20"/>
        </w:rPr>
      </w:pPr>
    </w:p>
    <w:p w14:paraId="2F40A8FB" w14:textId="77777777" w:rsidR="00D759D1" w:rsidRPr="008B0111" w:rsidRDefault="00D759D1" w:rsidP="00410FF1">
      <w:pPr>
        <w:jc w:val="center"/>
        <w:rPr>
          <w:b/>
          <w:sz w:val="20"/>
          <w:szCs w:val="20"/>
          <w:lang w:eastAsia="zh-CN"/>
        </w:rPr>
      </w:pPr>
      <w:r w:rsidRPr="008B0111">
        <w:rPr>
          <w:b/>
          <w:sz w:val="20"/>
          <w:szCs w:val="20"/>
          <w:lang w:eastAsia="zh-CN"/>
        </w:rPr>
        <w:t>Acknowledgement</w:t>
      </w:r>
      <w:r w:rsidR="00F035AF" w:rsidRPr="008B0111">
        <w:rPr>
          <w:b/>
          <w:sz w:val="20"/>
          <w:szCs w:val="20"/>
          <w:lang w:eastAsia="zh-CN"/>
        </w:rPr>
        <w:t>s</w:t>
      </w:r>
    </w:p>
    <w:p w14:paraId="27D8DADA" w14:textId="6C58DAC4" w:rsidR="002B1122" w:rsidRPr="00C93EDB" w:rsidRDefault="00F035AF" w:rsidP="00C93EDB">
      <w:pPr>
        <w:tabs>
          <w:tab w:val="left" w:pos="567"/>
        </w:tabs>
        <w:jc w:val="both"/>
        <w:rPr>
          <w:rFonts w:eastAsia="Calibri"/>
          <w:bCs/>
          <w:sz w:val="20"/>
          <w:szCs w:val="20"/>
        </w:rPr>
      </w:pPr>
      <w:r w:rsidRPr="008B0111">
        <w:rPr>
          <w:rFonts w:eastAsia="Calibri"/>
          <w:bCs/>
          <w:sz w:val="20"/>
          <w:szCs w:val="20"/>
        </w:rPr>
        <w:t>The authors are grateful for the financial support by the Short Term Research Grant (STRG) from Universiti Kuala Lumpur (Grant No. 17004 &amp; 17029), Majlis Amanah Rakyat Malaysia (MARA), the awards of Yayasan Tengku Abdullah Scholarship (YTAS-Muhammad Farhan bin Hanafi), and also the Malaysian Institute of Chemical and Bioengineering Technology, Universiti Kuala Lumpur for their support</w:t>
      </w:r>
      <w:r w:rsidRPr="008B0111">
        <w:rPr>
          <w:sz w:val="20"/>
          <w:szCs w:val="20"/>
          <w:lang w:val="en-MY" w:eastAsia="en-IN"/>
        </w:rPr>
        <w:t>.</w:t>
      </w:r>
    </w:p>
    <w:p w14:paraId="4550B696" w14:textId="77777777" w:rsidR="00EA7B67" w:rsidRPr="008B0111" w:rsidRDefault="00EA7B67" w:rsidP="00410FF1">
      <w:pPr>
        <w:jc w:val="center"/>
        <w:rPr>
          <w:b/>
          <w:sz w:val="20"/>
          <w:szCs w:val="20"/>
        </w:rPr>
      </w:pPr>
    </w:p>
    <w:p w14:paraId="447966B8" w14:textId="27CD6FFD" w:rsidR="006F5A21" w:rsidRDefault="00D759D1" w:rsidP="006F5A21">
      <w:pPr>
        <w:jc w:val="center"/>
        <w:rPr>
          <w:b/>
          <w:sz w:val="20"/>
          <w:szCs w:val="20"/>
        </w:rPr>
      </w:pPr>
      <w:r w:rsidRPr="008B0111">
        <w:rPr>
          <w:b/>
          <w:sz w:val="20"/>
          <w:szCs w:val="20"/>
        </w:rPr>
        <w:t>References</w:t>
      </w:r>
    </w:p>
    <w:p w14:paraId="0F4E0E36" w14:textId="77777777" w:rsidR="00C93EDB" w:rsidRPr="008B0111" w:rsidRDefault="00C93EDB" w:rsidP="006F5A21">
      <w:pPr>
        <w:jc w:val="center"/>
        <w:rPr>
          <w:b/>
          <w:sz w:val="20"/>
          <w:szCs w:val="20"/>
        </w:rPr>
      </w:pPr>
    </w:p>
    <w:p w14:paraId="582609EE" w14:textId="77777777"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Li, X.</w:t>
      </w:r>
      <w:r w:rsidR="00C93EDB" w:rsidRPr="00C93EDB">
        <w:rPr>
          <w:rFonts w:ascii="Times New Roman" w:hAnsi="Times New Roman"/>
          <w:sz w:val="20"/>
          <w:szCs w:val="20"/>
        </w:rPr>
        <w:t xml:space="preserve"> </w:t>
      </w:r>
      <w:r w:rsidRPr="00C93EDB">
        <w:rPr>
          <w:rFonts w:ascii="Times New Roman" w:hAnsi="Times New Roman"/>
          <w:sz w:val="20"/>
          <w:szCs w:val="20"/>
        </w:rPr>
        <w:t>K., Ji, W.</w:t>
      </w:r>
      <w:r w:rsidR="00C93EDB" w:rsidRPr="00C93EDB">
        <w:rPr>
          <w:rFonts w:ascii="Times New Roman" w:hAnsi="Times New Roman"/>
          <w:sz w:val="20"/>
          <w:szCs w:val="20"/>
        </w:rPr>
        <w:t xml:space="preserve"> </w:t>
      </w:r>
      <w:r w:rsidRPr="00C93EDB">
        <w:rPr>
          <w:rFonts w:ascii="Times New Roman" w:hAnsi="Times New Roman"/>
          <w:sz w:val="20"/>
          <w:szCs w:val="20"/>
        </w:rPr>
        <w:t>J., Zhao, J.,</w:t>
      </w:r>
      <w:r w:rsidR="00485BD0" w:rsidRPr="00C93EDB">
        <w:rPr>
          <w:rFonts w:ascii="Times New Roman" w:hAnsi="Times New Roman"/>
          <w:sz w:val="20"/>
          <w:szCs w:val="20"/>
        </w:rPr>
        <w:t xml:space="preserve"> </w:t>
      </w:r>
      <w:r w:rsidRPr="00C93EDB">
        <w:rPr>
          <w:rFonts w:ascii="Times New Roman" w:hAnsi="Times New Roman"/>
          <w:sz w:val="20"/>
          <w:szCs w:val="20"/>
        </w:rPr>
        <w:t>Wang, S.</w:t>
      </w:r>
      <w:r w:rsidR="00C93EDB" w:rsidRPr="00C93EDB">
        <w:rPr>
          <w:rFonts w:ascii="Times New Roman" w:hAnsi="Times New Roman"/>
          <w:sz w:val="20"/>
          <w:szCs w:val="20"/>
        </w:rPr>
        <w:t xml:space="preserve"> </w:t>
      </w:r>
      <w:r w:rsidRPr="00C93EDB">
        <w:rPr>
          <w:rFonts w:ascii="Times New Roman" w:hAnsi="Times New Roman"/>
          <w:sz w:val="20"/>
          <w:szCs w:val="20"/>
        </w:rPr>
        <w:t>J.</w:t>
      </w:r>
      <w:r w:rsidR="00C93EDB" w:rsidRPr="00C93EDB">
        <w:rPr>
          <w:rFonts w:ascii="Times New Roman" w:hAnsi="Times New Roman"/>
          <w:sz w:val="20"/>
          <w:szCs w:val="20"/>
        </w:rPr>
        <w:t xml:space="preserve"> and </w:t>
      </w:r>
      <w:r w:rsidR="00485BD0" w:rsidRPr="00C93EDB">
        <w:rPr>
          <w:rFonts w:ascii="Times New Roman" w:hAnsi="Times New Roman"/>
          <w:sz w:val="20"/>
          <w:szCs w:val="20"/>
        </w:rPr>
        <w:t>Au, C.</w:t>
      </w:r>
      <w:r w:rsidR="00C93EDB" w:rsidRPr="00C93EDB">
        <w:rPr>
          <w:rFonts w:ascii="Times New Roman" w:hAnsi="Times New Roman"/>
          <w:sz w:val="20"/>
          <w:szCs w:val="20"/>
        </w:rPr>
        <w:t xml:space="preserve"> </w:t>
      </w:r>
      <w:r w:rsidR="00485BD0" w:rsidRPr="00C93EDB">
        <w:rPr>
          <w:rFonts w:ascii="Times New Roman" w:hAnsi="Times New Roman"/>
          <w:sz w:val="20"/>
          <w:szCs w:val="20"/>
        </w:rPr>
        <w:t>T.</w:t>
      </w:r>
      <w:r w:rsidRPr="00C93EDB">
        <w:rPr>
          <w:rFonts w:ascii="Times New Roman" w:hAnsi="Times New Roman"/>
          <w:sz w:val="20"/>
          <w:szCs w:val="20"/>
        </w:rPr>
        <w:t xml:space="preserve"> (2005). Ammonia decomposition over Ru and Ni catalysts supported on fumed SiO</w:t>
      </w:r>
      <w:r w:rsidRPr="00C93EDB">
        <w:rPr>
          <w:rFonts w:ascii="Times New Roman" w:hAnsi="Times New Roman"/>
          <w:sz w:val="20"/>
          <w:szCs w:val="20"/>
          <w:vertAlign w:val="subscript"/>
        </w:rPr>
        <w:t>2</w:t>
      </w:r>
      <w:r w:rsidR="00485BD0" w:rsidRPr="00C93EDB">
        <w:rPr>
          <w:rFonts w:ascii="Times New Roman" w:hAnsi="Times New Roman"/>
          <w:sz w:val="20"/>
          <w:szCs w:val="20"/>
        </w:rPr>
        <w:t>, MCM-41 a</w:t>
      </w:r>
      <w:r w:rsidRPr="00C93EDB">
        <w:rPr>
          <w:rFonts w:ascii="Times New Roman" w:hAnsi="Times New Roman"/>
          <w:sz w:val="20"/>
          <w:szCs w:val="20"/>
        </w:rPr>
        <w:t xml:space="preserve">nd SBA-15. </w:t>
      </w:r>
      <w:r w:rsidRPr="00C93EDB">
        <w:rPr>
          <w:rFonts w:ascii="Times New Roman" w:hAnsi="Times New Roman"/>
          <w:i/>
          <w:iCs/>
          <w:sz w:val="20"/>
          <w:szCs w:val="20"/>
        </w:rPr>
        <w:t>Jo</w:t>
      </w:r>
      <w:r w:rsidR="00485BD0" w:rsidRPr="00C93EDB">
        <w:rPr>
          <w:rFonts w:ascii="Times New Roman" w:hAnsi="Times New Roman"/>
          <w:i/>
          <w:iCs/>
          <w:sz w:val="20"/>
          <w:szCs w:val="20"/>
        </w:rPr>
        <w:t>urnal of Catalysis,</w:t>
      </w:r>
      <w:r w:rsidR="00485BD0" w:rsidRPr="00C93EDB">
        <w:rPr>
          <w:rFonts w:ascii="Times New Roman" w:hAnsi="Times New Roman"/>
          <w:sz w:val="20"/>
          <w:szCs w:val="20"/>
        </w:rPr>
        <w:t xml:space="preserve"> 236(2)</w:t>
      </w:r>
      <w:r w:rsidR="00C93EDB" w:rsidRPr="00C93EDB">
        <w:rPr>
          <w:rFonts w:ascii="Times New Roman" w:hAnsi="Times New Roman"/>
          <w:sz w:val="20"/>
          <w:szCs w:val="20"/>
        </w:rPr>
        <w:t>:</w:t>
      </w:r>
      <w:r w:rsidR="00485BD0" w:rsidRPr="00C93EDB">
        <w:rPr>
          <w:rFonts w:ascii="Times New Roman" w:hAnsi="Times New Roman"/>
          <w:sz w:val="20"/>
          <w:szCs w:val="20"/>
        </w:rPr>
        <w:t xml:space="preserve"> 181-</w:t>
      </w:r>
      <w:r w:rsidRPr="00C93EDB">
        <w:rPr>
          <w:rFonts w:ascii="Times New Roman" w:hAnsi="Times New Roman"/>
          <w:sz w:val="20"/>
          <w:szCs w:val="20"/>
        </w:rPr>
        <w:t>189.</w:t>
      </w:r>
    </w:p>
    <w:p w14:paraId="45858C03" w14:textId="57A2CDA4"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Singh, A., Kumar, V.</w:t>
      </w:r>
      <w:r w:rsidR="00C93EDB" w:rsidRPr="00C93EDB">
        <w:rPr>
          <w:rFonts w:ascii="Times New Roman" w:hAnsi="Times New Roman"/>
          <w:sz w:val="20"/>
          <w:szCs w:val="20"/>
        </w:rPr>
        <w:t xml:space="preserve"> and </w:t>
      </w:r>
      <w:r w:rsidRPr="00C93EDB">
        <w:rPr>
          <w:rFonts w:ascii="Times New Roman" w:hAnsi="Times New Roman"/>
          <w:sz w:val="20"/>
          <w:szCs w:val="20"/>
        </w:rPr>
        <w:t>Srivastava, J.</w:t>
      </w:r>
      <w:r w:rsidR="00C93EDB" w:rsidRPr="00C93EDB">
        <w:rPr>
          <w:rFonts w:ascii="Times New Roman" w:hAnsi="Times New Roman"/>
          <w:sz w:val="20"/>
          <w:szCs w:val="20"/>
        </w:rPr>
        <w:t xml:space="preserve"> </w:t>
      </w:r>
      <w:r w:rsidRPr="00C93EDB">
        <w:rPr>
          <w:rFonts w:ascii="Times New Roman" w:hAnsi="Times New Roman"/>
          <w:sz w:val="20"/>
          <w:szCs w:val="20"/>
        </w:rPr>
        <w:t xml:space="preserve">N. (2013). Assessment of bioremediation of oil and phenol contents in refinery wastewater via bacterial consortium. </w:t>
      </w:r>
      <w:r w:rsidRPr="00C93EDB">
        <w:rPr>
          <w:rFonts w:ascii="Times New Roman" w:hAnsi="Times New Roman"/>
          <w:i/>
          <w:iCs/>
          <w:sz w:val="20"/>
          <w:szCs w:val="20"/>
        </w:rPr>
        <w:t>Journal Petroleum Enviro</w:t>
      </w:r>
      <w:r w:rsidR="00485BD0" w:rsidRPr="00C93EDB">
        <w:rPr>
          <w:rFonts w:ascii="Times New Roman" w:hAnsi="Times New Roman"/>
          <w:i/>
          <w:iCs/>
          <w:sz w:val="20"/>
          <w:szCs w:val="20"/>
        </w:rPr>
        <w:t>nment Biotechnology</w:t>
      </w:r>
      <w:r w:rsidR="00485BD0" w:rsidRPr="00C93EDB">
        <w:rPr>
          <w:rFonts w:ascii="Times New Roman" w:hAnsi="Times New Roman"/>
          <w:sz w:val="20"/>
          <w:szCs w:val="20"/>
        </w:rPr>
        <w:t>, 4</w:t>
      </w:r>
      <w:r w:rsidR="00C93EDB">
        <w:rPr>
          <w:rFonts w:ascii="Times New Roman" w:hAnsi="Times New Roman"/>
          <w:sz w:val="20"/>
          <w:szCs w:val="20"/>
        </w:rPr>
        <w:t>:</w:t>
      </w:r>
      <w:r w:rsidR="00485BD0" w:rsidRPr="00C93EDB">
        <w:rPr>
          <w:rFonts w:ascii="Times New Roman" w:hAnsi="Times New Roman"/>
          <w:sz w:val="20"/>
          <w:szCs w:val="20"/>
        </w:rPr>
        <w:t xml:space="preserve"> 145-151</w:t>
      </w:r>
      <w:r w:rsidR="00931C64" w:rsidRPr="00C93EDB">
        <w:rPr>
          <w:rFonts w:ascii="Times New Roman" w:hAnsi="Times New Roman"/>
          <w:sz w:val="20"/>
          <w:szCs w:val="20"/>
        </w:rPr>
        <w:t>.</w:t>
      </w:r>
    </w:p>
    <w:p w14:paraId="4364F752" w14:textId="2D9C1AFC" w:rsidR="00C93EDB" w:rsidRPr="00C93EDB" w:rsidRDefault="00485BD0"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bCs/>
          <w:sz w:val="20"/>
          <w:szCs w:val="20"/>
        </w:rPr>
        <w:t>Sapawe</w:t>
      </w:r>
      <w:r w:rsidRPr="00C93EDB">
        <w:rPr>
          <w:rFonts w:ascii="Times New Roman" w:hAnsi="Times New Roman"/>
          <w:sz w:val="20"/>
          <w:szCs w:val="20"/>
        </w:rPr>
        <w:t>, N., Jalil, A.</w:t>
      </w:r>
      <w:r w:rsidR="00C93EDB">
        <w:rPr>
          <w:rFonts w:ascii="Times New Roman" w:hAnsi="Times New Roman"/>
          <w:sz w:val="20"/>
          <w:szCs w:val="20"/>
        </w:rPr>
        <w:t xml:space="preserve"> </w:t>
      </w:r>
      <w:r w:rsidRPr="00C93EDB">
        <w:rPr>
          <w:rFonts w:ascii="Times New Roman" w:hAnsi="Times New Roman"/>
          <w:sz w:val="20"/>
          <w:szCs w:val="20"/>
        </w:rPr>
        <w:t>A., Triwahyono, S., Sah, R.</w:t>
      </w:r>
      <w:r w:rsidR="00C93EDB">
        <w:rPr>
          <w:rFonts w:ascii="Times New Roman" w:hAnsi="Times New Roman"/>
          <w:sz w:val="20"/>
          <w:szCs w:val="20"/>
        </w:rPr>
        <w:t xml:space="preserve"> </w:t>
      </w:r>
      <w:r w:rsidRPr="00C93EDB">
        <w:rPr>
          <w:rFonts w:ascii="Times New Roman" w:hAnsi="Times New Roman"/>
          <w:sz w:val="20"/>
          <w:szCs w:val="20"/>
        </w:rPr>
        <w:t>N.</w:t>
      </w:r>
      <w:r w:rsidR="00C93EDB">
        <w:rPr>
          <w:rFonts w:ascii="Times New Roman" w:hAnsi="Times New Roman"/>
          <w:sz w:val="20"/>
          <w:szCs w:val="20"/>
        </w:rPr>
        <w:t xml:space="preserve"> </w:t>
      </w:r>
      <w:r w:rsidRPr="00C93EDB">
        <w:rPr>
          <w:rFonts w:ascii="Times New Roman" w:hAnsi="Times New Roman"/>
          <w:sz w:val="20"/>
          <w:szCs w:val="20"/>
        </w:rPr>
        <w:t>R.</w:t>
      </w:r>
      <w:r w:rsidR="00C93EDB">
        <w:rPr>
          <w:rFonts w:ascii="Times New Roman" w:hAnsi="Times New Roman"/>
          <w:sz w:val="20"/>
          <w:szCs w:val="20"/>
        </w:rPr>
        <w:t xml:space="preserve"> </w:t>
      </w:r>
      <w:r w:rsidRPr="00C93EDB">
        <w:rPr>
          <w:rFonts w:ascii="Times New Roman" w:hAnsi="Times New Roman"/>
          <w:sz w:val="20"/>
          <w:szCs w:val="20"/>
        </w:rPr>
        <w:t>A., Jusoh, N.</w:t>
      </w:r>
      <w:r w:rsidR="00C93EDB">
        <w:rPr>
          <w:rFonts w:ascii="Times New Roman" w:hAnsi="Times New Roman"/>
          <w:sz w:val="20"/>
          <w:szCs w:val="20"/>
        </w:rPr>
        <w:t xml:space="preserve"> </w:t>
      </w:r>
      <w:r w:rsidRPr="00C93EDB">
        <w:rPr>
          <w:rFonts w:ascii="Times New Roman" w:hAnsi="Times New Roman"/>
          <w:sz w:val="20"/>
          <w:szCs w:val="20"/>
        </w:rPr>
        <w:t>W.</w:t>
      </w:r>
      <w:r w:rsidR="00C93EDB">
        <w:rPr>
          <w:rFonts w:ascii="Times New Roman" w:hAnsi="Times New Roman"/>
          <w:sz w:val="20"/>
          <w:szCs w:val="20"/>
        </w:rPr>
        <w:t xml:space="preserve"> </w:t>
      </w:r>
      <w:r w:rsidRPr="00C93EDB">
        <w:rPr>
          <w:rFonts w:ascii="Times New Roman" w:hAnsi="Times New Roman"/>
          <w:sz w:val="20"/>
          <w:szCs w:val="20"/>
        </w:rPr>
        <w:t>C.</w:t>
      </w:r>
      <w:r w:rsidR="00C93EDB">
        <w:rPr>
          <w:rFonts w:ascii="Times New Roman" w:hAnsi="Times New Roman"/>
          <w:sz w:val="20"/>
          <w:szCs w:val="20"/>
        </w:rPr>
        <w:t xml:space="preserve"> and</w:t>
      </w:r>
      <w:r w:rsidRPr="00C93EDB">
        <w:rPr>
          <w:rFonts w:ascii="Times New Roman" w:hAnsi="Times New Roman"/>
          <w:sz w:val="20"/>
          <w:szCs w:val="20"/>
        </w:rPr>
        <w:t xml:space="preserve"> Hairom, N.</w:t>
      </w:r>
      <w:r w:rsidR="00C93EDB">
        <w:rPr>
          <w:rFonts w:ascii="Times New Roman" w:hAnsi="Times New Roman"/>
          <w:sz w:val="20"/>
          <w:szCs w:val="20"/>
        </w:rPr>
        <w:t xml:space="preserve"> </w:t>
      </w:r>
      <w:r w:rsidRPr="00C93EDB">
        <w:rPr>
          <w:rFonts w:ascii="Times New Roman" w:hAnsi="Times New Roman"/>
          <w:sz w:val="20"/>
          <w:szCs w:val="20"/>
        </w:rPr>
        <w:t>H.</w:t>
      </w:r>
      <w:r w:rsidR="00C93EDB">
        <w:rPr>
          <w:rFonts w:ascii="Times New Roman" w:hAnsi="Times New Roman"/>
          <w:sz w:val="20"/>
          <w:szCs w:val="20"/>
        </w:rPr>
        <w:t xml:space="preserve"> </w:t>
      </w:r>
      <w:r w:rsidRPr="00C93EDB">
        <w:rPr>
          <w:rFonts w:ascii="Times New Roman" w:hAnsi="Times New Roman"/>
          <w:sz w:val="20"/>
          <w:szCs w:val="20"/>
        </w:rPr>
        <w:t xml:space="preserve">H. (2013). Electrochemical strategy for grown ZnO nanoparticles deposited onto HY zeolite with enhanced photodecolorization of methylene blue: Effect of the formation of Si-O-Zn bonds. </w:t>
      </w:r>
      <w:r w:rsidRPr="00C93EDB">
        <w:rPr>
          <w:rFonts w:ascii="Times New Roman" w:hAnsi="Times New Roman"/>
          <w:i/>
          <w:sz w:val="20"/>
          <w:szCs w:val="20"/>
        </w:rPr>
        <w:t xml:space="preserve">Applied Catalysis A: General, </w:t>
      </w:r>
      <w:r w:rsidRPr="00C93EDB">
        <w:rPr>
          <w:rFonts w:ascii="Times New Roman" w:hAnsi="Times New Roman"/>
          <w:sz w:val="20"/>
          <w:szCs w:val="20"/>
        </w:rPr>
        <w:t>456</w:t>
      </w:r>
      <w:r w:rsidR="00C93EDB">
        <w:rPr>
          <w:rFonts w:ascii="Times New Roman" w:hAnsi="Times New Roman"/>
          <w:sz w:val="20"/>
          <w:szCs w:val="20"/>
        </w:rPr>
        <w:t>:</w:t>
      </w:r>
      <w:r w:rsidRPr="00C93EDB">
        <w:rPr>
          <w:rFonts w:ascii="Times New Roman" w:hAnsi="Times New Roman"/>
          <w:sz w:val="20"/>
          <w:szCs w:val="20"/>
        </w:rPr>
        <w:t xml:space="preserve"> 144-158. </w:t>
      </w:r>
    </w:p>
    <w:p w14:paraId="2B2F1DC3" w14:textId="77777777" w:rsidR="00C93EDB" w:rsidRDefault="00485BD0"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bCs/>
          <w:sz w:val="20"/>
          <w:szCs w:val="20"/>
        </w:rPr>
        <w:t>Sapawe</w:t>
      </w:r>
      <w:r w:rsidRPr="00C93EDB">
        <w:rPr>
          <w:rFonts w:ascii="Times New Roman" w:hAnsi="Times New Roman"/>
          <w:sz w:val="20"/>
          <w:szCs w:val="20"/>
        </w:rPr>
        <w:t>, N., Jalil, A.</w:t>
      </w:r>
      <w:r w:rsidR="00C93EDB">
        <w:rPr>
          <w:rFonts w:ascii="Times New Roman" w:hAnsi="Times New Roman"/>
          <w:sz w:val="20"/>
          <w:szCs w:val="20"/>
        </w:rPr>
        <w:t xml:space="preserve"> </w:t>
      </w:r>
      <w:r w:rsidRPr="00C93EDB">
        <w:rPr>
          <w:rFonts w:ascii="Times New Roman" w:hAnsi="Times New Roman"/>
          <w:sz w:val="20"/>
          <w:szCs w:val="20"/>
        </w:rPr>
        <w:t>A.</w:t>
      </w:r>
      <w:r w:rsidR="00C93EDB">
        <w:rPr>
          <w:rFonts w:ascii="Times New Roman" w:hAnsi="Times New Roman"/>
          <w:sz w:val="20"/>
          <w:szCs w:val="20"/>
        </w:rPr>
        <w:t xml:space="preserve"> and </w:t>
      </w:r>
      <w:r w:rsidRPr="00C93EDB">
        <w:rPr>
          <w:rFonts w:ascii="Times New Roman" w:hAnsi="Times New Roman"/>
          <w:sz w:val="20"/>
          <w:szCs w:val="20"/>
        </w:rPr>
        <w:t>Triwahyono, S. (2013). One-pot electro-synthesis of ZrO</w:t>
      </w:r>
      <w:r w:rsidRPr="00C93EDB">
        <w:rPr>
          <w:rFonts w:ascii="Times New Roman" w:hAnsi="Times New Roman"/>
          <w:sz w:val="20"/>
          <w:szCs w:val="20"/>
          <w:vertAlign w:val="subscript"/>
        </w:rPr>
        <w:t>2</w:t>
      </w:r>
      <w:r w:rsidRPr="00C93EDB">
        <w:rPr>
          <w:rFonts w:ascii="Times New Roman" w:hAnsi="Times New Roman"/>
          <w:sz w:val="20"/>
          <w:szCs w:val="20"/>
        </w:rPr>
        <w:t xml:space="preserve">-ZnO/HY nanocomposite for photocatalytic decolorization of various dye-contaminants. </w:t>
      </w:r>
      <w:r w:rsidRPr="00C93EDB">
        <w:rPr>
          <w:rFonts w:ascii="Times New Roman" w:hAnsi="Times New Roman"/>
          <w:i/>
          <w:sz w:val="20"/>
          <w:szCs w:val="20"/>
        </w:rPr>
        <w:t>Chemical Engineering Journal</w:t>
      </w:r>
      <w:r w:rsidRPr="00C93EDB">
        <w:rPr>
          <w:rFonts w:ascii="Times New Roman" w:hAnsi="Times New Roman"/>
          <w:sz w:val="20"/>
          <w:szCs w:val="20"/>
        </w:rPr>
        <w:t>, 225</w:t>
      </w:r>
      <w:r w:rsidR="00C93EDB">
        <w:rPr>
          <w:rFonts w:ascii="Times New Roman" w:hAnsi="Times New Roman"/>
          <w:sz w:val="20"/>
          <w:szCs w:val="20"/>
        </w:rPr>
        <w:t>:</w:t>
      </w:r>
      <w:r w:rsidRPr="00C93EDB">
        <w:rPr>
          <w:rFonts w:ascii="Times New Roman" w:hAnsi="Times New Roman"/>
          <w:sz w:val="20"/>
          <w:szCs w:val="20"/>
        </w:rPr>
        <w:t xml:space="preserve"> 254-265.</w:t>
      </w:r>
    </w:p>
    <w:p w14:paraId="6B299805" w14:textId="1A447509"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lastRenderedPageBreak/>
        <w:t>Venu, G.</w:t>
      </w:r>
      <w:r w:rsidR="00C93EDB">
        <w:rPr>
          <w:rFonts w:ascii="Times New Roman" w:hAnsi="Times New Roman"/>
          <w:sz w:val="20"/>
          <w:szCs w:val="20"/>
        </w:rPr>
        <w:t xml:space="preserve"> </w:t>
      </w:r>
      <w:r w:rsidRPr="00C93EDB">
        <w:rPr>
          <w:rFonts w:ascii="Times New Roman" w:hAnsi="Times New Roman"/>
          <w:sz w:val="20"/>
          <w:szCs w:val="20"/>
        </w:rPr>
        <w:t>D.</w:t>
      </w:r>
      <w:r w:rsidR="00C93EDB">
        <w:rPr>
          <w:rFonts w:ascii="Times New Roman" w:hAnsi="Times New Roman"/>
          <w:sz w:val="20"/>
          <w:szCs w:val="20"/>
        </w:rPr>
        <w:t xml:space="preserve"> and </w:t>
      </w:r>
      <w:r w:rsidRPr="00C93EDB">
        <w:rPr>
          <w:rFonts w:ascii="Times New Roman" w:hAnsi="Times New Roman"/>
          <w:sz w:val="20"/>
          <w:szCs w:val="20"/>
        </w:rPr>
        <w:t>Sahle, E.</w:t>
      </w:r>
      <w:r w:rsidR="00C93EDB">
        <w:rPr>
          <w:rFonts w:ascii="Times New Roman" w:hAnsi="Times New Roman"/>
          <w:sz w:val="20"/>
          <w:szCs w:val="20"/>
        </w:rPr>
        <w:t xml:space="preserve"> </w:t>
      </w:r>
      <w:r w:rsidRPr="00C93EDB">
        <w:rPr>
          <w:rFonts w:ascii="Times New Roman" w:hAnsi="Times New Roman"/>
          <w:sz w:val="20"/>
          <w:szCs w:val="20"/>
        </w:rPr>
        <w:t xml:space="preserve">E. (2008). Catalytic oxidation of dimethyl sulfide with ozone: effects of promoter and physico-chemical properties of metal oxide catalysts. </w:t>
      </w:r>
      <w:r w:rsidRPr="00C93EDB">
        <w:rPr>
          <w:rFonts w:ascii="Times New Roman" w:hAnsi="Times New Roman"/>
          <w:i/>
          <w:iCs/>
          <w:sz w:val="20"/>
          <w:szCs w:val="20"/>
        </w:rPr>
        <w:t xml:space="preserve">Applied Catalyst </w:t>
      </w:r>
      <w:r w:rsidR="00485BD0" w:rsidRPr="00C93EDB">
        <w:rPr>
          <w:rFonts w:ascii="Times New Roman" w:hAnsi="Times New Roman"/>
          <w:i/>
          <w:iCs/>
          <w:sz w:val="20"/>
          <w:szCs w:val="20"/>
        </w:rPr>
        <w:t xml:space="preserve">A: </w:t>
      </w:r>
      <w:r w:rsidR="00931C64" w:rsidRPr="00C93EDB">
        <w:rPr>
          <w:rFonts w:ascii="Times New Roman" w:hAnsi="Times New Roman"/>
          <w:i/>
          <w:iCs/>
          <w:sz w:val="20"/>
          <w:szCs w:val="20"/>
        </w:rPr>
        <w:t>General</w:t>
      </w:r>
      <w:r w:rsidR="00931C64" w:rsidRPr="00C93EDB">
        <w:rPr>
          <w:rFonts w:ascii="Times New Roman" w:hAnsi="Times New Roman"/>
          <w:sz w:val="20"/>
          <w:szCs w:val="20"/>
        </w:rPr>
        <w:t>, 348(1)</w:t>
      </w:r>
      <w:r w:rsidR="00C93EDB">
        <w:rPr>
          <w:rFonts w:ascii="Times New Roman" w:hAnsi="Times New Roman"/>
          <w:sz w:val="20"/>
          <w:szCs w:val="20"/>
        </w:rPr>
        <w:t>:</w:t>
      </w:r>
      <w:r w:rsidR="00931C64" w:rsidRPr="00C93EDB">
        <w:rPr>
          <w:rFonts w:ascii="Times New Roman" w:hAnsi="Times New Roman"/>
          <w:sz w:val="20"/>
          <w:szCs w:val="20"/>
        </w:rPr>
        <w:t xml:space="preserve"> 86-</w:t>
      </w:r>
      <w:r w:rsidRPr="00C93EDB">
        <w:rPr>
          <w:rFonts w:ascii="Times New Roman" w:hAnsi="Times New Roman"/>
          <w:sz w:val="20"/>
          <w:szCs w:val="20"/>
        </w:rPr>
        <w:t>93</w:t>
      </w:r>
      <w:r w:rsidR="00931C64" w:rsidRPr="00C93EDB">
        <w:rPr>
          <w:rFonts w:ascii="Times New Roman" w:hAnsi="Times New Roman"/>
          <w:sz w:val="20"/>
          <w:szCs w:val="20"/>
        </w:rPr>
        <w:t>.</w:t>
      </w:r>
    </w:p>
    <w:p w14:paraId="7DD5FBCA" w14:textId="20DDDAE3"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Bokare, A.</w:t>
      </w:r>
      <w:r w:rsidR="00C93EDB">
        <w:rPr>
          <w:rFonts w:ascii="Times New Roman" w:hAnsi="Times New Roman"/>
          <w:sz w:val="20"/>
          <w:szCs w:val="20"/>
        </w:rPr>
        <w:t xml:space="preserve"> </w:t>
      </w:r>
      <w:r w:rsidRPr="00C93EDB">
        <w:rPr>
          <w:rFonts w:ascii="Times New Roman" w:hAnsi="Times New Roman"/>
          <w:sz w:val="20"/>
          <w:szCs w:val="20"/>
        </w:rPr>
        <w:t>D., Chikate, R.</w:t>
      </w:r>
      <w:r w:rsidR="00C93EDB">
        <w:rPr>
          <w:rFonts w:ascii="Times New Roman" w:hAnsi="Times New Roman"/>
          <w:sz w:val="20"/>
          <w:szCs w:val="20"/>
        </w:rPr>
        <w:t xml:space="preserve"> </w:t>
      </w:r>
      <w:r w:rsidRPr="00C93EDB">
        <w:rPr>
          <w:rFonts w:ascii="Times New Roman" w:hAnsi="Times New Roman"/>
          <w:sz w:val="20"/>
          <w:szCs w:val="20"/>
        </w:rPr>
        <w:t>C., Rode, C.</w:t>
      </w:r>
      <w:r w:rsidR="00C93EDB">
        <w:rPr>
          <w:rFonts w:ascii="Times New Roman" w:hAnsi="Times New Roman"/>
          <w:sz w:val="20"/>
          <w:szCs w:val="20"/>
        </w:rPr>
        <w:t xml:space="preserve"> </w:t>
      </w:r>
      <w:r w:rsidRPr="00C93EDB">
        <w:rPr>
          <w:rFonts w:ascii="Times New Roman" w:hAnsi="Times New Roman"/>
          <w:sz w:val="20"/>
          <w:szCs w:val="20"/>
        </w:rPr>
        <w:t>V.</w:t>
      </w:r>
      <w:r w:rsidR="00C93EDB">
        <w:rPr>
          <w:rFonts w:ascii="Times New Roman" w:hAnsi="Times New Roman"/>
          <w:sz w:val="20"/>
          <w:szCs w:val="20"/>
        </w:rPr>
        <w:t xml:space="preserve"> and </w:t>
      </w:r>
      <w:r w:rsidRPr="00C93EDB">
        <w:rPr>
          <w:rFonts w:ascii="Times New Roman" w:hAnsi="Times New Roman"/>
          <w:sz w:val="20"/>
          <w:szCs w:val="20"/>
        </w:rPr>
        <w:t>Paknikar, K.</w:t>
      </w:r>
      <w:r w:rsidR="00C93EDB">
        <w:rPr>
          <w:rFonts w:ascii="Times New Roman" w:hAnsi="Times New Roman"/>
          <w:sz w:val="20"/>
          <w:szCs w:val="20"/>
        </w:rPr>
        <w:t xml:space="preserve"> </w:t>
      </w:r>
      <w:r w:rsidRPr="00C93EDB">
        <w:rPr>
          <w:rFonts w:ascii="Times New Roman" w:hAnsi="Times New Roman"/>
          <w:sz w:val="20"/>
          <w:szCs w:val="20"/>
        </w:rPr>
        <w:t>M.  (2008). Iron-nickel bimetallic nanopartilcles for reductive degradation of azo dye Ora</w:t>
      </w:r>
      <w:r w:rsidR="00485BD0" w:rsidRPr="00C93EDB">
        <w:rPr>
          <w:rFonts w:ascii="Times New Roman" w:hAnsi="Times New Roman"/>
          <w:sz w:val="20"/>
          <w:szCs w:val="20"/>
        </w:rPr>
        <w:t>nge G in aqueous solution.</w:t>
      </w:r>
      <w:r w:rsidRPr="00C93EDB">
        <w:rPr>
          <w:rFonts w:ascii="Times New Roman" w:hAnsi="Times New Roman"/>
          <w:sz w:val="20"/>
          <w:szCs w:val="20"/>
        </w:rPr>
        <w:t xml:space="preserve"> </w:t>
      </w:r>
      <w:r w:rsidRPr="00C93EDB">
        <w:rPr>
          <w:rFonts w:ascii="Times New Roman" w:hAnsi="Times New Roman"/>
          <w:i/>
          <w:iCs/>
          <w:sz w:val="20"/>
          <w:szCs w:val="20"/>
        </w:rPr>
        <w:t>Applied Catalysis</w:t>
      </w:r>
      <w:r w:rsidR="00485BD0" w:rsidRPr="00C93EDB">
        <w:rPr>
          <w:rFonts w:ascii="Times New Roman" w:hAnsi="Times New Roman"/>
          <w:i/>
          <w:iCs/>
          <w:sz w:val="20"/>
          <w:szCs w:val="20"/>
        </w:rPr>
        <w:t xml:space="preserve"> B: Environmental</w:t>
      </w:r>
      <w:r w:rsidR="00C93EDB">
        <w:rPr>
          <w:rFonts w:ascii="Times New Roman" w:hAnsi="Times New Roman"/>
          <w:i/>
          <w:iCs/>
          <w:sz w:val="20"/>
          <w:szCs w:val="20"/>
        </w:rPr>
        <w:t xml:space="preserve">, </w:t>
      </w:r>
      <w:r w:rsidRPr="00C93EDB">
        <w:rPr>
          <w:rFonts w:ascii="Times New Roman" w:hAnsi="Times New Roman"/>
          <w:sz w:val="20"/>
          <w:szCs w:val="20"/>
        </w:rPr>
        <w:t>79</w:t>
      </w:r>
      <w:r w:rsidR="00C93EDB" w:rsidRPr="00C93EDB">
        <w:rPr>
          <w:rFonts w:ascii="Times New Roman" w:hAnsi="Times New Roman"/>
          <w:sz w:val="20"/>
          <w:szCs w:val="20"/>
        </w:rPr>
        <w:t xml:space="preserve">: </w:t>
      </w:r>
      <w:r w:rsidR="00931C64" w:rsidRPr="00C93EDB">
        <w:rPr>
          <w:rFonts w:ascii="Times New Roman" w:hAnsi="Times New Roman"/>
          <w:sz w:val="20"/>
          <w:szCs w:val="20"/>
        </w:rPr>
        <w:t>270-</w:t>
      </w:r>
      <w:r w:rsidRPr="00C93EDB">
        <w:rPr>
          <w:rFonts w:ascii="Times New Roman" w:hAnsi="Times New Roman"/>
          <w:sz w:val="20"/>
          <w:szCs w:val="20"/>
        </w:rPr>
        <w:t>278.</w:t>
      </w:r>
    </w:p>
    <w:p w14:paraId="60A38435" w14:textId="12F90735"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Petya, K., Naydenov, A., Christoskova, S.</w:t>
      </w:r>
      <w:r w:rsidR="00C93EDB">
        <w:rPr>
          <w:rFonts w:ascii="Times New Roman" w:hAnsi="Times New Roman"/>
          <w:sz w:val="20"/>
          <w:szCs w:val="20"/>
        </w:rPr>
        <w:t xml:space="preserve"> and </w:t>
      </w:r>
      <w:r w:rsidRPr="00C93EDB">
        <w:rPr>
          <w:rFonts w:ascii="Times New Roman" w:hAnsi="Times New Roman"/>
          <w:sz w:val="20"/>
          <w:szCs w:val="20"/>
        </w:rPr>
        <w:t xml:space="preserve">Mehandjiev, D. (2006). Alumina-supported nickel oxide for ozone decomposition and catalytic ozonation of CO and VOCs. </w:t>
      </w:r>
      <w:r w:rsidRPr="00C93EDB">
        <w:rPr>
          <w:rFonts w:ascii="Times New Roman" w:hAnsi="Times New Roman"/>
          <w:i/>
          <w:iCs/>
          <w:sz w:val="20"/>
          <w:szCs w:val="20"/>
        </w:rPr>
        <w:t xml:space="preserve">Journal of Chemical </w:t>
      </w:r>
      <w:r w:rsidR="00931C64" w:rsidRPr="00C93EDB">
        <w:rPr>
          <w:rFonts w:ascii="Times New Roman" w:hAnsi="Times New Roman"/>
          <w:i/>
          <w:iCs/>
          <w:sz w:val="20"/>
          <w:szCs w:val="20"/>
        </w:rPr>
        <w:t>&amp; Engineering,</w:t>
      </w:r>
      <w:r w:rsidR="00931C64" w:rsidRPr="00C93EDB">
        <w:rPr>
          <w:rFonts w:ascii="Times New Roman" w:hAnsi="Times New Roman"/>
          <w:sz w:val="20"/>
          <w:szCs w:val="20"/>
        </w:rPr>
        <w:t xml:space="preserve"> 122</w:t>
      </w:r>
      <w:r w:rsidR="00C93EDB">
        <w:rPr>
          <w:rFonts w:ascii="Times New Roman" w:hAnsi="Times New Roman"/>
          <w:sz w:val="20"/>
          <w:szCs w:val="20"/>
        </w:rPr>
        <w:t xml:space="preserve">: </w:t>
      </w:r>
      <w:r w:rsidR="00931C64" w:rsidRPr="00C93EDB">
        <w:rPr>
          <w:rFonts w:ascii="Times New Roman" w:hAnsi="Times New Roman"/>
          <w:sz w:val="20"/>
          <w:szCs w:val="20"/>
        </w:rPr>
        <w:t>41-46.</w:t>
      </w:r>
    </w:p>
    <w:p w14:paraId="0C935E40" w14:textId="0C88448B"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Xinyu, Z., Li, X.</w:t>
      </w:r>
      <w:r w:rsidR="00C93EDB">
        <w:rPr>
          <w:rFonts w:ascii="Times New Roman" w:hAnsi="Times New Roman"/>
          <w:sz w:val="20"/>
          <w:szCs w:val="20"/>
        </w:rPr>
        <w:t xml:space="preserve"> and </w:t>
      </w:r>
      <w:r w:rsidRPr="00C93EDB">
        <w:rPr>
          <w:rFonts w:ascii="Times New Roman" w:hAnsi="Times New Roman"/>
          <w:sz w:val="20"/>
          <w:szCs w:val="20"/>
        </w:rPr>
        <w:t xml:space="preserve">Qin, W. (2009). Investigation of the catalytic activity for ozonation on the surface of NiO nanoparticles. </w:t>
      </w:r>
      <w:r w:rsidRPr="00C93EDB">
        <w:rPr>
          <w:rFonts w:ascii="Times New Roman" w:hAnsi="Times New Roman"/>
          <w:i/>
          <w:iCs/>
          <w:sz w:val="20"/>
          <w:szCs w:val="20"/>
        </w:rPr>
        <w:t>Chemi</w:t>
      </w:r>
      <w:r w:rsidR="00931C64" w:rsidRPr="00C93EDB">
        <w:rPr>
          <w:rFonts w:ascii="Times New Roman" w:hAnsi="Times New Roman"/>
          <w:i/>
          <w:iCs/>
          <w:sz w:val="20"/>
          <w:szCs w:val="20"/>
        </w:rPr>
        <w:t>cal Physics Letter,</w:t>
      </w:r>
      <w:r w:rsidR="00931C64" w:rsidRPr="00C93EDB">
        <w:rPr>
          <w:rFonts w:ascii="Times New Roman" w:hAnsi="Times New Roman"/>
          <w:sz w:val="20"/>
          <w:szCs w:val="20"/>
        </w:rPr>
        <w:t xml:space="preserve"> 479(4)</w:t>
      </w:r>
      <w:r w:rsidR="00C93EDB">
        <w:rPr>
          <w:rFonts w:ascii="Times New Roman" w:hAnsi="Times New Roman"/>
          <w:sz w:val="20"/>
          <w:szCs w:val="20"/>
        </w:rPr>
        <w:t>:</w:t>
      </w:r>
      <w:r w:rsidR="00931C64" w:rsidRPr="00C93EDB">
        <w:rPr>
          <w:rFonts w:ascii="Times New Roman" w:hAnsi="Times New Roman"/>
          <w:sz w:val="20"/>
          <w:szCs w:val="20"/>
        </w:rPr>
        <w:t xml:space="preserve"> 310-</w:t>
      </w:r>
      <w:r w:rsidRPr="00C93EDB">
        <w:rPr>
          <w:rFonts w:ascii="Times New Roman" w:hAnsi="Times New Roman"/>
          <w:sz w:val="20"/>
          <w:szCs w:val="20"/>
        </w:rPr>
        <w:t>315</w:t>
      </w:r>
      <w:r w:rsidR="00931C64" w:rsidRPr="00C93EDB">
        <w:rPr>
          <w:rFonts w:ascii="Times New Roman" w:hAnsi="Times New Roman"/>
          <w:sz w:val="20"/>
          <w:szCs w:val="20"/>
        </w:rPr>
        <w:t>.</w:t>
      </w:r>
    </w:p>
    <w:p w14:paraId="64E88C85" w14:textId="6E260DDD"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Swami, A., Selvakannan, P.</w:t>
      </w:r>
      <w:r w:rsidR="00C93EDB">
        <w:rPr>
          <w:rFonts w:ascii="Times New Roman" w:hAnsi="Times New Roman"/>
          <w:sz w:val="20"/>
          <w:szCs w:val="20"/>
        </w:rPr>
        <w:t xml:space="preserve"> </w:t>
      </w:r>
      <w:r w:rsidRPr="00C93EDB">
        <w:rPr>
          <w:rFonts w:ascii="Times New Roman" w:hAnsi="Times New Roman"/>
          <w:sz w:val="20"/>
          <w:szCs w:val="20"/>
        </w:rPr>
        <w:t xml:space="preserve">R., Pasricha, R. </w:t>
      </w:r>
      <w:r w:rsidR="00C93EDB">
        <w:rPr>
          <w:rFonts w:ascii="Times New Roman" w:hAnsi="Times New Roman"/>
          <w:sz w:val="20"/>
          <w:szCs w:val="20"/>
        </w:rPr>
        <w:t xml:space="preserve">and </w:t>
      </w:r>
      <w:r w:rsidRPr="00C93EDB">
        <w:rPr>
          <w:rFonts w:ascii="Times New Roman" w:hAnsi="Times New Roman"/>
          <w:sz w:val="20"/>
          <w:szCs w:val="20"/>
        </w:rPr>
        <w:t>Sastry, M. (2004). On</w:t>
      </w:r>
      <w:r w:rsidR="00931C64" w:rsidRPr="00C93EDB">
        <w:rPr>
          <w:rFonts w:ascii="Times New Roman" w:hAnsi="Times New Roman"/>
          <w:sz w:val="20"/>
          <w:szCs w:val="20"/>
        </w:rPr>
        <w:t>e-step synthesis of ordered two-</w:t>
      </w:r>
      <w:r w:rsidRPr="00C93EDB">
        <w:rPr>
          <w:rFonts w:ascii="Times New Roman" w:hAnsi="Times New Roman"/>
          <w:sz w:val="20"/>
          <w:szCs w:val="20"/>
        </w:rPr>
        <w:t xml:space="preserve">dimensional assemblies of silver nanoparticles by the spontaneous reduction of silver ions by pentadecylphenol Langmuir monolayers. </w:t>
      </w:r>
      <w:r w:rsidR="00931C64" w:rsidRPr="00C93EDB">
        <w:rPr>
          <w:rFonts w:ascii="Times New Roman" w:hAnsi="Times New Roman"/>
          <w:i/>
          <w:iCs/>
          <w:sz w:val="20"/>
          <w:szCs w:val="20"/>
        </w:rPr>
        <w:t xml:space="preserve">The </w:t>
      </w:r>
      <w:r w:rsidRPr="00C93EDB">
        <w:rPr>
          <w:rFonts w:ascii="Times New Roman" w:hAnsi="Times New Roman"/>
          <w:i/>
          <w:iCs/>
          <w:sz w:val="20"/>
          <w:szCs w:val="20"/>
        </w:rPr>
        <w:t>Journal of P</w:t>
      </w:r>
      <w:r w:rsidR="00931C64" w:rsidRPr="00C93EDB">
        <w:rPr>
          <w:rFonts w:ascii="Times New Roman" w:hAnsi="Times New Roman"/>
          <w:i/>
          <w:iCs/>
          <w:sz w:val="20"/>
          <w:szCs w:val="20"/>
        </w:rPr>
        <w:t>hysical Chemistry B</w:t>
      </w:r>
      <w:r w:rsidR="00C93EDB">
        <w:rPr>
          <w:rFonts w:ascii="Times New Roman" w:hAnsi="Times New Roman"/>
          <w:sz w:val="20"/>
          <w:szCs w:val="20"/>
        </w:rPr>
        <w:t xml:space="preserve">, </w:t>
      </w:r>
      <w:r w:rsidR="00931C64" w:rsidRPr="00C93EDB">
        <w:rPr>
          <w:rFonts w:ascii="Times New Roman" w:hAnsi="Times New Roman"/>
          <w:sz w:val="20"/>
          <w:szCs w:val="20"/>
        </w:rPr>
        <w:t>108</w:t>
      </w:r>
      <w:r w:rsidR="00C93EDB">
        <w:rPr>
          <w:rFonts w:ascii="Times New Roman" w:hAnsi="Times New Roman"/>
          <w:sz w:val="20"/>
          <w:szCs w:val="20"/>
        </w:rPr>
        <w:t>:</w:t>
      </w:r>
      <w:r w:rsidR="00931C64" w:rsidRPr="00C93EDB">
        <w:rPr>
          <w:rFonts w:ascii="Times New Roman" w:hAnsi="Times New Roman"/>
          <w:sz w:val="20"/>
          <w:szCs w:val="20"/>
        </w:rPr>
        <w:t xml:space="preserve"> 19269-</w:t>
      </w:r>
      <w:r w:rsidRPr="00C93EDB">
        <w:rPr>
          <w:rFonts w:ascii="Times New Roman" w:hAnsi="Times New Roman"/>
          <w:sz w:val="20"/>
          <w:szCs w:val="20"/>
        </w:rPr>
        <w:t>19275</w:t>
      </w:r>
      <w:r w:rsidR="00931C64" w:rsidRPr="00C93EDB">
        <w:rPr>
          <w:rFonts w:ascii="Times New Roman" w:hAnsi="Times New Roman"/>
          <w:sz w:val="20"/>
          <w:szCs w:val="20"/>
        </w:rPr>
        <w:t>.</w:t>
      </w:r>
    </w:p>
    <w:p w14:paraId="391A65E5" w14:textId="4124CDDE" w:rsidR="00C93EDB" w:rsidRPr="00C93EDB" w:rsidRDefault="00C1413F"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Sapawe, N., Jalil, A.</w:t>
      </w:r>
      <w:r w:rsidR="00C93EDB">
        <w:rPr>
          <w:rFonts w:ascii="Times New Roman" w:hAnsi="Times New Roman"/>
          <w:sz w:val="20"/>
          <w:szCs w:val="20"/>
        </w:rPr>
        <w:t xml:space="preserve"> </w:t>
      </w:r>
      <w:r w:rsidRPr="00C93EDB">
        <w:rPr>
          <w:rFonts w:ascii="Times New Roman" w:hAnsi="Times New Roman"/>
          <w:sz w:val="20"/>
          <w:szCs w:val="20"/>
        </w:rPr>
        <w:t>A., Triwahyono, S., Adam, S.</w:t>
      </w:r>
      <w:r w:rsidR="00C93EDB">
        <w:rPr>
          <w:rFonts w:ascii="Times New Roman" w:hAnsi="Times New Roman"/>
          <w:sz w:val="20"/>
          <w:szCs w:val="20"/>
        </w:rPr>
        <w:t xml:space="preserve"> </w:t>
      </w:r>
      <w:r w:rsidRPr="00C93EDB">
        <w:rPr>
          <w:rFonts w:ascii="Times New Roman" w:hAnsi="Times New Roman"/>
          <w:sz w:val="20"/>
          <w:szCs w:val="20"/>
        </w:rPr>
        <w:t>H., Jaafar, N. F.</w:t>
      </w:r>
      <w:r w:rsidR="00C93EDB">
        <w:rPr>
          <w:rFonts w:ascii="Times New Roman" w:hAnsi="Times New Roman"/>
          <w:sz w:val="20"/>
          <w:szCs w:val="20"/>
        </w:rPr>
        <w:t xml:space="preserve"> and </w:t>
      </w:r>
      <w:r w:rsidRPr="00C93EDB">
        <w:rPr>
          <w:rFonts w:ascii="Times New Roman" w:hAnsi="Times New Roman"/>
          <w:sz w:val="20"/>
          <w:szCs w:val="20"/>
        </w:rPr>
        <w:t>Satar, M.</w:t>
      </w:r>
      <w:r w:rsidR="00C93EDB">
        <w:rPr>
          <w:rFonts w:ascii="Times New Roman" w:hAnsi="Times New Roman"/>
          <w:sz w:val="20"/>
          <w:szCs w:val="20"/>
        </w:rPr>
        <w:t xml:space="preserve"> </w:t>
      </w:r>
      <w:r w:rsidRPr="00C93EDB">
        <w:rPr>
          <w:rFonts w:ascii="Times New Roman" w:hAnsi="Times New Roman"/>
          <w:sz w:val="20"/>
          <w:szCs w:val="20"/>
        </w:rPr>
        <w:t>A.</w:t>
      </w:r>
      <w:r w:rsidR="00C93EDB">
        <w:rPr>
          <w:rFonts w:ascii="Times New Roman" w:hAnsi="Times New Roman"/>
          <w:sz w:val="20"/>
          <w:szCs w:val="20"/>
        </w:rPr>
        <w:t xml:space="preserve"> </w:t>
      </w:r>
      <w:r w:rsidRPr="00C93EDB">
        <w:rPr>
          <w:rFonts w:ascii="Times New Roman" w:hAnsi="Times New Roman"/>
          <w:sz w:val="20"/>
          <w:szCs w:val="20"/>
        </w:rPr>
        <w:t>H. (2</w:t>
      </w:r>
      <w:r w:rsidR="00931C64" w:rsidRPr="00C93EDB">
        <w:rPr>
          <w:rFonts w:ascii="Times New Roman" w:hAnsi="Times New Roman"/>
          <w:sz w:val="20"/>
          <w:szCs w:val="20"/>
        </w:rPr>
        <w:t xml:space="preserve">012). Isomorphous substitution </w:t>
      </w:r>
      <w:r w:rsidR="00BB3260" w:rsidRPr="00C93EDB">
        <w:rPr>
          <w:rFonts w:ascii="Times New Roman" w:hAnsi="Times New Roman"/>
          <w:sz w:val="20"/>
          <w:szCs w:val="20"/>
        </w:rPr>
        <w:t>of Zr in the framework</w:t>
      </w:r>
      <w:r w:rsidR="008A0CF5" w:rsidRPr="00C93EDB">
        <w:rPr>
          <w:rFonts w:ascii="Times New Roman" w:hAnsi="Times New Roman"/>
          <w:sz w:val="20"/>
          <w:szCs w:val="20"/>
        </w:rPr>
        <w:t xml:space="preserve"> of aluminosilicate HY</w:t>
      </w:r>
      <w:r w:rsidRPr="00C93EDB">
        <w:rPr>
          <w:rFonts w:ascii="Times New Roman" w:hAnsi="Times New Roman"/>
          <w:sz w:val="20"/>
          <w:szCs w:val="20"/>
        </w:rPr>
        <w:t xml:space="preserve"> by</w:t>
      </w:r>
      <w:r w:rsidR="008A0CF5" w:rsidRPr="00C93EDB">
        <w:rPr>
          <w:rFonts w:ascii="Times New Roman" w:hAnsi="Times New Roman"/>
          <w:sz w:val="20"/>
          <w:szCs w:val="20"/>
        </w:rPr>
        <w:t xml:space="preserve"> an electrochemical method: Evaluation by </w:t>
      </w:r>
      <w:r w:rsidRPr="00C93EDB">
        <w:rPr>
          <w:rFonts w:ascii="Times New Roman" w:hAnsi="Times New Roman"/>
          <w:sz w:val="20"/>
          <w:szCs w:val="20"/>
        </w:rPr>
        <w:t xml:space="preserve">methylene blue degradation. </w:t>
      </w:r>
      <w:r w:rsidRPr="00C93EDB">
        <w:rPr>
          <w:rFonts w:ascii="Times New Roman" w:hAnsi="Times New Roman"/>
          <w:i/>
          <w:iCs/>
          <w:sz w:val="20"/>
          <w:szCs w:val="20"/>
        </w:rPr>
        <w:t>Applied Catalysis B: Environmental,</w:t>
      </w:r>
      <w:r w:rsidRPr="00C93EDB">
        <w:rPr>
          <w:rFonts w:ascii="Times New Roman" w:hAnsi="Times New Roman"/>
          <w:sz w:val="20"/>
          <w:szCs w:val="20"/>
        </w:rPr>
        <w:t xml:space="preserve"> 125</w:t>
      </w:r>
      <w:r w:rsidR="00C93EDB">
        <w:rPr>
          <w:rFonts w:ascii="Times New Roman" w:hAnsi="Times New Roman"/>
          <w:sz w:val="20"/>
          <w:szCs w:val="20"/>
        </w:rPr>
        <w:t xml:space="preserve">: </w:t>
      </w:r>
      <w:r w:rsidRPr="00C93EDB">
        <w:rPr>
          <w:rFonts w:ascii="Times New Roman" w:hAnsi="Times New Roman"/>
          <w:sz w:val="20"/>
          <w:szCs w:val="20"/>
        </w:rPr>
        <w:t>311-323</w:t>
      </w:r>
      <w:r w:rsidR="00931C64" w:rsidRPr="00C93EDB">
        <w:rPr>
          <w:rFonts w:ascii="Times New Roman" w:hAnsi="Times New Roman"/>
          <w:sz w:val="20"/>
          <w:szCs w:val="20"/>
        </w:rPr>
        <w:t>.</w:t>
      </w:r>
    </w:p>
    <w:p w14:paraId="3CFCD55C" w14:textId="77777777" w:rsidR="00C93EDB" w:rsidRPr="00C93EDB" w:rsidRDefault="00D820D9" w:rsidP="00C93EDB">
      <w:pPr>
        <w:pStyle w:val="ListParagraph"/>
        <w:numPr>
          <w:ilvl w:val="0"/>
          <w:numId w:val="6"/>
        </w:numPr>
        <w:ind w:left="567" w:hanging="567"/>
        <w:jc w:val="both"/>
        <w:rPr>
          <w:rFonts w:ascii="Times New Roman" w:hAnsi="Times New Roman"/>
          <w:sz w:val="20"/>
          <w:szCs w:val="20"/>
        </w:rPr>
      </w:pPr>
      <w:r w:rsidRPr="00C93EDB">
        <w:rPr>
          <w:rFonts w:ascii="Times New Roman" w:hAnsi="Times New Roman"/>
          <w:sz w:val="20"/>
          <w:szCs w:val="20"/>
        </w:rPr>
        <w:t>Sapawe, N., Rustam, M.</w:t>
      </w:r>
      <w:r w:rsidR="00C93EDB">
        <w:rPr>
          <w:rFonts w:ascii="Times New Roman" w:hAnsi="Times New Roman"/>
          <w:sz w:val="20"/>
          <w:szCs w:val="20"/>
        </w:rPr>
        <w:t xml:space="preserve"> </w:t>
      </w:r>
      <w:r w:rsidRPr="00C93EDB">
        <w:rPr>
          <w:rFonts w:ascii="Times New Roman" w:hAnsi="Times New Roman"/>
          <w:sz w:val="20"/>
          <w:szCs w:val="20"/>
        </w:rPr>
        <w:t>A., Mahadzir, M.</w:t>
      </w:r>
      <w:r w:rsidR="00C93EDB">
        <w:rPr>
          <w:rFonts w:ascii="Times New Roman" w:hAnsi="Times New Roman"/>
          <w:sz w:val="20"/>
          <w:szCs w:val="20"/>
        </w:rPr>
        <w:t xml:space="preserve"> </w:t>
      </w:r>
      <w:r w:rsidRPr="00C93EDB">
        <w:rPr>
          <w:rFonts w:ascii="Times New Roman" w:hAnsi="Times New Roman"/>
          <w:sz w:val="20"/>
          <w:szCs w:val="20"/>
        </w:rPr>
        <w:t>H.</w:t>
      </w:r>
      <w:r w:rsidR="00C93EDB">
        <w:rPr>
          <w:rFonts w:ascii="Times New Roman" w:hAnsi="Times New Roman"/>
          <w:sz w:val="20"/>
          <w:szCs w:val="20"/>
        </w:rPr>
        <w:t xml:space="preserve"> </w:t>
      </w:r>
      <w:r w:rsidRPr="00C93EDB">
        <w:rPr>
          <w:rFonts w:ascii="Times New Roman" w:hAnsi="Times New Roman"/>
          <w:sz w:val="20"/>
          <w:szCs w:val="20"/>
        </w:rPr>
        <w:t>H., Lani, M.</w:t>
      </w:r>
      <w:r w:rsidR="00C93EDB">
        <w:rPr>
          <w:rFonts w:ascii="Times New Roman" w:hAnsi="Times New Roman"/>
          <w:sz w:val="20"/>
          <w:szCs w:val="20"/>
        </w:rPr>
        <w:t xml:space="preserve"> </w:t>
      </w:r>
      <w:r w:rsidRPr="00C93EDB">
        <w:rPr>
          <w:rFonts w:ascii="Times New Roman" w:hAnsi="Times New Roman"/>
          <w:sz w:val="20"/>
          <w:szCs w:val="20"/>
        </w:rPr>
        <w:t>K.</w:t>
      </w:r>
      <w:r w:rsidR="00C93EDB">
        <w:rPr>
          <w:rFonts w:ascii="Times New Roman" w:hAnsi="Times New Roman"/>
          <w:sz w:val="20"/>
          <w:szCs w:val="20"/>
        </w:rPr>
        <w:t xml:space="preserve"> </w:t>
      </w:r>
      <w:r w:rsidRPr="00C93EDB">
        <w:rPr>
          <w:rFonts w:ascii="Times New Roman" w:hAnsi="Times New Roman"/>
          <w:sz w:val="20"/>
          <w:szCs w:val="20"/>
        </w:rPr>
        <w:t>E.</w:t>
      </w:r>
      <w:r w:rsidR="00C93EDB">
        <w:rPr>
          <w:rFonts w:ascii="Times New Roman" w:hAnsi="Times New Roman"/>
          <w:sz w:val="20"/>
          <w:szCs w:val="20"/>
        </w:rPr>
        <w:t xml:space="preserve"> </w:t>
      </w:r>
      <w:r w:rsidRPr="00C93EDB">
        <w:rPr>
          <w:rFonts w:ascii="Times New Roman" w:hAnsi="Times New Roman"/>
          <w:sz w:val="20"/>
          <w:szCs w:val="20"/>
        </w:rPr>
        <w:t>M., Raidin, A.</w:t>
      </w:r>
      <w:r w:rsidR="00C93EDB">
        <w:rPr>
          <w:rFonts w:ascii="Times New Roman" w:hAnsi="Times New Roman"/>
          <w:sz w:val="20"/>
          <w:szCs w:val="20"/>
        </w:rPr>
        <w:t xml:space="preserve"> and </w:t>
      </w:r>
      <w:r w:rsidRPr="00C93EDB">
        <w:rPr>
          <w:rFonts w:ascii="Times New Roman" w:hAnsi="Times New Roman"/>
          <w:sz w:val="20"/>
          <w:szCs w:val="20"/>
        </w:rPr>
        <w:t>Hanafi, M.</w:t>
      </w:r>
      <w:r w:rsidR="00C93EDB">
        <w:rPr>
          <w:rFonts w:ascii="Times New Roman" w:hAnsi="Times New Roman"/>
          <w:sz w:val="20"/>
          <w:szCs w:val="20"/>
        </w:rPr>
        <w:t xml:space="preserve"> </w:t>
      </w:r>
      <w:r w:rsidRPr="00C93EDB">
        <w:rPr>
          <w:rFonts w:ascii="Times New Roman" w:hAnsi="Times New Roman"/>
          <w:sz w:val="20"/>
          <w:szCs w:val="20"/>
        </w:rPr>
        <w:t xml:space="preserve">F. (2019). </w:t>
      </w:r>
      <w:hyperlink r:id="rId14" w:history="1">
        <w:r w:rsidRPr="00C93EDB">
          <w:rPr>
            <w:rFonts w:ascii="Times New Roman" w:eastAsia="Times New Roman" w:hAnsi="Times New Roman"/>
            <w:sz w:val="20"/>
            <w:szCs w:val="20"/>
            <w:lang w:eastAsia="en-GB"/>
          </w:rPr>
          <w:t xml:space="preserve">A novel approach of </w:t>
        </w:r>
        <w:r w:rsidRPr="00C93EDB">
          <w:rPr>
            <w:rFonts w:ascii="Times New Roman" w:eastAsia="Times New Roman" w:hAnsi="Times New Roman"/>
            <w:i/>
            <w:iCs/>
            <w:sz w:val="20"/>
            <w:szCs w:val="20"/>
            <w:lang w:eastAsia="en-GB"/>
          </w:rPr>
          <w:t>in-situ</w:t>
        </w:r>
        <w:r w:rsidRPr="00C93EDB">
          <w:rPr>
            <w:rFonts w:ascii="Times New Roman" w:eastAsia="Times New Roman" w:hAnsi="Times New Roman"/>
            <w:sz w:val="20"/>
            <w:szCs w:val="20"/>
            <w:lang w:eastAsia="en-GB"/>
          </w:rPr>
          <w:t xml:space="preserve"> electrobiosynthesis of metal oxide nanoparticles using crude plant extract as main medium for supporting electrolyte</w:t>
        </w:r>
      </w:hyperlink>
      <w:r w:rsidRPr="00C93EDB">
        <w:rPr>
          <w:rFonts w:ascii="Times New Roman" w:hAnsi="Times New Roman"/>
          <w:sz w:val="20"/>
          <w:szCs w:val="20"/>
          <w:lang w:eastAsia="en-GB"/>
        </w:rPr>
        <w:t xml:space="preserve">. </w:t>
      </w:r>
      <w:r w:rsidRPr="00C93EDB">
        <w:rPr>
          <w:rFonts w:ascii="Times New Roman" w:hAnsi="Times New Roman"/>
          <w:i/>
          <w:sz w:val="20"/>
          <w:szCs w:val="20"/>
          <w:shd w:val="clear" w:color="auto" w:fill="FFFFFF"/>
        </w:rPr>
        <w:t>Materials Today: Proceedings,</w:t>
      </w:r>
      <w:r w:rsidRPr="00C93EDB">
        <w:rPr>
          <w:rFonts w:ascii="Times New Roman" w:hAnsi="Times New Roman"/>
          <w:sz w:val="20"/>
          <w:szCs w:val="20"/>
          <w:shd w:val="clear" w:color="auto" w:fill="FFFFFF"/>
        </w:rPr>
        <w:t> </w:t>
      </w:r>
      <w:r w:rsidRPr="00C93EDB">
        <w:rPr>
          <w:rFonts w:ascii="Times New Roman" w:hAnsi="Times New Roman"/>
          <w:iCs/>
          <w:sz w:val="20"/>
          <w:szCs w:val="20"/>
          <w:shd w:val="clear" w:color="auto" w:fill="FFFFFF"/>
        </w:rPr>
        <w:t>19</w:t>
      </w:r>
      <w:r w:rsidRPr="00C93EDB">
        <w:rPr>
          <w:rFonts w:ascii="Times New Roman" w:hAnsi="Times New Roman"/>
          <w:sz w:val="20"/>
          <w:szCs w:val="20"/>
          <w:shd w:val="clear" w:color="auto" w:fill="FFFFFF"/>
        </w:rPr>
        <w:t>(4)</w:t>
      </w:r>
      <w:r w:rsidR="00C93EDB">
        <w:rPr>
          <w:rFonts w:ascii="Times New Roman" w:hAnsi="Times New Roman"/>
          <w:sz w:val="20"/>
          <w:szCs w:val="20"/>
          <w:shd w:val="clear" w:color="auto" w:fill="FFFFFF"/>
        </w:rPr>
        <w:t xml:space="preserve">: </w:t>
      </w:r>
      <w:r w:rsidRPr="00C93EDB">
        <w:rPr>
          <w:rFonts w:ascii="Times New Roman" w:eastAsia="Times New Roman" w:hAnsi="Times New Roman"/>
          <w:sz w:val="20"/>
          <w:szCs w:val="20"/>
          <w:lang w:eastAsia="en-GB"/>
        </w:rPr>
        <w:t>1441-1445</w:t>
      </w:r>
      <w:r w:rsidRPr="00C93EDB">
        <w:rPr>
          <w:rFonts w:ascii="Times New Roman" w:hAnsi="Times New Roman"/>
          <w:sz w:val="20"/>
          <w:szCs w:val="20"/>
          <w:shd w:val="clear" w:color="auto" w:fill="FFFFFF"/>
        </w:rPr>
        <w:t>.</w:t>
      </w:r>
    </w:p>
    <w:p w14:paraId="0A83E18A" w14:textId="0E5583A9" w:rsidR="0060294E" w:rsidRPr="0060294E" w:rsidRDefault="006F5D3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Hanafi, M.</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F., Sapawe, N., Rahim, M.</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Z.</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A., Rahman, N.</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N., Rahman, A.</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H.</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A.</w:t>
      </w:r>
      <w:r w:rsidR="0060294E">
        <w:rPr>
          <w:rFonts w:ascii="Times New Roman" w:hAnsi="Times New Roman"/>
          <w:sz w:val="20"/>
          <w:szCs w:val="20"/>
          <w:shd w:val="clear" w:color="auto" w:fill="FFFFFF"/>
        </w:rPr>
        <w:t xml:space="preserve"> and </w:t>
      </w:r>
      <w:r w:rsidRPr="0060294E">
        <w:rPr>
          <w:rFonts w:ascii="Times New Roman" w:hAnsi="Times New Roman"/>
          <w:sz w:val="20"/>
          <w:szCs w:val="20"/>
          <w:shd w:val="clear" w:color="auto" w:fill="FFFFFF"/>
        </w:rPr>
        <w:t>Ahmad, A.</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 xml:space="preserve">A. (2016). </w:t>
      </w:r>
      <w:hyperlink r:id="rId15" w:history="1">
        <w:r w:rsidRPr="0060294E">
          <w:rPr>
            <w:rStyle w:val="Hyperlink"/>
            <w:rFonts w:ascii="Times New Roman" w:hAnsi="Times New Roman"/>
            <w:color w:val="auto"/>
            <w:sz w:val="20"/>
            <w:szCs w:val="20"/>
            <w:shd w:val="clear" w:color="auto" w:fill="FFFFFF"/>
          </w:rPr>
          <w:t>Performance of EGZrO</w:t>
        </w:r>
        <w:r w:rsidRPr="0060294E">
          <w:rPr>
            <w:rStyle w:val="Hyperlink"/>
            <w:rFonts w:ascii="Times New Roman" w:hAnsi="Times New Roman"/>
            <w:color w:val="auto"/>
            <w:sz w:val="20"/>
            <w:szCs w:val="20"/>
            <w:shd w:val="clear" w:color="auto" w:fill="FFFFFF"/>
            <w:vertAlign w:val="subscript"/>
          </w:rPr>
          <w:t>2</w:t>
        </w:r>
        <w:r w:rsidRPr="0060294E">
          <w:rPr>
            <w:rStyle w:val="Hyperlink"/>
            <w:rFonts w:ascii="Times New Roman" w:hAnsi="Times New Roman"/>
            <w:color w:val="auto"/>
            <w:sz w:val="20"/>
            <w:szCs w:val="20"/>
            <w:shd w:val="clear" w:color="auto" w:fill="FFFFFF"/>
          </w:rPr>
          <w:t>-EGFe</w:t>
        </w:r>
        <w:r w:rsidRPr="0060294E">
          <w:rPr>
            <w:rStyle w:val="Hyperlink"/>
            <w:rFonts w:ascii="Times New Roman" w:hAnsi="Times New Roman"/>
            <w:color w:val="auto"/>
            <w:sz w:val="20"/>
            <w:szCs w:val="20"/>
            <w:shd w:val="clear" w:color="auto" w:fill="FFFFFF"/>
            <w:vertAlign w:val="subscript"/>
          </w:rPr>
          <w:t>2</w:t>
        </w:r>
        <w:r w:rsidRPr="0060294E">
          <w:rPr>
            <w:rStyle w:val="Hyperlink"/>
            <w:rFonts w:ascii="Times New Roman" w:hAnsi="Times New Roman"/>
            <w:color w:val="auto"/>
            <w:sz w:val="20"/>
            <w:szCs w:val="20"/>
            <w:shd w:val="clear" w:color="auto" w:fill="FFFFFF"/>
          </w:rPr>
          <w:t>O</w:t>
        </w:r>
        <w:r w:rsidRPr="0060294E">
          <w:rPr>
            <w:rStyle w:val="Hyperlink"/>
            <w:rFonts w:ascii="Times New Roman" w:hAnsi="Times New Roman"/>
            <w:color w:val="auto"/>
            <w:sz w:val="20"/>
            <w:szCs w:val="20"/>
            <w:shd w:val="clear" w:color="auto" w:fill="FFFFFF"/>
            <w:vertAlign w:val="subscript"/>
          </w:rPr>
          <w:t>3</w:t>
        </w:r>
        <w:r w:rsidRPr="0060294E">
          <w:rPr>
            <w:rStyle w:val="Hyperlink"/>
            <w:rFonts w:ascii="Times New Roman" w:hAnsi="Times New Roman"/>
            <w:color w:val="auto"/>
            <w:sz w:val="20"/>
            <w:szCs w:val="20"/>
            <w:shd w:val="clear" w:color="auto" w:fill="FFFFFF"/>
          </w:rPr>
          <w:t>/HY as photocatalyst and its efficacy in decolorization of dye-contaminants</w:t>
        </w:r>
      </w:hyperlink>
      <w:r w:rsidRPr="0060294E">
        <w:rPr>
          <w:rFonts w:ascii="Times New Roman" w:hAnsi="Times New Roman"/>
          <w:sz w:val="20"/>
          <w:szCs w:val="20"/>
        </w:rPr>
        <w:t xml:space="preserve">. </w:t>
      </w:r>
      <w:r w:rsidRPr="0060294E">
        <w:rPr>
          <w:rFonts w:ascii="Times New Roman" w:hAnsi="Times New Roman"/>
          <w:i/>
          <w:iCs/>
          <w:sz w:val="20"/>
          <w:szCs w:val="20"/>
        </w:rPr>
        <w:t>Malaysian Journal of Analytical Sciences</w:t>
      </w:r>
      <w:r w:rsidRPr="0060294E">
        <w:rPr>
          <w:rFonts w:ascii="Times New Roman" w:hAnsi="Times New Roman"/>
          <w:sz w:val="20"/>
          <w:szCs w:val="20"/>
        </w:rPr>
        <w:t>, 20(5), 1052-1058.</w:t>
      </w:r>
    </w:p>
    <w:p w14:paraId="4EAF1B6B" w14:textId="4D6A6E1E" w:rsidR="0060294E" w:rsidRPr="0060294E" w:rsidRDefault="006F5D3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Hanafi, M.</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F.</w:t>
      </w:r>
      <w:r w:rsidR="0060294E">
        <w:rPr>
          <w:rFonts w:ascii="Times New Roman" w:hAnsi="Times New Roman"/>
          <w:sz w:val="20"/>
          <w:szCs w:val="20"/>
          <w:shd w:val="clear" w:color="auto" w:fill="FFFFFF"/>
        </w:rPr>
        <w:t xml:space="preserve"> and </w:t>
      </w:r>
      <w:r w:rsidRPr="0060294E">
        <w:rPr>
          <w:rFonts w:ascii="Times New Roman" w:hAnsi="Times New Roman"/>
          <w:sz w:val="20"/>
          <w:szCs w:val="20"/>
          <w:shd w:val="clear" w:color="auto" w:fill="FFFFFF"/>
        </w:rPr>
        <w:t xml:space="preserve">Sapawe, N. (2018). Remarkable degradation of methyl orange by tetragonal zirconia catalyst. </w:t>
      </w:r>
      <w:r w:rsidRPr="0060294E">
        <w:rPr>
          <w:rFonts w:ascii="Times New Roman" w:hAnsi="Times New Roman"/>
          <w:i/>
          <w:sz w:val="20"/>
          <w:szCs w:val="20"/>
          <w:shd w:val="clear" w:color="auto" w:fill="FFFFFF"/>
        </w:rPr>
        <w:t>Materials Today: Proceedings,</w:t>
      </w:r>
      <w:r w:rsidRPr="0060294E">
        <w:rPr>
          <w:rFonts w:ascii="Times New Roman" w:hAnsi="Times New Roman"/>
          <w:sz w:val="20"/>
          <w:szCs w:val="20"/>
          <w:shd w:val="clear" w:color="auto" w:fill="FFFFFF"/>
        </w:rPr>
        <w:t> </w:t>
      </w:r>
      <w:r w:rsidRPr="0060294E">
        <w:rPr>
          <w:rFonts w:ascii="Times New Roman" w:hAnsi="Times New Roman"/>
          <w:iCs/>
          <w:sz w:val="20"/>
          <w:szCs w:val="20"/>
          <w:shd w:val="clear" w:color="auto" w:fill="FFFFFF"/>
        </w:rPr>
        <w:t>5</w:t>
      </w:r>
      <w:r w:rsidRPr="0060294E">
        <w:rPr>
          <w:rFonts w:ascii="Times New Roman" w:hAnsi="Times New Roman"/>
          <w:sz w:val="20"/>
          <w:szCs w:val="20"/>
          <w:shd w:val="clear" w:color="auto" w:fill="FFFFFF"/>
        </w:rPr>
        <w:t>(10), 21849-21852.</w:t>
      </w:r>
    </w:p>
    <w:p w14:paraId="7BDE0071" w14:textId="5B23C051" w:rsidR="0060294E" w:rsidRPr="0060294E" w:rsidRDefault="006F5D3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Hanafi, M.F.</w:t>
      </w:r>
      <w:r w:rsidR="0060294E">
        <w:rPr>
          <w:rFonts w:ascii="Times New Roman" w:hAnsi="Times New Roman"/>
          <w:sz w:val="20"/>
          <w:szCs w:val="20"/>
          <w:shd w:val="clear" w:color="auto" w:fill="FFFFFF"/>
        </w:rPr>
        <w:t xml:space="preserve"> and </w:t>
      </w:r>
      <w:r w:rsidRPr="0060294E">
        <w:rPr>
          <w:rFonts w:ascii="Times New Roman" w:hAnsi="Times New Roman"/>
          <w:sz w:val="20"/>
          <w:szCs w:val="20"/>
          <w:shd w:val="clear" w:color="auto" w:fill="FFFFFF"/>
        </w:rPr>
        <w:t>Sapawe, N. (2019). The potential of ZrO</w:t>
      </w:r>
      <w:r w:rsidRPr="0060294E">
        <w:rPr>
          <w:rFonts w:ascii="Times New Roman" w:hAnsi="Times New Roman"/>
          <w:sz w:val="20"/>
          <w:szCs w:val="20"/>
          <w:shd w:val="clear" w:color="auto" w:fill="FFFFFF"/>
          <w:vertAlign w:val="subscript"/>
        </w:rPr>
        <w:t>2</w:t>
      </w:r>
      <w:r w:rsidRPr="0060294E">
        <w:rPr>
          <w:rFonts w:ascii="Times New Roman" w:hAnsi="Times New Roman"/>
          <w:sz w:val="20"/>
          <w:szCs w:val="20"/>
          <w:shd w:val="clear" w:color="auto" w:fill="FFFFFF"/>
        </w:rPr>
        <w:t xml:space="preserve"> catalyst toward degradation of dyes and phenolic compound. </w:t>
      </w:r>
      <w:r w:rsidRPr="0060294E">
        <w:rPr>
          <w:rFonts w:ascii="Times New Roman" w:hAnsi="Times New Roman"/>
          <w:i/>
          <w:sz w:val="20"/>
          <w:szCs w:val="20"/>
          <w:shd w:val="clear" w:color="auto" w:fill="FFFFFF"/>
        </w:rPr>
        <w:t>Materials Today: Proceedings,</w:t>
      </w:r>
      <w:r w:rsidRPr="0060294E">
        <w:rPr>
          <w:rFonts w:ascii="Times New Roman" w:hAnsi="Times New Roman"/>
          <w:sz w:val="20"/>
          <w:szCs w:val="20"/>
          <w:shd w:val="clear" w:color="auto" w:fill="FFFFFF"/>
        </w:rPr>
        <w:t xml:space="preserve"> 19(4)</w:t>
      </w:r>
      <w:r w:rsidR="0060294E">
        <w:rPr>
          <w:rFonts w:ascii="Times New Roman" w:hAnsi="Times New Roman"/>
          <w:sz w:val="20"/>
          <w:szCs w:val="20"/>
          <w:shd w:val="clear" w:color="auto" w:fill="FFFFFF"/>
        </w:rPr>
        <w:t>:</w:t>
      </w:r>
      <w:r w:rsidRPr="0060294E">
        <w:rPr>
          <w:rFonts w:ascii="Times New Roman" w:hAnsi="Times New Roman"/>
          <w:sz w:val="20"/>
          <w:szCs w:val="20"/>
          <w:shd w:val="clear" w:color="auto" w:fill="FFFFFF"/>
        </w:rPr>
        <w:t xml:space="preserve"> 1524-1528.</w:t>
      </w:r>
    </w:p>
    <w:p w14:paraId="1C0C1B88" w14:textId="5EB235D5" w:rsidR="0060294E" w:rsidRPr="0060294E" w:rsidRDefault="006F5D3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Hanafi, M.</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F.</w:t>
      </w:r>
      <w:r w:rsidR="0060294E">
        <w:rPr>
          <w:rFonts w:ascii="Times New Roman" w:hAnsi="Times New Roman"/>
          <w:sz w:val="20"/>
          <w:szCs w:val="20"/>
          <w:shd w:val="clear" w:color="auto" w:fill="FFFFFF"/>
        </w:rPr>
        <w:t xml:space="preserve"> and </w:t>
      </w:r>
      <w:r w:rsidRPr="0060294E">
        <w:rPr>
          <w:rFonts w:ascii="Times New Roman" w:hAnsi="Times New Roman"/>
          <w:sz w:val="20"/>
          <w:szCs w:val="20"/>
          <w:shd w:val="clear" w:color="auto" w:fill="FFFFFF"/>
        </w:rPr>
        <w:t>Sapawe, N. (2019). Electrosynthesis of ZrO</w:t>
      </w:r>
      <w:r w:rsidRPr="0060294E">
        <w:rPr>
          <w:rFonts w:ascii="Times New Roman" w:hAnsi="Times New Roman"/>
          <w:sz w:val="20"/>
          <w:szCs w:val="20"/>
          <w:shd w:val="clear" w:color="auto" w:fill="FFFFFF"/>
          <w:vertAlign w:val="subscript"/>
        </w:rPr>
        <w:t>2</w:t>
      </w:r>
      <w:r w:rsidRPr="0060294E">
        <w:rPr>
          <w:rFonts w:ascii="Times New Roman" w:hAnsi="Times New Roman"/>
          <w:sz w:val="20"/>
          <w:szCs w:val="20"/>
          <w:shd w:val="clear" w:color="auto" w:fill="FFFFFF"/>
        </w:rPr>
        <w:t xml:space="preserve"> nanoparticles with enhanced removal of phenolic compound. </w:t>
      </w:r>
      <w:r w:rsidRPr="0060294E">
        <w:rPr>
          <w:rFonts w:ascii="Times New Roman" w:hAnsi="Times New Roman"/>
          <w:i/>
          <w:sz w:val="20"/>
          <w:szCs w:val="20"/>
          <w:shd w:val="clear" w:color="auto" w:fill="FFFFFF"/>
        </w:rPr>
        <w:t>Materials Today: Proceedings</w:t>
      </w:r>
      <w:r w:rsidRPr="0060294E">
        <w:rPr>
          <w:rFonts w:ascii="Times New Roman" w:hAnsi="Times New Roman"/>
          <w:sz w:val="20"/>
          <w:szCs w:val="20"/>
          <w:shd w:val="clear" w:color="auto" w:fill="FFFFFF"/>
        </w:rPr>
        <w:t>, 1</w:t>
      </w:r>
      <w:r w:rsidRPr="0060294E">
        <w:rPr>
          <w:rFonts w:ascii="Times New Roman" w:hAnsi="Times New Roman"/>
          <w:iCs/>
          <w:sz w:val="20"/>
          <w:szCs w:val="20"/>
          <w:shd w:val="clear" w:color="auto" w:fill="FFFFFF"/>
        </w:rPr>
        <w:t>9(4)</w:t>
      </w:r>
      <w:r w:rsidR="0060294E">
        <w:rPr>
          <w:rFonts w:ascii="Times New Roman" w:hAnsi="Times New Roman"/>
          <w:sz w:val="20"/>
          <w:szCs w:val="20"/>
          <w:shd w:val="clear" w:color="auto" w:fill="FFFFFF"/>
        </w:rPr>
        <w:t>:</w:t>
      </w:r>
      <w:r w:rsidR="00BA2DC7" w:rsidRPr="0060294E">
        <w:rPr>
          <w:rFonts w:ascii="Times New Roman" w:hAnsi="Times New Roman"/>
          <w:sz w:val="20"/>
          <w:szCs w:val="20"/>
          <w:shd w:val="clear" w:color="auto" w:fill="FFFFFF"/>
        </w:rPr>
        <w:t xml:space="preserve"> 1529-1532</w:t>
      </w:r>
      <w:r w:rsidRPr="0060294E">
        <w:rPr>
          <w:rFonts w:ascii="Times New Roman" w:hAnsi="Times New Roman"/>
          <w:sz w:val="20"/>
          <w:szCs w:val="20"/>
          <w:shd w:val="clear" w:color="auto" w:fill="FFFFFF"/>
        </w:rPr>
        <w:t>.</w:t>
      </w:r>
    </w:p>
    <w:p w14:paraId="03197076" w14:textId="438EB307" w:rsidR="0060294E" w:rsidRPr="0060294E" w:rsidRDefault="00BA2DC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Hanafi, M.</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F.</w:t>
      </w:r>
      <w:r w:rsidR="0060294E">
        <w:rPr>
          <w:rFonts w:ascii="Times New Roman" w:hAnsi="Times New Roman"/>
          <w:sz w:val="20"/>
          <w:szCs w:val="20"/>
          <w:shd w:val="clear" w:color="auto" w:fill="FFFFFF"/>
        </w:rPr>
        <w:t xml:space="preserve"> and </w:t>
      </w:r>
      <w:r w:rsidRPr="0060294E">
        <w:rPr>
          <w:rFonts w:ascii="Times New Roman" w:hAnsi="Times New Roman"/>
          <w:sz w:val="20"/>
          <w:szCs w:val="20"/>
          <w:shd w:val="clear" w:color="auto" w:fill="FFFFFF"/>
        </w:rPr>
        <w:t xml:space="preserve">Sapawe, N. (2019). </w:t>
      </w:r>
      <w:r w:rsidR="006F5D37" w:rsidRPr="0060294E">
        <w:rPr>
          <w:rFonts w:ascii="Times New Roman" w:hAnsi="Times New Roman"/>
          <w:sz w:val="20"/>
          <w:szCs w:val="20"/>
          <w:shd w:val="clear" w:color="auto" w:fill="FFFFFF"/>
        </w:rPr>
        <w:t>Effect of calcination temperature on the structure and catalytic performance of ZrO</w:t>
      </w:r>
      <w:r w:rsidR="006F5D37" w:rsidRPr="0060294E">
        <w:rPr>
          <w:rFonts w:ascii="Times New Roman" w:hAnsi="Times New Roman"/>
          <w:sz w:val="20"/>
          <w:szCs w:val="20"/>
          <w:shd w:val="clear" w:color="auto" w:fill="FFFFFF"/>
          <w:vertAlign w:val="subscript"/>
        </w:rPr>
        <w:t>2</w:t>
      </w:r>
      <w:r w:rsidR="006F5D37" w:rsidRPr="0060294E">
        <w:rPr>
          <w:rFonts w:ascii="Times New Roman" w:hAnsi="Times New Roman"/>
          <w:sz w:val="20"/>
          <w:szCs w:val="20"/>
          <w:shd w:val="clear" w:color="auto" w:fill="FFFFFF"/>
        </w:rPr>
        <w:t xml:space="preserve"> c</w:t>
      </w:r>
      <w:r w:rsidRPr="0060294E">
        <w:rPr>
          <w:rFonts w:ascii="Times New Roman" w:hAnsi="Times New Roman"/>
          <w:sz w:val="20"/>
          <w:szCs w:val="20"/>
          <w:shd w:val="clear" w:color="auto" w:fill="FFFFFF"/>
        </w:rPr>
        <w:t xml:space="preserve">atalyst in phenol degradation. </w:t>
      </w:r>
      <w:r w:rsidR="006F5D37" w:rsidRPr="0060294E">
        <w:rPr>
          <w:rFonts w:ascii="Times New Roman" w:hAnsi="Times New Roman"/>
          <w:i/>
          <w:sz w:val="20"/>
          <w:szCs w:val="20"/>
          <w:shd w:val="clear" w:color="auto" w:fill="FFFFFF"/>
        </w:rPr>
        <w:t>Materials Today: Proceedings</w:t>
      </w:r>
      <w:r w:rsidRPr="0060294E">
        <w:rPr>
          <w:rFonts w:ascii="Times New Roman" w:hAnsi="Times New Roman"/>
          <w:sz w:val="20"/>
          <w:szCs w:val="20"/>
          <w:shd w:val="clear" w:color="auto" w:fill="FFFFFF"/>
        </w:rPr>
        <w:t>, </w:t>
      </w:r>
      <w:r w:rsidR="006F5D37" w:rsidRPr="0060294E">
        <w:rPr>
          <w:rFonts w:ascii="Times New Roman" w:hAnsi="Times New Roman"/>
          <w:iCs/>
          <w:sz w:val="20"/>
          <w:szCs w:val="20"/>
          <w:shd w:val="clear" w:color="auto" w:fill="FFFFFF"/>
        </w:rPr>
        <w:t>19(4)</w:t>
      </w:r>
      <w:r w:rsidR="0060294E">
        <w:rPr>
          <w:rFonts w:ascii="Times New Roman" w:hAnsi="Times New Roman"/>
          <w:sz w:val="20"/>
          <w:szCs w:val="20"/>
          <w:shd w:val="clear" w:color="auto" w:fill="FFFFFF"/>
        </w:rPr>
        <w:t>:</w:t>
      </w:r>
      <w:r w:rsidRPr="0060294E">
        <w:rPr>
          <w:rFonts w:ascii="Times New Roman" w:hAnsi="Times New Roman"/>
          <w:sz w:val="20"/>
          <w:szCs w:val="20"/>
          <w:shd w:val="clear" w:color="auto" w:fill="FFFFFF"/>
        </w:rPr>
        <w:t xml:space="preserve"> 1533-1536</w:t>
      </w:r>
      <w:r w:rsidR="006F5D37" w:rsidRPr="0060294E">
        <w:rPr>
          <w:rFonts w:ascii="Times New Roman" w:hAnsi="Times New Roman"/>
          <w:sz w:val="20"/>
          <w:szCs w:val="20"/>
          <w:shd w:val="clear" w:color="auto" w:fill="FFFFFF"/>
        </w:rPr>
        <w:t>.</w:t>
      </w:r>
    </w:p>
    <w:p w14:paraId="7BEFC2E2" w14:textId="77777777" w:rsidR="0060294E" w:rsidRPr="0060294E" w:rsidRDefault="00BA2DC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Hanafi, M.</w:t>
      </w:r>
      <w:r w:rsidR="0060294E">
        <w:rPr>
          <w:rFonts w:ascii="Times New Roman" w:hAnsi="Times New Roman"/>
          <w:sz w:val="20"/>
          <w:szCs w:val="20"/>
          <w:shd w:val="clear" w:color="auto" w:fill="FFFFFF"/>
        </w:rPr>
        <w:t xml:space="preserve"> </w:t>
      </w:r>
      <w:r w:rsidRPr="0060294E">
        <w:rPr>
          <w:rFonts w:ascii="Times New Roman" w:hAnsi="Times New Roman"/>
          <w:sz w:val="20"/>
          <w:szCs w:val="20"/>
          <w:shd w:val="clear" w:color="auto" w:fill="FFFFFF"/>
        </w:rPr>
        <w:t>F.</w:t>
      </w:r>
      <w:r w:rsidR="0060294E">
        <w:rPr>
          <w:rFonts w:ascii="Times New Roman" w:hAnsi="Times New Roman"/>
          <w:sz w:val="20"/>
          <w:szCs w:val="20"/>
          <w:shd w:val="clear" w:color="auto" w:fill="FFFFFF"/>
        </w:rPr>
        <w:t xml:space="preserve"> and </w:t>
      </w:r>
      <w:r w:rsidRPr="0060294E">
        <w:rPr>
          <w:rFonts w:ascii="Times New Roman" w:hAnsi="Times New Roman"/>
          <w:sz w:val="20"/>
          <w:szCs w:val="20"/>
          <w:shd w:val="clear" w:color="auto" w:fill="FFFFFF"/>
        </w:rPr>
        <w:t xml:space="preserve">Sapawe, N. (2019). </w:t>
      </w:r>
      <w:hyperlink r:id="rId16" w:history="1">
        <w:r w:rsidR="006F5D37" w:rsidRPr="0060294E">
          <w:rPr>
            <w:rFonts w:ascii="Times New Roman" w:eastAsia="Times New Roman" w:hAnsi="Times New Roman"/>
            <w:sz w:val="20"/>
            <w:szCs w:val="20"/>
            <w:lang w:eastAsia="en-GB"/>
          </w:rPr>
          <w:t>Electrogenerated zirconia (EGZrO</w:t>
        </w:r>
        <w:r w:rsidR="006F5D37" w:rsidRPr="0060294E">
          <w:rPr>
            <w:rFonts w:ascii="Times New Roman" w:eastAsia="Times New Roman" w:hAnsi="Times New Roman"/>
            <w:sz w:val="20"/>
            <w:szCs w:val="20"/>
            <w:vertAlign w:val="subscript"/>
            <w:lang w:eastAsia="en-GB"/>
          </w:rPr>
          <w:t>2</w:t>
        </w:r>
        <w:r w:rsidR="006F5D37" w:rsidRPr="0060294E">
          <w:rPr>
            <w:rFonts w:ascii="Times New Roman" w:eastAsia="Times New Roman" w:hAnsi="Times New Roman"/>
            <w:sz w:val="20"/>
            <w:szCs w:val="20"/>
            <w:lang w:eastAsia="en-GB"/>
          </w:rPr>
          <w:t>) nanoparticles as recyclable catalyst for effective photocatalytic degradation of phenol</w:t>
        </w:r>
      </w:hyperlink>
      <w:r w:rsidRPr="0060294E">
        <w:rPr>
          <w:rFonts w:ascii="Times New Roman" w:hAnsi="Times New Roman"/>
          <w:sz w:val="20"/>
          <w:szCs w:val="20"/>
          <w:shd w:val="clear" w:color="auto" w:fill="FFFFFF"/>
        </w:rPr>
        <w:t xml:space="preserve">. </w:t>
      </w:r>
      <w:r w:rsidR="006F5D37" w:rsidRPr="0060294E">
        <w:rPr>
          <w:rFonts w:ascii="Times New Roman" w:hAnsi="Times New Roman"/>
          <w:i/>
          <w:sz w:val="20"/>
          <w:szCs w:val="20"/>
          <w:shd w:val="clear" w:color="auto" w:fill="FFFFFF"/>
        </w:rPr>
        <w:t>Materials Today: Proceedings</w:t>
      </w:r>
      <w:r w:rsidRPr="0060294E">
        <w:rPr>
          <w:rFonts w:ascii="Times New Roman" w:hAnsi="Times New Roman"/>
          <w:sz w:val="20"/>
          <w:szCs w:val="20"/>
          <w:shd w:val="clear" w:color="auto" w:fill="FFFFFF"/>
        </w:rPr>
        <w:t xml:space="preserve">, </w:t>
      </w:r>
      <w:r w:rsidR="006F5D37" w:rsidRPr="0060294E">
        <w:rPr>
          <w:rFonts w:ascii="Times New Roman" w:hAnsi="Times New Roman"/>
          <w:iCs/>
          <w:sz w:val="20"/>
          <w:szCs w:val="20"/>
          <w:shd w:val="clear" w:color="auto" w:fill="FFFFFF"/>
        </w:rPr>
        <w:t>19(4)</w:t>
      </w:r>
      <w:r w:rsidR="0060294E">
        <w:rPr>
          <w:rFonts w:ascii="Times New Roman" w:hAnsi="Times New Roman"/>
          <w:sz w:val="20"/>
          <w:szCs w:val="20"/>
          <w:shd w:val="clear" w:color="auto" w:fill="FFFFFF"/>
        </w:rPr>
        <w:t>:</w:t>
      </w:r>
      <w:r w:rsidRPr="0060294E">
        <w:rPr>
          <w:rFonts w:ascii="Times New Roman" w:hAnsi="Times New Roman"/>
          <w:sz w:val="20"/>
          <w:szCs w:val="20"/>
          <w:shd w:val="clear" w:color="auto" w:fill="FFFFFF"/>
        </w:rPr>
        <w:t xml:space="preserve"> </w:t>
      </w:r>
      <w:r w:rsidR="006F5D37" w:rsidRPr="0060294E">
        <w:rPr>
          <w:rFonts w:ascii="Times New Roman" w:hAnsi="Times New Roman"/>
          <w:sz w:val="20"/>
          <w:szCs w:val="20"/>
          <w:shd w:val="clear" w:color="auto" w:fill="FFFFFF"/>
        </w:rPr>
        <w:t>1537-1540.</w:t>
      </w:r>
    </w:p>
    <w:p w14:paraId="1E8CDAA6" w14:textId="77777777" w:rsidR="0060294E" w:rsidRPr="0060294E" w:rsidRDefault="006F5D3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 xml:space="preserve">Sapawe, </w:t>
      </w:r>
      <w:r w:rsidR="00BA2DC7" w:rsidRPr="0060294E">
        <w:rPr>
          <w:rFonts w:ascii="Times New Roman" w:hAnsi="Times New Roman"/>
          <w:sz w:val="20"/>
          <w:szCs w:val="20"/>
          <w:shd w:val="clear" w:color="auto" w:fill="FFFFFF"/>
        </w:rPr>
        <w:t>N.</w:t>
      </w:r>
      <w:r w:rsidR="0060294E" w:rsidRPr="0060294E">
        <w:rPr>
          <w:rFonts w:ascii="Times New Roman" w:hAnsi="Times New Roman"/>
          <w:sz w:val="20"/>
          <w:szCs w:val="20"/>
          <w:shd w:val="clear" w:color="auto" w:fill="FFFFFF"/>
        </w:rPr>
        <w:t xml:space="preserve"> and </w:t>
      </w:r>
      <w:r w:rsidR="00BA2DC7" w:rsidRPr="0060294E">
        <w:rPr>
          <w:rFonts w:ascii="Times New Roman" w:hAnsi="Times New Roman"/>
          <w:sz w:val="20"/>
          <w:szCs w:val="20"/>
          <w:shd w:val="clear" w:color="auto" w:fill="FFFFFF"/>
        </w:rPr>
        <w:t>Hanafi, M.</w:t>
      </w:r>
      <w:r w:rsidR="0060294E" w:rsidRPr="0060294E">
        <w:rPr>
          <w:rFonts w:ascii="Times New Roman" w:hAnsi="Times New Roman"/>
          <w:sz w:val="20"/>
          <w:szCs w:val="20"/>
          <w:shd w:val="clear" w:color="auto" w:fill="FFFFFF"/>
        </w:rPr>
        <w:t xml:space="preserve"> </w:t>
      </w:r>
      <w:r w:rsidR="00BA2DC7" w:rsidRPr="0060294E">
        <w:rPr>
          <w:rFonts w:ascii="Times New Roman" w:hAnsi="Times New Roman"/>
          <w:sz w:val="20"/>
          <w:szCs w:val="20"/>
          <w:shd w:val="clear" w:color="auto" w:fill="FFFFFF"/>
        </w:rPr>
        <w:t xml:space="preserve">F. (2015). </w:t>
      </w:r>
      <w:r w:rsidRPr="0060294E">
        <w:rPr>
          <w:rFonts w:ascii="Times New Roman" w:hAnsi="Times New Roman"/>
          <w:sz w:val="20"/>
          <w:szCs w:val="20"/>
          <w:shd w:val="clear" w:color="auto" w:fill="FFFFFF"/>
        </w:rPr>
        <w:t>Facile one-pot electrosynthesis of high photoreactive hexacoordinated</w:t>
      </w:r>
      <w:r w:rsidR="00BA2DC7" w:rsidRPr="0060294E">
        <w:rPr>
          <w:rFonts w:ascii="Times New Roman" w:hAnsi="Times New Roman"/>
          <w:sz w:val="20"/>
          <w:szCs w:val="20"/>
          <w:shd w:val="clear" w:color="auto" w:fill="FFFFFF"/>
        </w:rPr>
        <w:t xml:space="preserve"> Si with Zr and Zn catalyst. </w:t>
      </w:r>
      <w:r w:rsidRPr="0060294E">
        <w:rPr>
          <w:rFonts w:ascii="Times New Roman" w:hAnsi="Times New Roman"/>
          <w:i/>
          <w:sz w:val="20"/>
          <w:szCs w:val="20"/>
          <w:shd w:val="clear" w:color="auto" w:fill="FFFFFF"/>
        </w:rPr>
        <w:t>RSC Advances</w:t>
      </w:r>
      <w:r w:rsidRPr="0060294E">
        <w:rPr>
          <w:rFonts w:ascii="Times New Roman" w:hAnsi="Times New Roman"/>
          <w:sz w:val="20"/>
          <w:szCs w:val="20"/>
          <w:shd w:val="clear" w:color="auto" w:fill="FFFFFF"/>
        </w:rPr>
        <w:t>, </w:t>
      </w:r>
      <w:r w:rsidRPr="0060294E">
        <w:rPr>
          <w:rFonts w:ascii="Times New Roman" w:hAnsi="Times New Roman"/>
          <w:iCs/>
          <w:sz w:val="20"/>
          <w:szCs w:val="20"/>
          <w:shd w:val="clear" w:color="auto" w:fill="FFFFFF"/>
        </w:rPr>
        <w:t>5</w:t>
      </w:r>
      <w:r w:rsidR="00BA2DC7" w:rsidRPr="0060294E">
        <w:rPr>
          <w:rFonts w:ascii="Times New Roman" w:hAnsi="Times New Roman"/>
          <w:sz w:val="20"/>
          <w:szCs w:val="20"/>
          <w:shd w:val="clear" w:color="auto" w:fill="FFFFFF"/>
        </w:rPr>
        <w:t>(92)</w:t>
      </w:r>
      <w:r w:rsidR="0060294E" w:rsidRPr="0060294E">
        <w:rPr>
          <w:rFonts w:ascii="Times New Roman" w:hAnsi="Times New Roman"/>
          <w:sz w:val="20"/>
          <w:szCs w:val="20"/>
          <w:shd w:val="clear" w:color="auto" w:fill="FFFFFF"/>
        </w:rPr>
        <w:t>:</w:t>
      </w:r>
      <w:r w:rsidR="00BA2DC7" w:rsidRPr="0060294E">
        <w:rPr>
          <w:rFonts w:ascii="Times New Roman" w:hAnsi="Times New Roman"/>
          <w:sz w:val="20"/>
          <w:szCs w:val="20"/>
          <w:shd w:val="clear" w:color="auto" w:fill="FFFFFF"/>
        </w:rPr>
        <w:t xml:space="preserve"> 75141-75144</w:t>
      </w:r>
      <w:r w:rsidRPr="0060294E">
        <w:rPr>
          <w:rFonts w:ascii="Times New Roman" w:hAnsi="Times New Roman"/>
          <w:sz w:val="20"/>
          <w:szCs w:val="20"/>
          <w:shd w:val="clear" w:color="auto" w:fill="FFFFFF"/>
        </w:rPr>
        <w:t>.</w:t>
      </w:r>
    </w:p>
    <w:p w14:paraId="23262821" w14:textId="4152084B" w:rsidR="0060294E" w:rsidRPr="0060294E" w:rsidRDefault="00BA2DC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 xml:space="preserve">Sapawe, N. (2015). </w:t>
      </w:r>
      <w:r w:rsidR="006F5D37" w:rsidRPr="0060294E">
        <w:rPr>
          <w:rFonts w:ascii="Times New Roman" w:hAnsi="Times New Roman"/>
          <w:sz w:val="20"/>
          <w:szCs w:val="20"/>
          <w:shd w:val="clear" w:color="auto" w:fill="FFFFFF"/>
        </w:rPr>
        <w:t>Hybridization of zirconia, zinc and iron supported on HY zeolite as a solar-based catalyst for the rapid decolorization of various dyes</w:t>
      </w:r>
      <w:r w:rsidRPr="0060294E">
        <w:rPr>
          <w:rFonts w:ascii="Times New Roman" w:hAnsi="Times New Roman"/>
          <w:sz w:val="20"/>
          <w:szCs w:val="20"/>
          <w:shd w:val="clear" w:color="auto" w:fill="FFFFFF"/>
        </w:rPr>
        <w:t xml:space="preserve">. </w:t>
      </w:r>
      <w:r w:rsidR="006F5D37" w:rsidRPr="0060294E">
        <w:rPr>
          <w:rFonts w:ascii="Times New Roman" w:hAnsi="Times New Roman"/>
          <w:i/>
          <w:sz w:val="20"/>
          <w:szCs w:val="20"/>
          <w:shd w:val="clear" w:color="auto" w:fill="FFFFFF"/>
        </w:rPr>
        <w:t>New Journal of Chemistry</w:t>
      </w:r>
      <w:r w:rsidR="006F5D37" w:rsidRPr="0060294E">
        <w:rPr>
          <w:rFonts w:ascii="Times New Roman" w:hAnsi="Times New Roman"/>
          <w:sz w:val="20"/>
          <w:szCs w:val="20"/>
          <w:shd w:val="clear" w:color="auto" w:fill="FFFFFF"/>
        </w:rPr>
        <w:t>, </w:t>
      </w:r>
      <w:r w:rsidRPr="0060294E">
        <w:rPr>
          <w:rFonts w:ascii="Times New Roman" w:hAnsi="Times New Roman"/>
          <w:sz w:val="20"/>
          <w:szCs w:val="20"/>
          <w:shd w:val="clear" w:color="auto" w:fill="FFFFFF"/>
        </w:rPr>
        <w:t>3</w:t>
      </w:r>
      <w:r w:rsidR="006F5D37" w:rsidRPr="0060294E">
        <w:rPr>
          <w:rFonts w:ascii="Times New Roman" w:hAnsi="Times New Roman"/>
          <w:iCs/>
          <w:sz w:val="20"/>
          <w:szCs w:val="20"/>
          <w:shd w:val="clear" w:color="auto" w:fill="FFFFFF"/>
        </w:rPr>
        <w:t>9</w:t>
      </w:r>
      <w:r w:rsidRPr="0060294E">
        <w:rPr>
          <w:rFonts w:ascii="Times New Roman" w:hAnsi="Times New Roman"/>
          <w:sz w:val="20"/>
          <w:szCs w:val="20"/>
          <w:shd w:val="clear" w:color="auto" w:fill="FFFFFF"/>
        </w:rPr>
        <w:t>(6)</w:t>
      </w:r>
      <w:r w:rsidR="0060294E">
        <w:rPr>
          <w:rFonts w:ascii="Times New Roman" w:hAnsi="Times New Roman"/>
          <w:sz w:val="20"/>
          <w:szCs w:val="20"/>
          <w:shd w:val="clear" w:color="auto" w:fill="FFFFFF"/>
        </w:rPr>
        <w:t>:</w:t>
      </w:r>
      <w:r w:rsidRPr="0060294E">
        <w:rPr>
          <w:rFonts w:ascii="Times New Roman" w:hAnsi="Times New Roman"/>
          <w:sz w:val="20"/>
          <w:szCs w:val="20"/>
          <w:shd w:val="clear" w:color="auto" w:fill="FFFFFF"/>
        </w:rPr>
        <w:t xml:space="preserve"> 4526-4533</w:t>
      </w:r>
      <w:r w:rsidR="006F5D37" w:rsidRPr="0060294E">
        <w:rPr>
          <w:rFonts w:ascii="Times New Roman" w:hAnsi="Times New Roman"/>
          <w:sz w:val="20"/>
          <w:szCs w:val="20"/>
          <w:shd w:val="clear" w:color="auto" w:fill="FFFFFF"/>
        </w:rPr>
        <w:t>.</w:t>
      </w:r>
    </w:p>
    <w:p w14:paraId="200A71C2" w14:textId="5676CD14" w:rsidR="0060294E" w:rsidRPr="0060294E" w:rsidRDefault="00BA2DC7"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shd w:val="clear" w:color="auto" w:fill="FFFFFF"/>
        </w:rPr>
        <w:t xml:space="preserve">Sapawe, N. (2015). </w:t>
      </w:r>
      <w:r w:rsidR="006F5D37" w:rsidRPr="0060294E">
        <w:rPr>
          <w:rFonts w:ascii="Times New Roman" w:hAnsi="Times New Roman"/>
          <w:sz w:val="20"/>
          <w:szCs w:val="20"/>
          <w:shd w:val="clear" w:color="auto" w:fill="FFFFFF"/>
        </w:rPr>
        <w:t>Effective solar-based iron oxide supported HY zeolite catalyst for the decolorization of organic and simul</w:t>
      </w:r>
      <w:r w:rsidRPr="0060294E">
        <w:rPr>
          <w:rFonts w:ascii="Times New Roman" w:hAnsi="Times New Roman"/>
          <w:sz w:val="20"/>
          <w:szCs w:val="20"/>
          <w:shd w:val="clear" w:color="auto" w:fill="FFFFFF"/>
        </w:rPr>
        <w:t xml:space="preserve">ated dyes. </w:t>
      </w:r>
      <w:r w:rsidR="006F5D37" w:rsidRPr="0060294E">
        <w:rPr>
          <w:rFonts w:ascii="Times New Roman" w:hAnsi="Times New Roman"/>
          <w:i/>
          <w:sz w:val="20"/>
          <w:szCs w:val="20"/>
          <w:shd w:val="clear" w:color="auto" w:fill="FFFFFF"/>
        </w:rPr>
        <w:t>New Journal of Chemistry</w:t>
      </w:r>
      <w:r w:rsidR="006F5D37" w:rsidRPr="0060294E">
        <w:rPr>
          <w:rFonts w:ascii="Times New Roman" w:hAnsi="Times New Roman"/>
          <w:sz w:val="20"/>
          <w:szCs w:val="20"/>
          <w:shd w:val="clear" w:color="auto" w:fill="FFFFFF"/>
        </w:rPr>
        <w:t>, </w:t>
      </w:r>
      <w:r w:rsidR="006F5D37" w:rsidRPr="0060294E">
        <w:rPr>
          <w:rFonts w:ascii="Times New Roman" w:hAnsi="Times New Roman"/>
          <w:iCs/>
          <w:sz w:val="20"/>
          <w:szCs w:val="20"/>
          <w:shd w:val="clear" w:color="auto" w:fill="FFFFFF"/>
        </w:rPr>
        <w:t>39</w:t>
      </w:r>
      <w:r w:rsidRPr="0060294E">
        <w:rPr>
          <w:rFonts w:ascii="Times New Roman" w:hAnsi="Times New Roman"/>
          <w:sz w:val="20"/>
          <w:szCs w:val="20"/>
          <w:shd w:val="clear" w:color="auto" w:fill="FFFFFF"/>
        </w:rPr>
        <w:t>(8)</w:t>
      </w:r>
      <w:r w:rsidR="0060294E">
        <w:rPr>
          <w:rFonts w:ascii="Times New Roman" w:hAnsi="Times New Roman"/>
          <w:sz w:val="20"/>
          <w:szCs w:val="20"/>
          <w:shd w:val="clear" w:color="auto" w:fill="FFFFFF"/>
        </w:rPr>
        <w:t>:</w:t>
      </w:r>
      <w:r w:rsidRPr="0060294E">
        <w:rPr>
          <w:rFonts w:ascii="Times New Roman" w:hAnsi="Times New Roman"/>
          <w:sz w:val="20"/>
          <w:szCs w:val="20"/>
          <w:shd w:val="clear" w:color="auto" w:fill="FFFFFF"/>
        </w:rPr>
        <w:t xml:space="preserve"> 6377-6387</w:t>
      </w:r>
      <w:r w:rsidR="006F5D37" w:rsidRPr="0060294E">
        <w:rPr>
          <w:rFonts w:ascii="Times New Roman" w:hAnsi="Times New Roman"/>
          <w:sz w:val="20"/>
          <w:szCs w:val="20"/>
          <w:shd w:val="clear" w:color="auto" w:fill="FFFFFF"/>
        </w:rPr>
        <w:t>.</w:t>
      </w:r>
    </w:p>
    <w:p w14:paraId="6DD768CB" w14:textId="54A32CDA" w:rsidR="0060294E" w:rsidRPr="0060294E" w:rsidRDefault="00C1413F"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rPr>
        <w:t>Rahdar, A., Aliahmad, M.</w:t>
      </w:r>
      <w:r w:rsidR="0060294E">
        <w:rPr>
          <w:rFonts w:ascii="Times New Roman" w:hAnsi="Times New Roman"/>
          <w:sz w:val="20"/>
          <w:szCs w:val="20"/>
        </w:rPr>
        <w:t xml:space="preserve"> and </w:t>
      </w:r>
      <w:r w:rsidRPr="0060294E">
        <w:rPr>
          <w:rFonts w:ascii="Times New Roman" w:hAnsi="Times New Roman"/>
          <w:sz w:val="20"/>
          <w:szCs w:val="20"/>
        </w:rPr>
        <w:t xml:space="preserve">Azizi, Y. (2015). NiO nanoparticles: </w:t>
      </w:r>
      <w:r w:rsidR="0060294E">
        <w:rPr>
          <w:rFonts w:ascii="Times New Roman" w:hAnsi="Times New Roman"/>
          <w:sz w:val="20"/>
          <w:szCs w:val="20"/>
        </w:rPr>
        <w:t>S</w:t>
      </w:r>
      <w:r w:rsidRPr="0060294E">
        <w:rPr>
          <w:rFonts w:ascii="Times New Roman" w:hAnsi="Times New Roman"/>
          <w:sz w:val="20"/>
          <w:szCs w:val="20"/>
        </w:rPr>
        <w:t xml:space="preserve">ynthesis and characterization. </w:t>
      </w:r>
      <w:r w:rsidRPr="0060294E">
        <w:rPr>
          <w:rFonts w:ascii="Times New Roman" w:hAnsi="Times New Roman"/>
          <w:i/>
          <w:iCs/>
          <w:sz w:val="20"/>
          <w:szCs w:val="20"/>
        </w:rPr>
        <w:t>Journal of Nanostructures</w:t>
      </w:r>
      <w:r w:rsidRPr="0060294E">
        <w:rPr>
          <w:rFonts w:ascii="Times New Roman" w:hAnsi="Times New Roman"/>
          <w:sz w:val="20"/>
          <w:szCs w:val="20"/>
        </w:rPr>
        <w:t>, 15</w:t>
      </w:r>
      <w:r w:rsidR="0060294E">
        <w:rPr>
          <w:rFonts w:ascii="Times New Roman" w:hAnsi="Times New Roman"/>
          <w:sz w:val="20"/>
          <w:szCs w:val="20"/>
        </w:rPr>
        <w:t>:</w:t>
      </w:r>
      <w:r w:rsidRPr="0060294E">
        <w:rPr>
          <w:rFonts w:ascii="Times New Roman" w:hAnsi="Times New Roman"/>
          <w:sz w:val="20"/>
          <w:szCs w:val="20"/>
        </w:rPr>
        <w:t xml:space="preserve"> 145-151</w:t>
      </w:r>
      <w:r w:rsidR="00931C64" w:rsidRPr="0060294E">
        <w:rPr>
          <w:rFonts w:ascii="Times New Roman" w:hAnsi="Times New Roman"/>
          <w:sz w:val="20"/>
          <w:szCs w:val="20"/>
        </w:rPr>
        <w:t>.</w:t>
      </w:r>
    </w:p>
    <w:p w14:paraId="1F8BE483" w14:textId="1E3219CE" w:rsidR="0060294E" w:rsidRPr="0060294E" w:rsidRDefault="00C1413F"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rPr>
        <w:t>Yuvakumar, R., Suresh, J., Joseph, A.</w:t>
      </w:r>
      <w:r w:rsidR="0060294E">
        <w:rPr>
          <w:rFonts w:ascii="Times New Roman" w:hAnsi="Times New Roman"/>
          <w:sz w:val="20"/>
          <w:szCs w:val="20"/>
        </w:rPr>
        <w:t xml:space="preserve"> </w:t>
      </w:r>
      <w:r w:rsidRPr="0060294E">
        <w:rPr>
          <w:rFonts w:ascii="Times New Roman" w:hAnsi="Times New Roman"/>
          <w:sz w:val="20"/>
          <w:szCs w:val="20"/>
        </w:rPr>
        <w:t>N., Sundrarajan, M.</w:t>
      </w:r>
      <w:r w:rsidR="0060294E">
        <w:rPr>
          <w:rFonts w:ascii="Times New Roman" w:hAnsi="Times New Roman"/>
          <w:sz w:val="20"/>
          <w:szCs w:val="20"/>
        </w:rPr>
        <w:t xml:space="preserve"> and </w:t>
      </w:r>
      <w:r w:rsidRPr="0060294E">
        <w:rPr>
          <w:rFonts w:ascii="Times New Roman" w:hAnsi="Times New Roman"/>
          <w:sz w:val="20"/>
          <w:szCs w:val="20"/>
        </w:rPr>
        <w:t>Hong, S.</w:t>
      </w:r>
      <w:r w:rsidR="0060294E">
        <w:rPr>
          <w:rFonts w:ascii="Times New Roman" w:hAnsi="Times New Roman"/>
          <w:sz w:val="20"/>
          <w:szCs w:val="20"/>
        </w:rPr>
        <w:t xml:space="preserve"> </w:t>
      </w:r>
      <w:r w:rsidRPr="0060294E">
        <w:rPr>
          <w:rFonts w:ascii="Times New Roman" w:hAnsi="Times New Roman"/>
          <w:sz w:val="20"/>
          <w:szCs w:val="20"/>
        </w:rPr>
        <w:t>I. (2014). Rambutan (</w:t>
      </w:r>
      <w:r w:rsidRPr="0060294E">
        <w:rPr>
          <w:rFonts w:ascii="Times New Roman" w:hAnsi="Times New Roman"/>
          <w:i/>
          <w:iCs/>
          <w:sz w:val="20"/>
          <w:szCs w:val="20"/>
        </w:rPr>
        <w:t>Nephelium lappaceum</w:t>
      </w:r>
      <w:r w:rsidRPr="0060294E">
        <w:rPr>
          <w:rFonts w:ascii="Times New Roman" w:hAnsi="Times New Roman"/>
          <w:sz w:val="20"/>
          <w:szCs w:val="20"/>
        </w:rPr>
        <w:t xml:space="preserve"> L.) peel extract assisted biomimetic synthesis of nickel oxide nanocrystals. </w:t>
      </w:r>
      <w:r w:rsidRPr="0060294E">
        <w:rPr>
          <w:rFonts w:ascii="Times New Roman" w:hAnsi="Times New Roman"/>
          <w:i/>
          <w:iCs/>
          <w:sz w:val="20"/>
          <w:szCs w:val="20"/>
        </w:rPr>
        <w:t>Material Letters</w:t>
      </w:r>
      <w:r w:rsidRPr="0060294E">
        <w:rPr>
          <w:rFonts w:ascii="Times New Roman" w:hAnsi="Times New Roman"/>
          <w:sz w:val="20"/>
          <w:szCs w:val="20"/>
        </w:rPr>
        <w:t>, 128(1)</w:t>
      </w:r>
      <w:r w:rsidR="0060294E">
        <w:rPr>
          <w:rFonts w:ascii="Times New Roman" w:hAnsi="Times New Roman"/>
          <w:sz w:val="20"/>
          <w:szCs w:val="20"/>
        </w:rPr>
        <w:t xml:space="preserve">: </w:t>
      </w:r>
      <w:r w:rsidRPr="0060294E">
        <w:rPr>
          <w:rFonts w:ascii="Times New Roman" w:hAnsi="Times New Roman"/>
          <w:sz w:val="20"/>
          <w:szCs w:val="20"/>
        </w:rPr>
        <w:t>170-174</w:t>
      </w:r>
      <w:r w:rsidR="00931C64" w:rsidRPr="0060294E">
        <w:rPr>
          <w:rFonts w:ascii="Times New Roman" w:hAnsi="Times New Roman"/>
          <w:sz w:val="20"/>
          <w:szCs w:val="20"/>
        </w:rPr>
        <w:t>.</w:t>
      </w:r>
    </w:p>
    <w:p w14:paraId="6E5177F5" w14:textId="79A0FAB7" w:rsidR="0060294E" w:rsidRPr="0060294E" w:rsidRDefault="00C1413F"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rPr>
        <w:t>Algubili, A.</w:t>
      </w:r>
      <w:r w:rsidR="0060294E">
        <w:rPr>
          <w:rFonts w:ascii="Times New Roman" w:hAnsi="Times New Roman"/>
          <w:sz w:val="20"/>
          <w:szCs w:val="20"/>
        </w:rPr>
        <w:t xml:space="preserve"> </w:t>
      </w:r>
      <w:r w:rsidRPr="0060294E">
        <w:rPr>
          <w:rFonts w:ascii="Times New Roman" w:hAnsi="Times New Roman"/>
          <w:sz w:val="20"/>
          <w:szCs w:val="20"/>
        </w:rPr>
        <w:t>M., Alrobayi, E. M.</w:t>
      </w:r>
      <w:r w:rsidR="0060294E">
        <w:rPr>
          <w:rFonts w:ascii="Times New Roman" w:hAnsi="Times New Roman"/>
          <w:sz w:val="20"/>
          <w:szCs w:val="20"/>
        </w:rPr>
        <w:t xml:space="preserve"> and </w:t>
      </w:r>
      <w:r w:rsidRPr="0060294E">
        <w:rPr>
          <w:rFonts w:ascii="Times New Roman" w:hAnsi="Times New Roman"/>
          <w:sz w:val="20"/>
          <w:szCs w:val="20"/>
        </w:rPr>
        <w:t>Alkaim, A. F. (2015). Photocatalytic degradation of remazol brilliant blue dye by Zn</w:t>
      </w:r>
      <w:r w:rsidR="0060294E">
        <w:rPr>
          <w:rFonts w:ascii="Times New Roman" w:hAnsi="Times New Roman"/>
          <w:sz w:val="20"/>
          <w:szCs w:val="20"/>
        </w:rPr>
        <w:t>O</w:t>
      </w:r>
      <w:r w:rsidRPr="0060294E">
        <w:rPr>
          <w:rFonts w:ascii="Times New Roman" w:hAnsi="Times New Roman"/>
          <w:sz w:val="20"/>
          <w:szCs w:val="20"/>
        </w:rPr>
        <w:t xml:space="preserve">/UV process. </w:t>
      </w:r>
      <w:r w:rsidRPr="0060294E">
        <w:rPr>
          <w:rFonts w:ascii="Times New Roman" w:hAnsi="Times New Roman"/>
          <w:i/>
          <w:iCs/>
          <w:sz w:val="20"/>
          <w:szCs w:val="20"/>
        </w:rPr>
        <w:t>International Journal Chemistry and Science</w:t>
      </w:r>
      <w:r w:rsidRPr="0060294E">
        <w:rPr>
          <w:rFonts w:ascii="Times New Roman" w:hAnsi="Times New Roman"/>
          <w:sz w:val="20"/>
          <w:szCs w:val="20"/>
        </w:rPr>
        <w:t>, 13(2)</w:t>
      </w:r>
      <w:r w:rsidR="0060294E">
        <w:rPr>
          <w:rFonts w:ascii="Times New Roman" w:hAnsi="Times New Roman"/>
          <w:sz w:val="20"/>
          <w:szCs w:val="20"/>
        </w:rPr>
        <w:t>:</w:t>
      </w:r>
      <w:r w:rsidRPr="0060294E">
        <w:rPr>
          <w:rFonts w:ascii="Times New Roman" w:hAnsi="Times New Roman"/>
          <w:sz w:val="20"/>
          <w:szCs w:val="20"/>
        </w:rPr>
        <w:t xml:space="preserve"> 911-921</w:t>
      </w:r>
      <w:r w:rsidR="00931C64" w:rsidRPr="0060294E">
        <w:rPr>
          <w:rFonts w:ascii="Times New Roman" w:hAnsi="Times New Roman"/>
          <w:sz w:val="20"/>
          <w:szCs w:val="20"/>
        </w:rPr>
        <w:t>.</w:t>
      </w:r>
    </w:p>
    <w:p w14:paraId="15BEB1B6" w14:textId="5DCAB33B" w:rsidR="0060294E" w:rsidRPr="0060294E" w:rsidRDefault="00C1413F"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rPr>
        <w:t>Das, D.</w:t>
      </w:r>
      <w:r w:rsidR="0060294E">
        <w:rPr>
          <w:rFonts w:ascii="Times New Roman" w:hAnsi="Times New Roman"/>
          <w:sz w:val="20"/>
          <w:szCs w:val="20"/>
        </w:rPr>
        <w:t xml:space="preserve"> </w:t>
      </w:r>
      <w:r w:rsidRPr="0060294E">
        <w:rPr>
          <w:rFonts w:ascii="Times New Roman" w:hAnsi="Times New Roman"/>
          <w:sz w:val="20"/>
          <w:szCs w:val="20"/>
        </w:rPr>
        <w:t>P., Baliarsingh, N.</w:t>
      </w:r>
      <w:r w:rsidR="0060294E">
        <w:rPr>
          <w:rFonts w:ascii="Times New Roman" w:hAnsi="Times New Roman"/>
          <w:sz w:val="20"/>
          <w:szCs w:val="20"/>
        </w:rPr>
        <w:t xml:space="preserve"> and </w:t>
      </w:r>
      <w:r w:rsidRPr="0060294E">
        <w:rPr>
          <w:rFonts w:ascii="Times New Roman" w:hAnsi="Times New Roman"/>
          <w:sz w:val="20"/>
          <w:szCs w:val="20"/>
        </w:rPr>
        <w:t>Parida, K.M. (2007). Photocataly</w:t>
      </w:r>
      <w:r w:rsidR="00931C64" w:rsidRPr="0060294E">
        <w:rPr>
          <w:rFonts w:ascii="Times New Roman" w:hAnsi="Times New Roman"/>
          <w:sz w:val="20"/>
          <w:szCs w:val="20"/>
        </w:rPr>
        <w:t>tic decolorisation of methylene blue (MB) over titania pillared zirconium phosphate (ZrP)</w:t>
      </w:r>
      <w:r w:rsidRPr="0060294E">
        <w:rPr>
          <w:rFonts w:ascii="Times New Roman" w:hAnsi="Times New Roman"/>
          <w:sz w:val="20"/>
          <w:szCs w:val="20"/>
        </w:rPr>
        <w:t xml:space="preserve"> and titanium phosphate (TiP) under solar radiation.  </w:t>
      </w:r>
      <w:r w:rsidRPr="0060294E">
        <w:rPr>
          <w:rFonts w:ascii="Times New Roman" w:hAnsi="Times New Roman"/>
          <w:i/>
          <w:iCs/>
          <w:sz w:val="20"/>
          <w:szCs w:val="20"/>
        </w:rPr>
        <w:t xml:space="preserve">Journal of Molecular </w:t>
      </w:r>
      <w:r w:rsidR="008A0CF5" w:rsidRPr="0060294E">
        <w:rPr>
          <w:rFonts w:ascii="Times New Roman" w:hAnsi="Times New Roman"/>
          <w:i/>
          <w:iCs/>
          <w:sz w:val="20"/>
          <w:szCs w:val="20"/>
        </w:rPr>
        <w:t>Catalysis A: Chemical</w:t>
      </w:r>
      <w:r w:rsidR="008A0CF5" w:rsidRPr="0060294E">
        <w:rPr>
          <w:rFonts w:ascii="Times New Roman" w:hAnsi="Times New Roman"/>
          <w:sz w:val="20"/>
          <w:szCs w:val="20"/>
        </w:rPr>
        <w:t>, 261</w:t>
      </w:r>
      <w:r w:rsidR="0060294E">
        <w:rPr>
          <w:rFonts w:ascii="Times New Roman" w:hAnsi="Times New Roman"/>
          <w:sz w:val="20"/>
          <w:szCs w:val="20"/>
        </w:rPr>
        <w:t xml:space="preserve">: </w:t>
      </w:r>
      <w:r w:rsidR="008A0CF5" w:rsidRPr="0060294E">
        <w:rPr>
          <w:rFonts w:ascii="Times New Roman" w:hAnsi="Times New Roman"/>
          <w:sz w:val="20"/>
          <w:szCs w:val="20"/>
        </w:rPr>
        <w:t>254-</w:t>
      </w:r>
      <w:r w:rsidRPr="0060294E">
        <w:rPr>
          <w:rFonts w:ascii="Times New Roman" w:hAnsi="Times New Roman"/>
          <w:sz w:val="20"/>
          <w:szCs w:val="20"/>
        </w:rPr>
        <w:t>261</w:t>
      </w:r>
      <w:r w:rsidR="00931C64" w:rsidRPr="0060294E">
        <w:rPr>
          <w:rFonts w:ascii="Times New Roman" w:hAnsi="Times New Roman"/>
          <w:sz w:val="20"/>
          <w:szCs w:val="20"/>
        </w:rPr>
        <w:t>.</w:t>
      </w:r>
    </w:p>
    <w:p w14:paraId="30EFD43A" w14:textId="213FB367" w:rsidR="00535E6D" w:rsidRPr="0060294E" w:rsidRDefault="00535E6D" w:rsidP="0060294E">
      <w:pPr>
        <w:pStyle w:val="ListParagraph"/>
        <w:numPr>
          <w:ilvl w:val="0"/>
          <w:numId w:val="6"/>
        </w:numPr>
        <w:ind w:left="567" w:hanging="567"/>
        <w:jc w:val="both"/>
        <w:rPr>
          <w:rFonts w:ascii="Times New Roman" w:hAnsi="Times New Roman"/>
          <w:sz w:val="20"/>
          <w:szCs w:val="20"/>
        </w:rPr>
      </w:pPr>
      <w:r w:rsidRPr="0060294E">
        <w:rPr>
          <w:rFonts w:ascii="Times New Roman" w:hAnsi="Times New Roman"/>
          <w:sz w:val="20"/>
          <w:szCs w:val="20"/>
        </w:rPr>
        <w:t>Sapawe, N., Jalil, A.</w:t>
      </w:r>
      <w:r w:rsidR="0060294E">
        <w:rPr>
          <w:rFonts w:ascii="Times New Roman" w:hAnsi="Times New Roman"/>
          <w:sz w:val="20"/>
          <w:szCs w:val="20"/>
        </w:rPr>
        <w:t xml:space="preserve"> </w:t>
      </w:r>
      <w:r w:rsidRPr="0060294E">
        <w:rPr>
          <w:rFonts w:ascii="Times New Roman" w:hAnsi="Times New Roman"/>
          <w:sz w:val="20"/>
          <w:szCs w:val="20"/>
        </w:rPr>
        <w:t>A., Triwahyono, S., Adam, S.</w:t>
      </w:r>
      <w:r w:rsidR="0060294E">
        <w:rPr>
          <w:rFonts w:ascii="Times New Roman" w:hAnsi="Times New Roman"/>
          <w:sz w:val="20"/>
          <w:szCs w:val="20"/>
        </w:rPr>
        <w:t xml:space="preserve"> </w:t>
      </w:r>
      <w:r w:rsidRPr="0060294E">
        <w:rPr>
          <w:rFonts w:ascii="Times New Roman" w:hAnsi="Times New Roman"/>
          <w:sz w:val="20"/>
          <w:szCs w:val="20"/>
        </w:rPr>
        <w:t>H., Jaafar, N. F.</w:t>
      </w:r>
      <w:r w:rsidR="0060294E">
        <w:rPr>
          <w:rFonts w:ascii="Times New Roman" w:hAnsi="Times New Roman"/>
          <w:sz w:val="20"/>
          <w:szCs w:val="20"/>
        </w:rPr>
        <w:t xml:space="preserve"> and </w:t>
      </w:r>
      <w:r w:rsidRPr="0060294E">
        <w:rPr>
          <w:rFonts w:ascii="Times New Roman" w:hAnsi="Times New Roman"/>
          <w:sz w:val="20"/>
          <w:szCs w:val="20"/>
        </w:rPr>
        <w:t>Satar, M.</w:t>
      </w:r>
      <w:r w:rsidR="0060294E">
        <w:rPr>
          <w:rFonts w:ascii="Times New Roman" w:hAnsi="Times New Roman"/>
          <w:sz w:val="20"/>
          <w:szCs w:val="20"/>
        </w:rPr>
        <w:t xml:space="preserve"> </w:t>
      </w:r>
      <w:r w:rsidRPr="0060294E">
        <w:rPr>
          <w:rFonts w:ascii="Times New Roman" w:hAnsi="Times New Roman"/>
          <w:sz w:val="20"/>
          <w:szCs w:val="20"/>
        </w:rPr>
        <w:t>A.</w:t>
      </w:r>
      <w:r w:rsidR="0060294E">
        <w:rPr>
          <w:rFonts w:ascii="Times New Roman" w:hAnsi="Times New Roman"/>
          <w:sz w:val="20"/>
          <w:szCs w:val="20"/>
        </w:rPr>
        <w:t xml:space="preserve"> </w:t>
      </w:r>
      <w:r w:rsidRPr="0060294E">
        <w:rPr>
          <w:rFonts w:ascii="Times New Roman" w:hAnsi="Times New Roman"/>
          <w:sz w:val="20"/>
          <w:szCs w:val="20"/>
        </w:rPr>
        <w:t xml:space="preserve">H. (2012). Isomorphous substitution of Zr in the framework of aluminosilicate HY by an electrochemical method: Evaluation by methylene blue degradation. </w:t>
      </w:r>
      <w:r w:rsidRPr="0060294E">
        <w:rPr>
          <w:rFonts w:ascii="Times New Roman" w:hAnsi="Times New Roman"/>
          <w:i/>
          <w:iCs/>
          <w:sz w:val="20"/>
          <w:szCs w:val="20"/>
        </w:rPr>
        <w:t>Applied Catalysis B: Environmental</w:t>
      </w:r>
      <w:r w:rsidRPr="0060294E">
        <w:rPr>
          <w:rFonts w:ascii="Times New Roman" w:hAnsi="Times New Roman"/>
          <w:sz w:val="20"/>
          <w:szCs w:val="20"/>
        </w:rPr>
        <w:t>, 125</w:t>
      </w:r>
      <w:r w:rsidR="0060294E">
        <w:rPr>
          <w:rFonts w:ascii="Times New Roman" w:hAnsi="Times New Roman"/>
          <w:sz w:val="20"/>
          <w:szCs w:val="20"/>
        </w:rPr>
        <w:t xml:space="preserve">: </w:t>
      </w:r>
      <w:bookmarkStart w:id="4" w:name="_GoBack"/>
      <w:bookmarkEnd w:id="4"/>
      <w:r w:rsidRPr="0060294E">
        <w:rPr>
          <w:rFonts w:ascii="Times New Roman" w:hAnsi="Times New Roman"/>
          <w:sz w:val="20"/>
          <w:szCs w:val="20"/>
        </w:rPr>
        <w:t>311-323.</w:t>
      </w:r>
    </w:p>
    <w:p w14:paraId="7BAD7A3A" w14:textId="77777777" w:rsidR="00BB3260" w:rsidRPr="008B0111" w:rsidRDefault="00BB3260" w:rsidP="00C93EDB">
      <w:pPr>
        <w:ind w:left="567" w:hanging="567"/>
        <w:jc w:val="both"/>
        <w:rPr>
          <w:sz w:val="20"/>
          <w:szCs w:val="20"/>
        </w:rPr>
      </w:pPr>
    </w:p>
    <w:p w14:paraId="4936F603" w14:textId="77777777" w:rsidR="00535E6D" w:rsidRPr="008B0111" w:rsidRDefault="00535E6D" w:rsidP="00C93EDB">
      <w:pPr>
        <w:ind w:left="567" w:hanging="567"/>
        <w:jc w:val="both"/>
        <w:rPr>
          <w:sz w:val="20"/>
          <w:szCs w:val="20"/>
        </w:rPr>
      </w:pPr>
    </w:p>
    <w:p w14:paraId="5C889D24" w14:textId="77777777" w:rsidR="00C1413F" w:rsidRPr="008B0111" w:rsidRDefault="00C1413F" w:rsidP="00C93EDB">
      <w:pPr>
        <w:widowControl w:val="0"/>
        <w:autoSpaceDE w:val="0"/>
        <w:autoSpaceDN w:val="0"/>
        <w:adjustRightInd w:val="0"/>
        <w:ind w:left="567" w:hanging="567"/>
        <w:jc w:val="both"/>
        <w:rPr>
          <w:noProof/>
          <w:sz w:val="20"/>
          <w:szCs w:val="20"/>
        </w:rPr>
      </w:pPr>
    </w:p>
    <w:sectPr w:rsidR="00C1413F" w:rsidRPr="008B0111">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1603B" w14:textId="77777777" w:rsidR="004C26FB" w:rsidRDefault="004C26FB" w:rsidP="000708F1">
      <w:r>
        <w:separator/>
      </w:r>
    </w:p>
  </w:endnote>
  <w:endnote w:type="continuationSeparator" w:id="0">
    <w:p w14:paraId="07AD004D" w14:textId="77777777" w:rsidR="004C26FB" w:rsidRDefault="004C26FB" w:rsidP="00070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11D90" w14:textId="71E48224" w:rsidR="00CE4942" w:rsidRPr="000708F1" w:rsidRDefault="00CE4942">
    <w:pPr>
      <w:pStyle w:val="Footer"/>
      <w:jc w:val="right"/>
      <w:rPr>
        <w:sz w:val="20"/>
        <w:szCs w:val="20"/>
      </w:rPr>
    </w:pPr>
  </w:p>
  <w:p w14:paraId="3647F32E" w14:textId="77777777" w:rsidR="00CE4942" w:rsidRDefault="00CE4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E34CA" w14:textId="77777777" w:rsidR="004C26FB" w:rsidRDefault="004C26FB" w:rsidP="000708F1">
      <w:r>
        <w:separator/>
      </w:r>
    </w:p>
  </w:footnote>
  <w:footnote w:type="continuationSeparator" w:id="0">
    <w:p w14:paraId="7C0E4DF6" w14:textId="77777777" w:rsidR="004C26FB" w:rsidRDefault="004C26FB" w:rsidP="00070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273D0"/>
    <w:multiLevelType w:val="hybridMultilevel"/>
    <w:tmpl w:val="ABA08428"/>
    <w:lvl w:ilvl="0" w:tplc="DD06E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37770E"/>
    <w:multiLevelType w:val="hybridMultilevel"/>
    <w:tmpl w:val="25E89000"/>
    <w:lvl w:ilvl="0" w:tplc="DD06E8B8">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3" w15:restartNumberingAfterBreak="0">
    <w:nsid w:val="44065DC0"/>
    <w:multiLevelType w:val="hybridMultilevel"/>
    <w:tmpl w:val="B19423E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55597EAA"/>
    <w:multiLevelType w:val="hybridMultilevel"/>
    <w:tmpl w:val="037AA6F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6593077B"/>
    <w:multiLevelType w:val="hybridMultilevel"/>
    <w:tmpl w:val="832A8A1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94A"/>
    <w:rsid w:val="0000010A"/>
    <w:rsid w:val="00002319"/>
    <w:rsid w:val="000024A7"/>
    <w:rsid w:val="00006589"/>
    <w:rsid w:val="000105EC"/>
    <w:rsid w:val="00011291"/>
    <w:rsid w:val="00015A9C"/>
    <w:rsid w:val="00021468"/>
    <w:rsid w:val="000265B7"/>
    <w:rsid w:val="00027FB6"/>
    <w:rsid w:val="00032A1B"/>
    <w:rsid w:val="00040924"/>
    <w:rsid w:val="00043F9D"/>
    <w:rsid w:val="00044D6C"/>
    <w:rsid w:val="00054CDA"/>
    <w:rsid w:val="00055665"/>
    <w:rsid w:val="000708F1"/>
    <w:rsid w:val="00071C6D"/>
    <w:rsid w:val="00072984"/>
    <w:rsid w:val="000802AF"/>
    <w:rsid w:val="00083A92"/>
    <w:rsid w:val="00085A1A"/>
    <w:rsid w:val="00085A4D"/>
    <w:rsid w:val="0008665A"/>
    <w:rsid w:val="0009279F"/>
    <w:rsid w:val="00097429"/>
    <w:rsid w:val="00097F13"/>
    <w:rsid w:val="000A1586"/>
    <w:rsid w:val="000A2BEE"/>
    <w:rsid w:val="000A539E"/>
    <w:rsid w:val="000A5591"/>
    <w:rsid w:val="000A5DEF"/>
    <w:rsid w:val="000A6213"/>
    <w:rsid w:val="000B2D8D"/>
    <w:rsid w:val="000B764E"/>
    <w:rsid w:val="000C3770"/>
    <w:rsid w:val="000C469A"/>
    <w:rsid w:val="000C771E"/>
    <w:rsid w:val="000D31BA"/>
    <w:rsid w:val="000D3BFC"/>
    <w:rsid w:val="000E0625"/>
    <w:rsid w:val="000E24B4"/>
    <w:rsid w:val="000F067A"/>
    <w:rsid w:val="00107E34"/>
    <w:rsid w:val="001122AD"/>
    <w:rsid w:val="00114021"/>
    <w:rsid w:val="00114C56"/>
    <w:rsid w:val="0011623D"/>
    <w:rsid w:val="00125C07"/>
    <w:rsid w:val="001261FD"/>
    <w:rsid w:val="00126810"/>
    <w:rsid w:val="0012706D"/>
    <w:rsid w:val="0013173B"/>
    <w:rsid w:val="00133F99"/>
    <w:rsid w:val="001404BB"/>
    <w:rsid w:val="00145177"/>
    <w:rsid w:val="001460D1"/>
    <w:rsid w:val="001533F6"/>
    <w:rsid w:val="00161BB3"/>
    <w:rsid w:val="00165766"/>
    <w:rsid w:val="00165C3B"/>
    <w:rsid w:val="00165EBD"/>
    <w:rsid w:val="001679DC"/>
    <w:rsid w:val="00174EBC"/>
    <w:rsid w:val="00183BC7"/>
    <w:rsid w:val="0019248E"/>
    <w:rsid w:val="00194024"/>
    <w:rsid w:val="00196DCA"/>
    <w:rsid w:val="00197817"/>
    <w:rsid w:val="00197944"/>
    <w:rsid w:val="001A769B"/>
    <w:rsid w:val="001A76FB"/>
    <w:rsid w:val="001B07B8"/>
    <w:rsid w:val="001B168C"/>
    <w:rsid w:val="001B63CC"/>
    <w:rsid w:val="001B6E20"/>
    <w:rsid w:val="001C2957"/>
    <w:rsid w:val="001C4E1D"/>
    <w:rsid w:val="001C72BA"/>
    <w:rsid w:val="001C7948"/>
    <w:rsid w:val="001C7C9A"/>
    <w:rsid w:val="001E0D24"/>
    <w:rsid w:val="001E1F10"/>
    <w:rsid w:val="001E36CA"/>
    <w:rsid w:val="001E634E"/>
    <w:rsid w:val="001E7883"/>
    <w:rsid w:val="001F1F64"/>
    <w:rsid w:val="001F2300"/>
    <w:rsid w:val="001F35BA"/>
    <w:rsid w:val="001F5308"/>
    <w:rsid w:val="001F54AF"/>
    <w:rsid w:val="001F5A79"/>
    <w:rsid w:val="001F7525"/>
    <w:rsid w:val="00202AAA"/>
    <w:rsid w:val="00206F82"/>
    <w:rsid w:val="00211CCC"/>
    <w:rsid w:val="00217BCF"/>
    <w:rsid w:val="0022547E"/>
    <w:rsid w:val="00231889"/>
    <w:rsid w:val="00232D6D"/>
    <w:rsid w:val="00236825"/>
    <w:rsid w:val="00245D27"/>
    <w:rsid w:val="00251F54"/>
    <w:rsid w:val="002551F3"/>
    <w:rsid w:val="002577F9"/>
    <w:rsid w:val="00265444"/>
    <w:rsid w:val="002735AC"/>
    <w:rsid w:val="002829CC"/>
    <w:rsid w:val="00293F91"/>
    <w:rsid w:val="00294C47"/>
    <w:rsid w:val="002A26D0"/>
    <w:rsid w:val="002A7BEF"/>
    <w:rsid w:val="002B1122"/>
    <w:rsid w:val="002B2EB8"/>
    <w:rsid w:val="002B4FF2"/>
    <w:rsid w:val="002B6C61"/>
    <w:rsid w:val="002C1433"/>
    <w:rsid w:val="002C5638"/>
    <w:rsid w:val="002D0C93"/>
    <w:rsid w:val="002D1580"/>
    <w:rsid w:val="002D6DB9"/>
    <w:rsid w:val="002D7CDE"/>
    <w:rsid w:val="002E043A"/>
    <w:rsid w:val="002E2C34"/>
    <w:rsid w:val="002E7BB3"/>
    <w:rsid w:val="002F2EE8"/>
    <w:rsid w:val="002F444E"/>
    <w:rsid w:val="003009ED"/>
    <w:rsid w:val="00301C99"/>
    <w:rsid w:val="00302A14"/>
    <w:rsid w:val="003035E4"/>
    <w:rsid w:val="00307716"/>
    <w:rsid w:val="00311EB7"/>
    <w:rsid w:val="00313F0C"/>
    <w:rsid w:val="00315587"/>
    <w:rsid w:val="00315D69"/>
    <w:rsid w:val="0032165F"/>
    <w:rsid w:val="00323A61"/>
    <w:rsid w:val="003262EA"/>
    <w:rsid w:val="00331318"/>
    <w:rsid w:val="003365E0"/>
    <w:rsid w:val="003507A2"/>
    <w:rsid w:val="00350E1F"/>
    <w:rsid w:val="00351C11"/>
    <w:rsid w:val="00352F65"/>
    <w:rsid w:val="003533B6"/>
    <w:rsid w:val="003549F8"/>
    <w:rsid w:val="00374BCF"/>
    <w:rsid w:val="00375F34"/>
    <w:rsid w:val="003770BD"/>
    <w:rsid w:val="00384F70"/>
    <w:rsid w:val="00385193"/>
    <w:rsid w:val="00385911"/>
    <w:rsid w:val="003862CB"/>
    <w:rsid w:val="00392787"/>
    <w:rsid w:val="003A448C"/>
    <w:rsid w:val="003A52A4"/>
    <w:rsid w:val="003A55CA"/>
    <w:rsid w:val="003B087D"/>
    <w:rsid w:val="003B2127"/>
    <w:rsid w:val="003B4145"/>
    <w:rsid w:val="003B7BB6"/>
    <w:rsid w:val="003C0F25"/>
    <w:rsid w:val="003C53DF"/>
    <w:rsid w:val="003C7C39"/>
    <w:rsid w:val="003D20BB"/>
    <w:rsid w:val="003D3CBA"/>
    <w:rsid w:val="003D4488"/>
    <w:rsid w:val="003D4D86"/>
    <w:rsid w:val="003D65A3"/>
    <w:rsid w:val="003E39D7"/>
    <w:rsid w:val="003E601D"/>
    <w:rsid w:val="003E6A4F"/>
    <w:rsid w:val="003E7CC8"/>
    <w:rsid w:val="003F41A3"/>
    <w:rsid w:val="00400358"/>
    <w:rsid w:val="0040045F"/>
    <w:rsid w:val="00401E4C"/>
    <w:rsid w:val="0040281B"/>
    <w:rsid w:val="00402DD5"/>
    <w:rsid w:val="00404AB9"/>
    <w:rsid w:val="004109C5"/>
    <w:rsid w:val="00410FF1"/>
    <w:rsid w:val="00411FCD"/>
    <w:rsid w:val="0041396E"/>
    <w:rsid w:val="00415979"/>
    <w:rsid w:val="00416EB7"/>
    <w:rsid w:val="00417AE4"/>
    <w:rsid w:val="004246FF"/>
    <w:rsid w:val="00433B55"/>
    <w:rsid w:val="00435642"/>
    <w:rsid w:val="00437502"/>
    <w:rsid w:val="00440CEC"/>
    <w:rsid w:val="004423F2"/>
    <w:rsid w:val="0044612F"/>
    <w:rsid w:val="00446DC6"/>
    <w:rsid w:val="00450481"/>
    <w:rsid w:val="004544DA"/>
    <w:rsid w:val="00457368"/>
    <w:rsid w:val="004659AB"/>
    <w:rsid w:val="0046791F"/>
    <w:rsid w:val="00467EA0"/>
    <w:rsid w:val="0047646A"/>
    <w:rsid w:val="004810F8"/>
    <w:rsid w:val="004841D5"/>
    <w:rsid w:val="00485BD0"/>
    <w:rsid w:val="00486760"/>
    <w:rsid w:val="004935E6"/>
    <w:rsid w:val="00494FDB"/>
    <w:rsid w:val="00497B47"/>
    <w:rsid w:val="004A568F"/>
    <w:rsid w:val="004A5C21"/>
    <w:rsid w:val="004B1B37"/>
    <w:rsid w:val="004B1D70"/>
    <w:rsid w:val="004B27BF"/>
    <w:rsid w:val="004B5EDA"/>
    <w:rsid w:val="004B7AC6"/>
    <w:rsid w:val="004B7D2D"/>
    <w:rsid w:val="004C26FB"/>
    <w:rsid w:val="004C2890"/>
    <w:rsid w:val="004C54A0"/>
    <w:rsid w:val="004C78B7"/>
    <w:rsid w:val="004D11A3"/>
    <w:rsid w:val="004D2DB3"/>
    <w:rsid w:val="004D38C8"/>
    <w:rsid w:val="004D5477"/>
    <w:rsid w:val="004D7F29"/>
    <w:rsid w:val="0050637F"/>
    <w:rsid w:val="005105AA"/>
    <w:rsid w:val="00510740"/>
    <w:rsid w:val="005248CA"/>
    <w:rsid w:val="005270FC"/>
    <w:rsid w:val="0052746D"/>
    <w:rsid w:val="00532C1F"/>
    <w:rsid w:val="0053369B"/>
    <w:rsid w:val="00535D14"/>
    <w:rsid w:val="00535E6D"/>
    <w:rsid w:val="00543859"/>
    <w:rsid w:val="00547854"/>
    <w:rsid w:val="00550E15"/>
    <w:rsid w:val="0055415C"/>
    <w:rsid w:val="00555942"/>
    <w:rsid w:val="00555F45"/>
    <w:rsid w:val="005604BD"/>
    <w:rsid w:val="00561622"/>
    <w:rsid w:val="00564154"/>
    <w:rsid w:val="00565D37"/>
    <w:rsid w:val="0056732F"/>
    <w:rsid w:val="00567C96"/>
    <w:rsid w:val="005746F0"/>
    <w:rsid w:val="00576F2E"/>
    <w:rsid w:val="00577CF3"/>
    <w:rsid w:val="00582010"/>
    <w:rsid w:val="00587D06"/>
    <w:rsid w:val="00596BB9"/>
    <w:rsid w:val="00596D26"/>
    <w:rsid w:val="005A45F3"/>
    <w:rsid w:val="005B156B"/>
    <w:rsid w:val="005C425D"/>
    <w:rsid w:val="005C65A7"/>
    <w:rsid w:val="005F2B06"/>
    <w:rsid w:val="005F5AC8"/>
    <w:rsid w:val="0060294E"/>
    <w:rsid w:val="00603CBA"/>
    <w:rsid w:val="00605E82"/>
    <w:rsid w:val="00612BAF"/>
    <w:rsid w:val="00614282"/>
    <w:rsid w:val="00615BC6"/>
    <w:rsid w:val="0061740A"/>
    <w:rsid w:val="00620822"/>
    <w:rsid w:val="00620943"/>
    <w:rsid w:val="006215B6"/>
    <w:rsid w:val="00622BB8"/>
    <w:rsid w:val="00625806"/>
    <w:rsid w:val="0062661F"/>
    <w:rsid w:val="00627878"/>
    <w:rsid w:val="00627DD7"/>
    <w:rsid w:val="00637424"/>
    <w:rsid w:val="00643D42"/>
    <w:rsid w:val="006441E5"/>
    <w:rsid w:val="006558EB"/>
    <w:rsid w:val="0065590B"/>
    <w:rsid w:val="00662DC1"/>
    <w:rsid w:val="00671B41"/>
    <w:rsid w:val="00673E3D"/>
    <w:rsid w:val="006773B0"/>
    <w:rsid w:val="00677465"/>
    <w:rsid w:val="00693CC8"/>
    <w:rsid w:val="00694DAF"/>
    <w:rsid w:val="00696509"/>
    <w:rsid w:val="00697DCC"/>
    <w:rsid w:val="006A19F6"/>
    <w:rsid w:val="006A361F"/>
    <w:rsid w:val="006A404F"/>
    <w:rsid w:val="006A547C"/>
    <w:rsid w:val="006A6C6C"/>
    <w:rsid w:val="006B2036"/>
    <w:rsid w:val="006B361A"/>
    <w:rsid w:val="006B4714"/>
    <w:rsid w:val="006B48D4"/>
    <w:rsid w:val="006B69E8"/>
    <w:rsid w:val="006C0EFE"/>
    <w:rsid w:val="006C2BC1"/>
    <w:rsid w:val="006C3DB5"/>
    <w:rsid w:val="006C67AE"/>
    <w:rsid w:val="006C7B4E"/>
    <w:rsid w:val="006D2685"/>
    <w:rsid w:val="006D3ABD"/>
    <w:rsid w:val="006D5194"/>
    <w:rsid w:val="006D766F"/>
    <w:rsid w:val="006E123A"/>
    <w:rsid w:val="006E2856"/>
    <w:rsid w:val="006E586B"/>
    <w:rsid w:val="006F18B4"/>
    <w:rsid w:val="006F5A21"/>
    <w:rsid w:val="006F5D37"/>
    <w:rsid w:val="00701787"/>
    <w:rsid w:val="007043D4"/>
    <w:rsid w:val="00704A16"/>
    <w:rsid w:val="00706F62"/>
    <w:rsid w:val="007113D0"/>
    <w:rsid w:val="007164D4"/>
    <w:rsid w:val="00720B91"/>
    <w:rsid w:val="00722273"/>
    <w:rsid w:val="0072454B"/>
    <w:rsid w:val="0072487D"/>
    <w:rsid w:val="00725643"/>
    <w:rsid w:val="00730044"/>
    <w:rsid w:val="00734658"/>
    <w:rsid w:val="00737376"/>
    <w:rsid w:val="00741967"/>
    <w:rsid w:val="007441BE"/>
    <w:rsid w:val="00753AF6"/>
    <w:rsid w:val="00756F18"/>
    <w:rsid w:val="0076045D"/>
    <w:rsid w:val="007631BC"/>
    <w:rsid w:val="00763980"/>
    <w:rsid w:val="007652EE"/>
    <w:rsid w:val="007668AA"/>
    <w:rsid w:val="00766F2A"/>
    <w:rsid w:val="007852CE"/>
    <w:rsid w:val="007942A9"/>
    <w:rsid w:val="0079479F"/>
    <w:rsid w:val="007A05CC"/>
    <w:rsid w:val="007A0C00"/>
    <w:rsid w:val="007A127C"/>
    <w:rsid w:val="007A1EDE"/>
    <w:rsid w:val="007B36EC"/>
    <w:rsid w:val="007B5CE7"/>
    <w:rsid w:val="007B76AD"/>
    <w:rsid w:val="007C3BD8"/>
    <w:rsid w:val="007C5610"/>
    <w:rsid w:val="007C64D1"/>
    <w:rsid w:val="007D2CEF"/>
    <w:rsid w:val="007D5D46"/>
    <w:rsid w:val="007E020E"/>
    <w:rsid w:val="007E0783"/>
    <w:rsid w:val="007E09AE"/>
    <w:rsid w:val="007E191A"/>
    <w:rsid w:val="007E2A42"/>
    <w:rsid w:val="007F0552"/>
    <w:rsid w:val="007F0FB6"/>
    <w:rsid w:val="007F11EC"/>
    <w:rsid w:val="007F1347"/>
    <w:rsid w:val="0080041F"/>
    <w:rsid w:val="00801D9E"/>
    <w:rsid w:val="00802527"/>
    <w:rsid w:val="00803B51"/>
    <w:rsid w:val="00821618"/>
    <w:rsid w:val="0082263E"/>
    <w:rsid w:val="00830726"/>
    <w:rsid w:val="0083315E"/>
    <w:rsid w:val="00837148"/>
    <w:rsid w:val="0084064A"/>
    <w:rsid w:val="00844EAE"/>
    <w:rsid w:val="00846861"/>
    <w:rsid w:val="00847D3F"/>
    <w:rsid w:val="0085317C"/>
    <w:rsid w:val="00856D97"/>
    <w:rsid w:val="008641E4"/>
    <w:rsid w:val="008666C1"/>
    <w:rsid w:val="00867B54"/>
    <w:rsid w:val="00871D04"/>
    <w:rsid w:val="00872F89"/>
    <w:rsid w:val="0087498A"/>
    <w:rsid w:val="00880D7E"/>
    <w:rsid w:val="00883027"/>
    <w:rsid w:val="00896F65"/>
    <w:rsid w:val="008A0CF5"/>
    <w:rsid w:val="008B0111"/>
    <w:rsid w:val="008C095D"/>
    <w:rsid w:val="008D1997"/>
    <w:rsid w:val="008D1AB9"/>
    <w:rsid w:val="008D6BE5"/>
    <w:rsid w:val="008E08E0"/>
    <w:rsid w:val="008E4336"/>
    <w:rsid w:val="008F08A1"/>
    <w:rsid w:val="008F73D5"/>
    <w:rsid w:val="00906D10"/>
    <w:rsid w:val="00913EE6"/>
    <w:rsid w:val="00916CED"/>
    <w:rsid w:val="00920085"/>
    <w:rsid w:val="00931C64"/>
    <w:rsid w:val="0093241B"/>
    <w:rsid w:val="009373A0"/>
    <w:rsid w:val="00943539"/>
    <w:rsid w:val="009462F2"/>
    <w:rsid w:val="00954415"/>
    <w:rsid w:val="00955C5E"/>
    <w:rsid w:val="00957C3D"/>
    <w:rsid w:val="00976383"/>
    <w:rsid w:val="00987FBE"/>
    <w:rsid w:val="00990484"/>
    <w:rsid w:val="0099182F"/>
    <w:rsid w:val="00992379"/>
    <w:rsid w:val="00994BCF"/>
    <w:rsid w:val="00994EC8"/>
    <w:rsid w:val="009A0653"/>
    <w:rsid w:val="009A0B18"/>
    <w:rsid w:val="009B04EA"/>
    <w:rsid w:val="009B08B1"/>
    <w:rsid w:val="009C1CBC"/>
    <w:rsid w:val="009C490A"/>
    <w:rsid w:val="009C6A7E"/>
    <w:rsid w:val="009C783E"/>
    <w:rsid w:val="009D1276"/>
    <w:rsid w:val="009D1E51"/>
    <w:rsid w:val="009D21B2"/>
    <w:rsid w:val="009D25E2"/>
    <w:rsid w:val="009D2B89"/>
    <w:rsid w:val="009E0622"/>
    <w:rsid w:val="009E0A11"/>
    <w:rsid w:val="009E10E2"/>
    <w:rsid w:val="009E1E5C"/>
    <w:rsid w:val="009E34C7"/>
    <w:rsid w:val="009E60D7"/>
    <w:rsid w:val="009F4DA1"/>
    <w:rsid w:val="009F676B"/>
    <w:rsid w:val="00A00D2F"/>
    <w:rsid w:val="00A0130F"/>
    <w:rsid w:val="00A0339B"/>
    <w:rsid w:val="00A12087"/>
    <w:rsid w:val="00A1498D"/>
    <w:rsid w:val="00A14A14"/>
    <w:rsid w:val="00A22758"/>
    <w:rsid w:val="00A258C6"/>
    <w:rsid w:val="00A270FB"/>
    <w:rsid w:val="00A27E07"/>
    <w:rsid w:val="00A32182"/>
    <w:rsid w:val="00A32F67"/>
    <w:rsid w:val="00A41A91"/>
    <w:rsid w:val="00A420C9"/>
    <w:rsid w:val="00A43BE0"/>
    <w:rsid w:val="00A44DA1"/>
    <w:rsid w:val="00A57CE4"/>
    <w:rsid w:val="00A63386"/>
    <w:rsid w:val="00A63530"/>
    <w:rsid w:val="00A668A0"/>
    <w:rsid w:val="00A7282A"/>
    <w:rsid w:val="00A746BB"/>
    <w:rsid w:val="00A820F2"/>
    <w:rsid w:val="00A851D5"/>
    <w:rsid w:val="00A8620B"/>
    <w:rsid w:val="00A86218"/>
    <w:rsid w:val="00A87642"/>
    <w:rsid w:val="00A87C2F"/>
    <w:rsid w:val="00A87DF3"/>
    <w:rsid w:val="00A90894"/>
    <w:rsid w:val="00A919B7"/>
    <w:rsid w:val="00A9202B"/>
    <w:rsid w:val="00A926EC"/>
    <w:rsid w:val="00A929B7"/>
    <w:rsid w:val="00A939BA"/>
    <w:rsid w:val="00A967CE"/>
    <w:rsid w:val="00AA0305"/>
    <w:rsid w:val="00AA4363"/>
    <w:rsid w:val="00AA5A35"/>
    <w:rsid w:val="00AB6D87"/>
    <w:rsid w:val="00AC0685"/>
    <w:rsid w:val="00AC13AE"/>
    <w:rsid w:val="00AC34D0"/>
    <w:rsid w:val="00AD56C5"/>
    <w:rsid w:val="00AD6FC7"/>
    <w:rsid w:val="00AD7B3B"/>
    <w:rsid w:val="00AE5106"/>
    <w:rsid w:val="00AE5C9A"/>
    <w:rsid w:val="00AE6C6F"/>
    <w:rsid w:val="00AF134D"/>
    <w:rsid w:val="00AF539C"/>
    <w:rsid w:val="00AF5877"/>
    <w:rsid w:val="00AF72A4"/>
    <w:rsid w:val="00B04D8F"/>
    <w:rsid w:val="00B07B70"/>
    <w:rsid w:val="00B10A15"/>
    <w:rsid w:val="00B10A86"/>
    <w:rsid w:val="00B10E92"/>
    <w:rsid w:val="00B307D0"/>
    <w:rsid w:val="00B319E2"/>
    <w:rsid w:val="00B35882"/>
    <w:rsid w:val="00B416EC"/>
    <w:rsid w:val="00B52E44"/>
    <w:rsid w:val="00B539A5"/>
    <w:rsid w:val="00B55E91"/>
    <w:rsid w:val="00B6409D"/>
    <w:rsid w:val="00B6670E"/>
    <w:rsid w:val="00B66AB4"/>
    <w:rsid w:val="00B6731A"/>
    <w:rsid w:val="00B720CE"/>
    <w:rsid w:val="00B74313"/>
    <w:rsid w:val="00B76B65"/>
    <w:rsid w:val="00B8094A"/>
    <w:rsid w:val="00B83630"/>
    <w:rsid w:val="00B8390E"/>
    <w:rsid w:val="00B83B48"/>
    <w:rsid w:val="00B84C84"/>
    <w:rsid w:val="00B853C8"/>
    <w:rsid w:val="00B95041"/>
    <w:rsid w:val="00B97D2D"/>
    <w:rsid w:val="00BA2DC7"/>
    <w:rsid w:val="00BA572B"/>
    <w:rsid w:val="00BB3260"/>
    <w:rsid w:val="00BC359E"/>
    <w:rsid w:val="00BD4E33"/>
    <w:rsid w:val="00BE093D"/>
    <w:rsid w:val="00BE3DD6"/>
    <w:rsid w:val="00BF11FA"/>
    <w:rsid w:val="00BF3E99"/>
    <w:rsid w:val="00BF421E"/>
    <w:rsid w:val="00BF56BA"/>
    <w:rsid w:val="00C0480F"/>
    <w:rsid w:val="00C1248B"/>
    <w:rsid w:val="00C1413F"/>
    <w:rsid w:val="00C2467B"/>
    <w:rsid w:val="00C33D09"/>
    <w:rsid w:val="00C34FF2"/>
    <w:rsid w:val="00C4008F"/>
    <w:rsid w:val="00C45830"/>
    <w:rsid w:val="00C478D3"/>
    <w:rsid w:val="00C47BCF"/>
    <w:rsid w:val="00C50ECE"/>
    <w:rsid w:val="00C52B72"/>
    <w:rsid w:val="00C53017"/>
    <w:rsid w:val="00C57341"/>
    <w:rsid w:val="00C61989"/>
    <w:rsid w:val="00C6253F"/>
    <w:rsid w:val="00C637C3"/>
    <w:rsid w:val="00C728DB"/>
    <w:rsid w:val="00C72E74"/>
    <w:rsid w:val="00C73CDC"/>
    <w:rsid w:val="00C74545"/>
    <w:rsid w:val="00C75B92"/>
    <w:rsid w:val="00C76450"/>
    <w:rsid w:val="00C8460A"/>
    <w:rsid w:val="00C8794E"/>
    <w:rsid w:val="00C93EDB"/>
    <w:rsid w:val="00C963D2"/>
    <w:rsid w:val="00CA1AED"/>
    <w:rsid w:val="00CA4042"/>
    <w:rsid w:val="00CA6156"/>
    <w:rsid w:val="00CA6366"/>
    <w:rsid w:val="00CB4470"/>
    <w:rsid w:val="00CC421B"/>
    <w:rsid w:val="00CD03E9"/>
    <w:rsid w:val="00CD1AB0"/>
    <w:rsid w:val="00CD2A72"/>
    <w:rsid w:val="00CD754A"/>
    <w:rsid w:val="00CE3961"/>
    <w:rsid w:val="00CE3FCD"/>
    <w:rsid w:val="00CE4942"/>
    <w:rsid w:val="00CE50CF"/>
    <w:rsid w:val="00CF3B52"/>
    <w:rsid w:val="00D00690"/>
    <w:rsid w:val="00D00F01"/>
    <w:rsid w:val="00D0684E"/>
    <w:rsid w:val="00D14419"/>
    <w:rsid w:val="00D14D0A"/>
    <w:rsid w:val="00D20B08"/>
    <w:rsid w:val="00D2182C"/>
    <w:rsid w:val="00D23B5B"/>
    <w:rsid w:val="00D240CC"/>
    <w:rsid w:val="00D25DA7"/>
    <w:rsid w:val="00D25F19"/>
    <w:rsid w:val="00D300FA"/>
    <w:rsid w:val="00D32647"/>
    <w:rsid w:val="00D32D63"/>
    <w:rsid w:val="00D3334F"/>
    <w:rsid w:val="00D35283"/>
    <w:rsid w:val="00D36F0F"/>
    <w:rsid w:val="00D41AD4"/>
    <w:rsid w:val="00D41F5B"/>
    <w:rsid w:val="00D420DF"/>
    <w:rsid w:val="00D45914"/>
    <w:rsid w:val="00D540F2"/>
    <w:rsid w:val="00D564C4"/>
    <w:rsid w:val="00D56E81"/>
    <w:rsid w:val="00D759D1"/>
    <w:rsid w:val="00D8197A"/>
    <w:rsid w:val="00D820D9"/>
    <w:rsid w:val="00D840D0"/>
    <w:rsid w:val="00D90A00"/>
    <w:rsid w:val="00D954C1"/>
    <w:rsid w:val="00DA19A7"/>
    <w:rsid w:val="00DB0B02"/>
    <w:rsid w:val="00DB2909"/>
    <w:rsid w:val="00DB4040"/>
    <w:rsid w:val="00DB4AC2"/>
    <w:rsid w:val="00DC1501"/>
    <w:rsid w:val="00DC2264"/>
    <w:rsid w:val="00DC3F2D"/>
    <w:rsid w:val="00DC6B4B"/>
    <w:rsid w:val="00DD09E2"/>
    <w:rsid w:val="00DD28DB"/>
    <w:rsid w:val="00DD59DC"/>
    <w:rsid w:val="00DE09A9"/>
    <w:rsid w:val="00DE50B5"/>
    <w:rsid w:val="00DE67B7"/>
    <w:rsid w:val="00DE7AFC"/>
    <w:rsid w:val="00DF4710"/>
    <w:rsid w:val="00DF7F98"/>
    <w:rsid w:val="00E01447"/>
    <w:rsid w:val="00E04751"/>
    <w:rsid w:val="00E14A6B"/>
    <w:rsid w:val="00E20834"/>
    <w:rsid w:val="00E2276E"/>
    <w:rsid w:val="00E3521D"/>
    <w:rsid w:val="00E35996"/>
    <w:rsid w:val="00E43785"/>
    <w:rsid w:val="00E44800"/>
    <w:rsid w:val="00E535E9"/>
    <w:rsid w:val="00E552EB"/>
    <w:rsid w:val="00E604E2"/>
    <w:rsid w:val="00E60921"/>
    <w:rsid w:val="00E6531B"/>
    <w:rsid w:val="00E71797"/>
    <w:rsid w:val="00E7593A"/>
    <w:rsid w:val="00E7603F"/>
    <w:rsid w:val="00E76CEA"/>
    <w:rsid w:val="00E80A73"/>
    <w:rsid w:val="00E8169F"/>
    <w:rsid w:val="00E83E0C"/>
    <w:rsid w:val="00E85927"/>
    <w:rsid w:val="00E87C38"/>
    <w:rsid w:val="00E91A2A"/>
    <w:rsid w:val="00E97C8F"/>
    <w:rsid w:val="00E97DFB"/>
    <w:rsid w:val="00EA079E"/>
    <w:rsid w:val="00EA7B67"/>
    <w:rsid w:val="00EB6FA6"/>
    <w:rsid w:val="00EC0EC2"/>
    <w:rsid w:val="00ED1C58"/>
    <w:rsid w:val="00ED2FFB"/>
    <w:rsid w:val="00ED5CF8"/>
    <w:rsid w:val="00ED785F"/>
    <w:rsid w:val="00EE042B"/>
    <w:rsid w:val="00EE04C6"/>
    <w:rsid w:val="00EE3821"/>
    <w:rsid w:val="00EE3BAB"/>
    <w:rsid w:val="00EE715C"/>
    <w:rsid w:val="00EE793F"/>
    <w:rsid w:val="00EE7BB4"/>
    <w:rsid w:val="00EF3D1C"/>
    <w:rsid w:val="00EF438F"/>
    <w:rsid w:val="00EF6160"/>
    <w:rsid w:val="00F00725"/>
    <w:rsid w:val="00F035AF"/>
    <w:rsid w:val="00F1097C"/>
    <w:rsid w:val="00F12630"/>
    <w:rsid w:val="00F12E43"/>
    <w:rsid w:val="00F150AB"/>
    <w:rsid w:val="00F15A09"/>
    <w:rsid w:val="00F15C2E"/>
    <w:rsid w:val="00F15CE8"/>
    <w:rsid w:val="00F1775F"/>
    <w:rsid w:val="00F17EA9"/>
    <w:rsid w:val="00F20EC1"/>
    <w:rsid w:val="00F24A1B"/>
    <w:rsid w:val="00F267B2"/>
    <w:rsid w:val="00F30B7A"/>
    <w:rsid w:val="00F32C5B"/>
    <w:rsid w:val="00F37954"/>
    <w:rsid w:val="00F4019E"/>
    <w:rsid w:val="00F41C9C"/>
    <w:rsid w:val="00F44336"/>
    <w:rsid w:val="00F46639"/>
    <w:rsid w:val="00F50149"/>
    <w:rsid w:val="00F50383"/>
    <w:rsid w:val="00F51035"/>
    <w:rsid w:val="00F54DA9"/>
    <w:rsid w:val="00F64E22"/>
    <w:rsid w:val="00F70270"/>
    <w:rsid w:val="00F77D6C"/>
    <w:rsid w:val="00F85FF7"/>
    <w:rsid w:val="00F918FB"/>
    <w:rsid w:val="00F9757C"/>
    <w:rsid w:val="00FB13C1"/>
    <w:rsid w:val="00FB1AC0"/>
    <w:rsid w:val="00FB39A8"/>
    <w:rsid w:val="00FC0D8A"/>
    <w:rsid w:val="00FC16AC"/>
    <w:rsid w:val="00FC5503"/>
    <w:rsid w:val="00FD0A2D"/>
    <w:rsid w:val="00FD1239"/>
    <w:rsid w:val="00FD729F"/>
    <w:rsid w:val="00FE0EA0"/>
    <w:rsid w:val="00FE172A"/>
    <w:rsid w:val="00FE4177"/>
    <w:rsid w:val="00FE691C"/>
    <w:rsid w:val="00FE6C69"/>
    <w:rsid w:val="00FF325C"/>
    <w:rsid w:val="00FF3AC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3B72"/>
  <w15:chartTrackingRefBased/>
  <w15:docId w15:val="{E6A0CA23-513D-412F-9767-6EB8A9AB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94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C1413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22758"/>
    <w:pPr>
      <w:spacing w:before="100" w:beforeAutospacing="1" w:after="100" w:afterAutospacing="1"/>
      <w:outlineLvl w:val="1"/>
    </w:pPr>
    <w:rPr>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8094A"/>
    <w:rPr>
      <w:rFonts w:cs="Times New Roman"/>
      <w:color w:val="663399"/>
      <w:u w:val="none"/>
      <w:effect w:val="none"/>
    </w:rPr>
  </w:style>
  <w:style w:type="paragraph" w:customStyle="1" w:styleId="Heading">
    <w:name w:val="Heading"/>
    <w:basedOn w:val="Normal"/>
    <w:rsid w:val="00B8094A"/>
    <w:pPr>
      <w:spacing w:line="200" w:lineRule="exact"/>
    </w:pPr>
    <w:rPr>
      <w:b/>
      <w:bCs/>
      <w:sz w:val="18"/>
      <w:szCs w:val="18"/>
      <w:lang w:eastAsia="zh-CN"/>
    </w:rPr>
  </w:style>
  <w:style w:type="character" w:customStyle="1" w:styleId="apple-style-span">
    <w:name w:val="apple-style-span"/>
    <w:uiPriority w:val="99"/>
    <w:rsid w:val="004B27BF"/>
    <w:rPr>
      <w:rFonts w:cs="Times New Roman"/>
    </w:rPr>
  </w:style>
  <w:style w:type="paragraph" w:customStyle="1" w:styleId="Default">
    <w:name w:val="Default"/>
    <w:rsid w:val="00D759D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hps">
    <w:name w:val="hps"/>
    <w:basedOn w:val="DefaultParagraphFont"/>
    <w:rsid w:val="00E2276E"/>
  </w:style>
  <w:style w:type="paragraph" w:styleId="Header">
    <w:name w:val="header"/>
    <w:basedOn w:val="Normal"/>
    <w:link w:val="HeaderChar"/>
    <w:uiPriority w:val="99"/>
    <w:unhideWhenUsed/>
    <w:rsid w:val="000708F1"/>
    <w:pPr>
      <w:tabs>
        <w:tab w:val="center" w:pos="4513"/>
        <w:tab w:val="right" w:pos="9026"/>
      </w:tabs>
    </w:pPr>
  </w:style>
  <w:style w:type="character" w:customStyle="1" w:styleId="HeaderChar">
    <w:name w:val="Header Char"/>
    <w:basedOn w:val="DefaultParagraphFont"/>
    <w:link w:val="Header"/>
    <w:uiPriority w:val="99"/>
    <w:rsid w:val="000708F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708F1"/>
    <w:pPr>
      <w:tabs>
        <w:tab w:val="center" w:pos="4513"/>
        <w:tab w:val="right" w:pos="9026"/>
      </w:tabs>
    </w:pPr>
  </w:style>
  <w:style w:type="character" w:customStyle="1" w:styleId="FooterChar">
    <w:name w:val="Footer Char"/>
    <w:basedOn w:val="DefaultParagraphFont"/>
    <w:link w:val="Footer"/>
    <w:uiPriority w:val="99"/>
    <w:rsid w:val="000708F1"/>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311EB7"/>
    <w:pPr>
      <w:spacing w:after="160" w:line="259" w:lineRule="auto"/>
      <w:ind w:left="720"/>
      <w:contextualSpacing/>
    </w:pPr>
    <w:rPr>
      <w:rFonts w:asciiTheme="minorHAnsi" w:eastAsiaTheme="minorEastAsia" w:hAnsiTheme="minorHAnsi"/>
      <w:sz w:val="22"/>
      <w:szCs w:val="22"/>
      <w:lang w:val="en-MY" w:eastAsia="en-MY"/>
    </w:rPr>
  </w:style>
  <w:style w:type="paragraph" w:styleId="NoSpacing">
    <w:name w:val="No Spacing"/>
    <w:uiPriority w:val="1"/>
    <w:qFormat/>
    <w:rsid w:val="00CE4942"/>
    <w:pPr>
      <w:spacing w:after="0" w:line="240" w:lineRule="auto"/>
    </w:pPr>
  </w:style>
  <w:style w:type="character" w:customStyle="1" w:styleId="listitem-data">
    <w:name w:val="list__item-data"/>
    <w:basedOn w:val="DefaultParagraphFont"/>
    <w:rsid w:val="00A22758"/>
  </w:style>
  <w:style w:type="character" w:styleId="Strong">
    <w:name w:val="Strong"/>
    <w:basedOn w:val="DefaultParagraphFont"/>
    <w:uiPriority w:val="22"/>
    <w:qFormat/>
    <w:rsid w:val="00A22758"/>
    <w:rPr>
      <w:b/>
      <w:bCs/>
    </w:rPr>
  </w:style>
  <w:style w:type="character" w:customStyle="1" w:styleId="Heading2Char">
    <w:name w:val="Heading 2 Char"/>
    <w:basedOn w:val="DefaultParagraphFont"/>
    <w:link w:val="Heading2"/>
    <w:uiPriority w:val="9"/>
    <w:rsid w:val="00A22758"/>
    <w:rPr>
      <w:rFonts w:ascii="Times New Roman" w:eastAsia="Times New Roman" w:hAnsi="Times New Roman" w:cs="Times New Roman"/>
      <w:b/>
      <w:bCs/>
      <w:sz w:val="36"/>
      <w:szCs w:val="36"/>
      <w:lang w:val="en-GB" w:eastAsia="en-GB"/>
    </w:rPr>
  </w:style>
  <w:style w:type="table" w:styleId="ListTable3">
    <w:name w:val="List Table 3"/>
    <w:basedOn w:val="TableNormal"/>
    <w:uiPriority w:val="48"/>
    <w:rsid w:val="003B2127"/>
    <w:pPr>
      <w:spacing w:after="0" w:line="240" w:lineRule="auto"/>
    </w:pPr>
    <w:rPr>
      <w:lang w:val="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1Char">
    <w:name w:val="Heading 1 Char"/>
    <w:basedOn w:val="DefaultParagraphFont"/>
    <w:link w:val="Heading1"/>
    <w:uiPriority w:val="9"/>
    <w:rsid w:val="00C1413F"/>
    <w:rPr>
      <w:rFonts w:asciiTheme="majorHAnsi" w:eastAsiaTheme="majorEastAsia" w:hAnsiTheme="majorHAnsi" w:cstheme="majorBidi"/>
      <w:color w:val="2E74B5" w:themeColor="accent1" w:themeShade="BF"/>
      <w:sz w:val="32"/>
      <w:szCs w:val="32"/>
      <w:lang w:val="en-US"/>
    </w:rPr>
  </w:style>
  <w:style w:type="character" w:customStyle="1" w:styleId="title-text">
    <w:name w:val="title-text"/>
    <w:basedOn w:val="DefaultParagraphFont"/>
    <w:rsid w:val="00C1413F"/>
  </w:style>
  <w:style w:type="character" w:customStyle="1" w:styleId="sr-only">
    <w:name w:val="sr-only"/>
    <w:basedOn w:val="DefaultParagraphFont"/>
    <w:rsid w:val="00C1413F"/>
  </w:style>
  <w:style w:type="character" w:customStyle="1" w:styleId="text">
    <w:name w:val="text"/>
    <w:basedOn w:val="DefaultParagraphFont"/>
    <w:rsid w:val="00C1413F"/>
  </w:style>
  <w:style w:type="character" w:customStyle="1" w:styleId="author-ref">
    <w:name w:val="author-ref"/>
    <w:basedOn w:val="DefaultParagraphFont"/>
    <w:rsid w:val="00C1413F"/>
  </w:style>
  <w:style w:type="character" w:customStyle="1" w:styleId="hlfld-title">
    <w:name w:val="hlfld-title"/>
    <w:basedOn w:val="DefaultParagraphFont"/>
    <w:rsid w:val="00931C64"/>
  </w:style>
  <w:style w:type="paragraph" w:customStyle="1" w:styleId="References">
    <w:name w:val="References"/>
    <w:basedOn w:val="Normal"/>
    <w:rsid w:val="006F5D37"/>
    <w:pPr>
      <w:numPr>
        <w:numId w:val="5"/>
      </w:numPr>
      <w:autoSpaceDE w:val="0"/>
      <w:autoSpaceDN w:val="0"/>
      <w:jc w:val="both"/>
    </w:pPr>
    <w:rPr>
      <w:rFonts w:eastAsia="PMingLiU"/>
      <w:sz w:val="16"/>
      <w:szCs w:val="16"/>
    </w:rPr>
  </w:style>
  <w:style w:type="paragraph" w:customStyle="1" w:styleId="FigureCaption">
    <w:name w:val="Figure Caption"/>
    <w:basedOn w:val="Normal"/>
    <w:rsid w:val="006F5D37"/>
    <w:pPr>
      <w:autoSpaceDE w:val="0"/>
      <w:autoSpaceDN w:val="0"/>
      <w:jc w:val="both"/>
    </w:pPr>
    <w:rPr>
      <w:rFonts w:eastAsia="PMingLiU"/>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905249">
      <w:bodyDiv w:val="1"/>
      <w:marLeft w:val="0"/>
      <w:marRight w:val="0"/>
      <w:marTop w:val="0"/>
      <w:marBottom w:val="0"/>
      <w:divBdr>
        <w:top w:val="none" w:sz="0" w:space="0" w:color="auto"/>
        <w:left w:val="none" w:sz="0" w:space="0" w:color="auto"/>
        <w:bottom w:val="none" w:sz="0" w:space="0" w:color="auto"/>
        <w:right w:val="none" w:sz="0" w:space="0" w:color="auto"/>
      </w:divBdr>
    </w:div>
    <w:div w:id="791285035">
      <w:bodyDiv w:val="1"/>
      <w:marLeft w:val="0"/>
      <w:marRight w:val="0"/>
      <w:marTop w:val="0"/>
      <w:marBottom w:val="0"/>
      <w:divBdr>
        <w:top w:val="none" w:sz="0" w:space="0" w:color="auto"/>
        <w:left w:val="none" w:sz="0" w:space="0" w:color="auto"/>
        <w:bottom w:val="none" w:sz="0" w:space="0" w:color="auto"/>
        <w:right w:val="none" w:sz="0" w:space="0" w:color="auto"/>
      </w:divBdr>
      <w:divsChild>
        <w:div w:id="737870753">
          <w:marLeft w:val="0"/>
          <w:marRight w:val="0"/>
          <w:marTop w:val="0"/>
          <w:marBottom w:val="0"/>
          <w:divBdr>
            <w:top w:val="none" w:sz="0" w:space="0" w:color="auto"/>
            <w:left w:val="none" w:sz="0" w:space="0" w:color="auto"/>
            <w:bottom w:val="none" w:sz="0" w:space="0" w:color="auto"/>
            <w:right w:val="none" w:sz="0" w:space="0" w:color="auto"/>
          </w:divBdr>
          <w:divsChild>
            <w:div w:id="315305691">
              <w:marLeft w:val="0"/>
              <w:marRight w:val="0"/>
              <w:marTop w:val="0"/>
              <w:marBottom w:val="0"/>
              <w:divBdr>
                <w:top w:val="none" w:sz="0" w:space="0" w:color="auto"/>
                <w:left w:val="none" w:sz="0" w:space="0" w:color="auto"/>
                <w:bottom w:val="none" w:sz="0" w:space="0" w:color="auto"/>
                <w:right w:val="none" w:sz="0" w:space="0" w:color="auto"/>
              </w:divBdr>
              <w:divsChild>
                <w:div w:id="1114445412">
                  <w:marLeft w:val="0"/>
                  <w:marRight w:val="0"/>
                  <w:marTop w:val="0"/>
                  <w:marBottom w:val="0"/>
                  <w:divBdr>
                    <w:top w:val="none" w:sz="0" w:space="0" w:color="auto"/>
                    <w:left w:val="none" w:sz="0" w:space="0" w:color="auto"/>
                    <w:bottom w:val="none" w:sz="0" w:space="0" w:color="auto"/>
                    <w:right w:val="none" w:sz="0" w:space="0" w:color="auto"/>
                  </w:divBdr>
                  <w:divsChild>
                    <w:div w:id="46485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40891">
      <w:bodyDiv w:val="1"/>
      <w:marLeft w:val="0"/>
      <w:marRight w:val="0"/>
      <w:marTop w:val="0"/>
      <w:marBottom w:val="0"/>
      <w:divBdr>
        <w:top w:val="none" w:sz="0" w:space="0" w:color="auto"/>
        <w:left w:val="none" w:sz="0" w:space="0" w:color="auto"/>
        <w:bottom w:val="none" w:sz="0" w:space="0" w:color="auto"/>
        <w:right w:val="none" w:sz="0" w:space="0" w:color="auto"/>
      </w:divBdr>
      <w:divsChild>
        <w:div w:id="1260330382">
          <w:marLeft w:val="0"/>
          <w:marRight w:val="0"/>
          <w:marTop w:val="0"/>
          <w:marBottom w:val="0"/>
          <w:divBdr>
            <w:top w:val="none" w:sz="0" w:space="0" w:color="auto"/>
            <w:left w:val="none" w:sz="0" w:space="0" w:color="auto"/>
            <w:bottom w:val="none" w:sz="0" w:space="0" w:color="auto"/>
            <w:right w:val="none" w:sz="0" w:space="0" w:color="auto"/>
          </w:divBdr>
        </w:div>
      </w:divsChild>
    </w:div>
    <w:div w:id="1553955254">
      <w:bodyDiv w:val="1"/>
      <w:marLeft w:val="0"/>
      <w:marRight w:val="0"/>
      <w:marTop w:val="0"/>
      <w:marBottom w:val="0"/>
      <w:divBdr>
        <w:top w:val="none" w:sz="0" w:space="0" w:color="auto"/>
        <w:left w:val="none" w:sz="0" w:space="0" w:color="auto"/>
        <w:bottom w:val="none" w:sz="0" w:space="0" w:color="auto"/>
        <w:right w:val="none" w:sz="0" w:space="0" w:color="auto"/>
      </w:divBdr>
    </w:div>
    <w:div w:id="1681589703">
      <w:bodyDiv w:val="1"/>
      <w:marLeft w:val="0"/>
      <w:marRight w:val="0"/>
      <w:marTop w:val="0"/>
      <w:marBottom w:val="0"/>
      <w:divBdr>
        <w:top w:val="none" w:sz="0" w:space="0" w:color="auto"/>
        <w:left w:val="none" w:sz="0" w:space="0" w:color="auto"/>
        <w:bottom w:val="none" w:sz="0" w:space="0" w:color="auto"/>
        <w:right w:val="none" w:sz="0" w:space="0" w:color="auto"/>
      </w:divBdr>
      <w:divsChild>
        <w:div w:id="1414084968">
          <w:marLeft w:val="0"/>
          <w:marRight w:val="0"/>
          <w:marTop w:val="0"/>
          <w:marBottom w:val="0"/>
          <w:divBdr>
            <w:top w:val="none" w:sz="0" w:space="0" w:color="auto"/>
            <w:left w:val="none" w:sz="0" w:space="0" w:color="auto"/>
            <w:bottom w:val="none" w:sz="0" w:space="0" w:color="auto"/>
            <w:right w:val="none" w:sz="0" w:space="0" w:color="auto"/>
          </w:divBdr>
          <w:divsChild>
            <w:div w:id="181629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83194">
      <w:bodyDiv w:val="1"/>
      <w:marLeft w:val="0"/>
      <w:marRight w:val="0"/>
      <w:marTop w:val="0"/>
      <w:marBottom w:val="0"/>
      <w:divBdr>
        <w:top w:val="none" w:sz="0" w:space="0" w:color="auto"/>
        <w:left w:val="none" w:sz="0" w:space="0" w:color="auto"/>
        <w:bottom w:val="none" w:sz="0" w:space="0" w:color="auto"/>
        <w:right w:val="none" w:sz="0" w:space="0" w:color="auto"/>
      </w:divBdr>
      <w:divsChild>
        <w:div w:id="2090232158">
          <w:marLeft w:val="0"/>
          <w:marRight w:val="0"/>
          <w:marTop w:val="0"/>
          <w:marBottom w:val="0"/>
          <w:divBdr>
            <w:top w:val="none" w:sz="0" w:space="0" w:color="auto"/>
            <w:left w:val="none" w:sz="0" w:space="0" w:color="auto"/>
            <w:bottom w:val="none" w:sz="0" w:space="0" w:color="auto"/>
            <w:right w:val="none" w:sz="0" w:space="0" w:color="auto"/>
          </w:divBdr>
        </w:div>
        <w:div w:id="1440295973">
          <w:marLeft w:val="0"/>
          <w:marRight w:val="0"/>
          <w:marTop w:val="0"/>
          <w:marBottom w:val="0"/>
          <w:divBdr>
            <w:top w:val="none" w:sz="0" w:space="0" w:color="auto"/>
            <w:left w:val="none" w:sz="0" w:space="0" w:color="auto"/>
            <w:bottom w:val="none" w:sz="0" w:space="0" w:color="auto"/>
            <w:right w:val="none" w:sz="0" w:space="0" w:color="auto"/>
          </w:divBdr>
        </w:div>
        <w:div w:id="260837448">
          <w:marLeft w:val="0"/>
          <w:marRight w:val="0"/>
          <w:marTop w:val="0"/>
          <w:marBottom w:val="0"/>
          <w:divBdr>
            <w:top w:val="none" w:sz="0" w:space="0" w:color="auto"/>
            <w:left w:val="none" w:sz="0" w:space="0" w:color="auto"/>
            <w:bottom w:val="none" w:sz="0" w:space="0" w:color="auto"/>
            <w:right w:val="none" w:sz="0" w:space="0" w:color="auto"/>
          </w:divBdr>
        </w:div>
        <w:div w:id="640698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javascript:voi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https://pdfs.semanticscholar.org/865b/63409f5bd4ff241a98d3fc25a2ea34070f87.pdf" TargetMode="Externa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8</Pages>
  <Words>4063</Words>
  <Characters>23160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zahir86</dc:creator>
  <cp:keywords/>
  <dc:description/>
  <cp:lastModifiedBy>Reviewer</cp:lastModifiedBy>
  <cp:revision>23</cp:revision>
  <dcterms:created xsi:type="dcterms:W3CDTF">2020-01-12T01:43:00Z</dcterms:created>
  <dcterms:modified xsi:type="dcterms:W3CDTF">2020-03-25T04:43:00Z</dcterms:modified>
</cp:coreProperties>
</file>