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A1F81" w14:textId="77777777" w:rsidR="00A23F0F" w:rsidRPr="006E79D9" w:rsidRDefault="00A23F0F" w:rsidP="006E79D9">
      <w:pPr>
        <w:spacing w:after="0"/>
        <w:rPr>
          <w:rFonts w:ascii="Times New Roman" w:hAnsi="Times New Roman" w:cs="Times New Roman"/>
          <w:b/>
          <w:sz w:val="24"/>
          <w:szCs w:val="24"/>
        </w:rPr>
      </w:pPr>
    </w:p>
    <w:p w14:paraId="30A75EE6" w14:textId="0397040F" w:rsidR="003A1F80" w:rsidRPr="006E79D9" w:rsidRDefault="001573E3" w:rsidP="006E79D9">
      <w:pPr>
        <w:spacing w:after="0"/>
        <w:rPr>
          <w:rFonts w:ascii="Times New Roman" w:hAnsi="Times New Roman" w:cs="Times New Roman"/>
          <w:b/>
          <w:i/>
          <w:sz w:val="24"/>
          <w:szCs w:val="24"/>
        </w:rPr>
      </w:pPr>
      <w:r w:rsidRPr="006E79D9">
        <w:rPr>
          <w:rFonts w:ascii="Times New Roman" w:hAnsi="Times New Roman" w:cs="Times New Roman"/>
          <w:b/>
          <w:i/>
          <w:sz w:val="24"/>
          <w:szCs w:val="24"/>
        </w:rPr>
        <w:t>Malaysian Journal of</w:t>
      </w:r>
      <w:r w:rsidR="009A5A4D" w:rsidRPr="006E79D9">
        <w:rPr>
          <w:rFonts w:ascii="Times New Roman" w:hAnsi="Times New Roman" w:cs="Times New Roman"/>
          <w:b/>
          <w:i/>
          <w:sz w:val="24"/>
          <w:szCs w:val="24"/>
        </w:rPr>
        <w:t xml:space="preserve"> Analytical Sciences</w:t>
      </w:r>
      <w:r w:rsidR="003A1F80" w:rsidRPr="006E79D9">
        <w:rPr>
          <w:rFonts w:ascii="Times New Roman" w:hAnsi="Times New Roman" w:cs="Times New Roman"/>
          <w:b/>
          <w:sz w:val="24"/>
          <w:szCs w:val="24"/>
        </w:rPr>
        <w:t xml:space="preserve"> </w:t>
      </w:r>
      <w:r w:rsidR="009A5A4D" w:rsidRPr="006E79D9">
        <w:rPr>
          <w:rFonts w:ascii="Times New Roman" w:hAnsi="Times New Roman" w:cs="Times New Roman"/>
          <w:b/>
          <w:i/>
          <w:sz w:val="24"/>
          <w:szCs w:val="24"/>
        </w:rPr>
        <w:t xml:space="preserve">Vol 24 No </w:t>
      </w:r>
      <w:r w:rsidR="00CE6DF3">
        <w:rPr>
          <w:rFonts w:ascii="Times New Roman" w:hAnsi="Times New Roman" w:cs="Times New Roman"/>
          <w:b/>
          <w:i/>
          <w:sz w:val="24"/>
          <w:szCs w:val="24"/>
        </w:rPr>
        <w:t>6</w:t>
      </w:r>
      <w:r w:rsidR="00C72F3E" w:rsidRPr="006E79D9">
        <w:rPr>
          <w:rFonts w:ascii="Times New Roman" w:hAnsi="Times New Roman" w:cs="Times New Roman"/>
          <w:b/>
          <w:i/>
          <w:sz w:val="24"/>
          <w:szCs w:val="24"/>
        </w:rPr>
        <w:t xml:space="preserve"> (2020</w:t>
      </w:r>
      <w:r w:rsidRPr="006E79D9">
        <w:rPr>
          <w:rFonts w:ascii="Times New Roman" w:hAnsi="Times New Roman" w:cs="Times New Roman"/>
          <w:b/>
          <w:i/>
          <w:sz w:val="24"/>
          <w:szCs w:val="24"/>
        </w:rPr>
        <w:t xml:space="preserve">): </w:t>
      </w:r>
      <w:r w:rsidR="00326D52">
        <w:rPr>
          <w:rFonts w:ascii="Times New Roman" w:hAnsi="Times New Roman" w:cs="Times New Roman"/>
          <w:b/>
          <w:i/>
          <w:sz w:val="24"/>
          <w:szCs w:val="24"/>
        </w:rPr>
        <w:t>92</w:t>
      </w:r>
      <w:r w:rsidR="002A7CF2">
        <w:rPr>
          <w:rFonts w:ascii="Times New Roman" w:hAnsi="Times New Roman" w:cs="Times New Roman"/>
          <w:b/>
          <w:i/>
          <w:sz w:val="24"/>
          <w:szCs w:val="24"/>
        </w:rPr>
        <w:t>7</w:t>
      </w:r>
      <w:r w:rsidR="003A1F80" w:rsidRPr="006E79D9">
        <w:rPr>
          <w:rFonts w:ascii="Times New Roman" w:hAnsi="Times New Roman" w:cs="Times New Roman"/>
          <w:b/>
          <w:i/>
          <w:sz w:val="24"/>
          <w:szCs w:val="24"/>
        </w:rPr>
        <w:t xml:space="preserve"> - </w:t>
      </w:r>
      <w:r w:rsidR="00326D52">
        <w:rPr>
          <w:rFonts w:ascii="Times New Roman" w:hAnsi="Times New Roman" w:cs="Times New Roman"/>
          <w:b/>
          <w:i/>
          <w:sz w:val="24"/>
          <w:szCs w:val="24"/>
        </w:rPr>
        <w:t>93</w:t>
      </w:r>
      <w:r w:rsidR="002A7CF2">
        <w:rPr>
          <w:rFonts w:ascii="Times New Roman" w:hAnsi="Times New Roman" w:cs="Times New Roman"/>
          <w:b/>
          <w:i/>
          <w:sz w:val="24"/>
          <w:szCs w:val="24"/>
        </w:rPr>
        <w:t>9</w:t>
      </w:r>
    </w:p>
    <w:p w14:paraId="1FF05887" w14:textId="77777777" w:rsidR="00095557" w:rsidRPr="006E79D9" w:rsidRDefault="00095557" w:rsidP="006E79D9">
      <w:pPr>
        <w:spacing w:after="0"/>
        <w:rPr>
          <w:rFonts w:ascii="Times New Roman" w:hAnsi="Times New Roman" w:cs="Times New Roman"/>
          <w:sz w:val="24"/>
          <w:szCs w:val="24"/>
        </w:rPr>
      </w:pPr>
    </w:p>
    <w:p w14:paraId="6280E4A5" w14:textId="77777777" w:rsidR="003A1F80" w:rsidRPr="006E79D9" w:rsidRDefault="003A1F80" w:rsidP="006E79D9">
      <w:pPr>
        <w:spacing w:after="0"/>
        <w:rPr>
          <w:rFonts w:ascii="Times New Roman" w:hAnsi="Times New Roman" w:cs="Times New Roman"/>
          <w:sz w:val="24"/>
          <w:szCs w:val="24"/>
        </w:rPr>
      </w:pPr>
    </w:p>
    <w:p w14:paraId="05D0713A" w14:textId="77777777" w:rsidR="003A1F80" w:rsidRDefault="003A1F80" w:rsidP="006E79D9">
      <w:pPr>
        <w:spacing w:after="0"/>
        <w:rPr>
          <w:rFonts w:ascii="Times New Roman" w:hAnsi="Times New Roman" w:cs="Times New Roman"/>
          <w:sz w:val="24"/>
          <w:szCs w:val="24"/>
        </w:rPr>
      </w:pPr>
    </w:p>
    <w:p w14:paraId="28946509" w14:textId="77777777" w:rsidR="00B40E61" w:rsidRPr="006E79D9" w:rsidRDefault="00B40E61" w:rsidP="006E79D9">
      <w:pPr>
        <w:spacing w:after="0"/>
        <w:rPr>
          <w:rFonts w:ascii="Times New Roman" w:hAnsi="Times New Roman" w:cs="Times New Roman"/>
          <w:sz w:val="24"/>
          <w:szCs w:val="24"/>
        </w:rPr>
      </w:pPr>
    </w:p>
    <w:p w14:paraId="66A514E6" w14:textId="77777777" w:rsidR="002A7CF2" w:rsidRPr="006D4A41" w:rsidRDefault="002A7CF2" w:rsidP="002A7CF2">
      <w:pPr>
        <w:spacing w:after="0"/>
        <w:jc w:val="center"/>
        <w:rPr>
          <w:rFonts w:ascii="Times New Roman" w:hAnsi="Times New Roman"/>
          <w:sz w:val="28"/>
          <w:szCs w:val="28"/>
        </w:rPr>
      </w:pPr>
      <w:r w:rsidRPr="006D4A41">
        <w:rPr>
          <w:rFonts w:ascii="Times New Roman" w:hAnsi="Times New Roman"/>
          <w:sz w:val="28"/>
          <w:szCs w:val="28"/>
        </w:rPr>
        <w:t xml:space="preserve">OPTIMISATION AND VALIDATION OF ULTRAHIGH PERFORMANCE LIQUID CHROMATOGRAPHY METHOD FOR QUANTIFICATION OF </w:t>
      </w:r>
    </w:p>
    <w:p w14:paraId="661FBC0E" w14:textId="77777777" w:rsidR="002A7CF2" w:rsidRPr="006D4A41" w:rsidRDefault="002A7CF2" w:rsidP="002A7CF2">
      <w:pPr>
        <w:spacing w:after="0"/>
        <w:jc w:val="center"/>
        <w:rPr>
          <w:rFonts w:ascii="Times New Roman" w:hAnsi="Times New Roman"/>
          <w:sz w:val="28"/>
          <w:szCs w:val="28"/>
        </w:rPr>
      </w:pPr>
      <w:r w:rsidRPr="006D4A41">
        <w:rPr>
          <w:rFonts w:ascii="Times New Roman" w:hAnsi="Times New Roman"/>
          <w:sz w:val="28"/>
          <w:szCs w:val="28"/>
        </w:rPr>
        <w:t>25-HYDROXYVITAMIN D IN MATERNAL PLASMA</w:t>
      </w:r>
    </w:p>
    <w:p w14:paraId="6A7E52A1" w14:textId="77777777" w:rsidR="002A7CF2" w:rsidRPr="006D4A41" w:rsidRDefault="002A7CF2" w:rsidP="002A7CF2">
      <w:pPr>
        <w:spacing w:after="0"/>
        <w:jc w:val="center"/>
        <w:rPr>
          <w:rFonts w:ascii="Times New Roman" w:hAnsi="Times New Roman"/>
          <w:b/>
          <w:bCs/>
          <w:sz w:val="24"/>
          <w:szCs w:val="24"/>
        </w:rPr>
      </w:pPr>
    </w:p>
    <w:p w14:paraId="0B34D9C3" w14:textId="3ED15BF0" w:rsidR="002A7CF2" w:rsidRPr="006D4A41" w:rsidRDefault="002A7CF2" w:rsidP="002A7CF2">
      <w:pPr>
        <w:spacing w:after="0"/>
        <w:jc w:val="center"/>
        <w:rPr>
          <w:rFonts w:ascii="Times New Roman" w:hAnsi="Times New Roman"/>
          <w:sz w:val="24"/>
          <w:szCs w:val="24"/>
        </w:rPr>
      </w:pPr>
      <w:r w:rsidRPr="006D4A41">
        <w:rPr>
          <w:rFonts w:ascii="Times New Roman" w:hAnsi="Times New Roman"/>
          <w:sz w:val="24"/>
          <w:szCs w:val="24"/>
        </w:rPr>
        <w:t>(</w:t>
      </w:r>
      <w:r w:rsidRPr="006D4A41">
        <w:rPr>
          <w:rFonts w:ascii="Times New Roman" w:hAnsi="Times New Roman"/>
          <w:sz w:val="24"/>
          <w:szCs w:val="24"/>
          <w:lang w:val="ms-MY"/>
        </w:rPr>
        <w:t xml:space="preserve">Pengoptimuman dan Pengesahan Kaedah Kromatografi Cecair Berprestasi Ultra Tinggi untuk </w:t>
      </w:r>
      <w:r w:rsidR="00E41195">
        <w:rPr>
          <w:rFonts w:ascii="Times New Roman" w:hAnsi="Times New Roman"/>
          <w:sz w:val="24"/>
          <w:szCs w:val="24"/>
          <w:lang w:val="ms-MY"/>
        </w:rPr>
        <w:t>K</w:t>
      </w:r>
      <w:r w:rsidRPr="006D4A41">
        <w:rPr>
          <w:rFonts w:ascii="Times New Roman" w:hAnsi="Times New Roman"/>
          <w:sz w:val="24"/>
          <w:szCs w:val="24"/>
          <w:lang w:val="ms-MY"/>
        </w:rPr>
        <w:t>uantifikasi 25-hidroksivitamin dalam Plasma Ibu Mengandung</w:t>
      </w:r>
      <w:r w:rsidRPr="006D4A41">
        <w:rPr>
          <w:rFonts w:ascii="Times New Roman" w:hAnsi="Times New Roman"/>
          <w:sz w:val="24"/>
          <w:szCs w:val="24"/>
        </w:rPr>
        <w:t>)</w:t>
      </w:r>
    </w:p>
    <w:p w14:paraId="0592B734" w14:textId="77777777" w:rsidR="002A7CF2" w:rsidRPr="006D4A41" w:rsidRDefault="002A7CF2" w:rsidP="002A7CF2">
      <w:pPr>
        <w:spacing w:after="0"/>
        <w:jc w:val="center"/>
        <w:rPr>
          <w:rFonts w:ascii="Times New Roman" w:hAnsi="Times New Roman"/>
          <w:sz w:val="20"/>
          <w:szCs w:val="20"/>
        </w:rPr>
      </w:pPr>
    </w:p>
    <w:p w14:paraId="688B038E" w14:textId="77777777" w:rsidR="002A7CF2" w:rsidRPr="009B1B4B" w:rsidRDefault="002A7CF2" w:rsidP="002A7CF2">
      <w:pPr>
        <w:spacing w:after="0"/>
        <w:jc w:val="center"/>
        <w:rPr>
          <w:rFonts w:ascii="Times New Roman" w:hAnsi="Times New Roman"/>
          <w:sz w:val="20"/>
          <w:szCs w:val="20"/>
        </w:rPr>
      </w:pPr>
      <w:r w:rsidRPr="006D4A41">
        <w:rPr>
          <w:rFonts w:ascii="Times New Roman" w:hAnsi="Times New Roman"/>
          <w:sz w:val="20"/>
          <w:szCs w:val="20"/>
        </w:rPr>
        <w:t>Siew Siew Lee and Su Peng Loh</w:t>
      </w:r>
      <w:r w:rsidRPr="009B1B4B">
        <w:rPr>
          <w:rFonts w:ascii="Times New Roman" w:hAnsi="Times New Roman"/>
          <w:sz w:val="20"/>
          <w:szCs w:val="20"/>
        </w:rPr>
        <w:t>*</w:t>
      </w:r>
    </w:p>
    <w:p w14:paraId="38144B3C" w14:textId="77777777" w:rsidR="002A7CF2" w:rsidRPr="002A7CF2" w:rsidRDefault="002A7CF2" w:rsidP="002A7CF2">
      <w:pPr>
        <w:spacing w:after="0"/>
        <w:jc w:val="center"/>
        <w:rPr>
          <w:rFonts w:ascii="Times New Roman" w:hAnsi="Times New Roman"/>
          <w:sz w:val="20"/>
          <w:szCs w:val="20"/>
        </w:rPr>
      </w:pPr>
    </w:p>
    <w:p w14:paraId="7D96FECE" w14:textId="6DC49017" w:rsidR="002A7CF2" w:rsidRPr="002A7CF2" w:rsidRDefault="002A7CF2" w:rsidP="002A7CF2">
      <w:pPr>
        <w:spacing w:after="0"/>
        <w:jc w:val="center"/>
        <w:rPr>
          <w:rFonts w:ascii="Times New Roman" w:hAnsi="Times New Roman"/>
          <w:i/>
          <w:iCs/>
          <w:sz w:val="20"/>
          <w:szCs w:val="20"/>
        </w:rPr>
      </w:pPr>
      <w:bookmarkStart w:id="0" w:name="OLE_LINK1"/>
      <w:bookmarkStart w:id="1" w:name="OLE_LINK2"/>
      <w:r w:rsidRPr="002A7CF2">
        <w:rPr>
          <w:rFonts w:ascii="Times New Roman" w:hAnsi="Times New Roman"/>
          <w:i/>
          <w:iCs/>
          <w:sz w:val="20"/>
          <w:szCs w:val="20"/>
        </w:rPr>
        <w:t>Department of Nutrition,</w:t>
      </w:r>
    </w:p>
    <w:p w14:paraId="24BA2604" w14:textId="77777777" w:rsidR="002A7CF2" w:rsidRPr="002A7CF2" w:rsidRDefault="002A7CF2" w:rsidP="002A7CF2">
      <w:pPr>
        <w:spacing w:after="0"/>
        <w:jc w:val="center"/>
        <w:rPr>
          <w:rFonts w:ascii="Times New Roman" w:hAnsi="Times New Roman"/>
          <w:i/>
          <w:iCs/>
          <w:sz w:val="20"/>
          <w:szCs w:val="20"/>
        </w:rPr>
      </w:pPr>
      <w:r w:rsidRPr="002A7CF2">
        <w:rPr>
          <w:rFonts w:ascii="Times New Roman" w:hAnsi="Times New Roman"/>
          <w:i/>
          <w:iCs/>
          <w:sz w:val="20"/>
          <w:szCs w:val="20"/>
        </w:rPr>
        <w:t>Universiti Putra Malaysia, 43400 UPM Serdang, Selangor, Malaysia</w:t>
      </w:r>
      <w:bookmarkEnd w:id="0"/>
      <w:bookmarkEnd w:id="1"/>
    </w:p>
    <w:p w14:paraId="145120A0" w14:textId="77777777" w:rsidR="002A7CF2" w:rsidRPr="002A7CF2" w:rsidRDefault="002A7CF2" w:rsidP="002A7CF2">
      <w:pPr>
        <w:spacing w:after="0"/>
        <w:jc w:val="center"/>
        <w:rPr>
          <w:rFonts w:ascii="Times New Roman" w:hAnsi="Times New Roman"/>
          <w:i/>
          <w:iCs/>
          <w:sz w:val="20"/>
          <w:szCs w:val="20"/>
        </w:rPr>
      </w:pPr>
    </w:p>
    <w:p w14:paraId="075D644F" w14:textId="77777777" w:rsidR="002A7CF2" w:rsidRPr="002A7CF2" w:rsidRDefault="002A7CF2" w:rsidP="002A7CF2">
      <w:pPr>
        <w:spacing w:after="0"/>
        <w:jc w:val="center"/>
        <w:rPr>
          <w:rFonts w:ascii="Times New Roman" w:hAnsi="Times New Roman"/>
          <w:i/>
          <w:iCs/>
          <w:sz w:val="20"/>
          <w:szCs w:val="20"/>
        </w:rPr>
      </w:pPr>
      <w:r w:rsidRPr="002A7CF2">
        <w:rPr>
          <w:rFonts w:ascii="Times New Roman" w:hAnsi="Times New Roman"/>
          <w:bCs/>
          <w:i/>
          <w:iCs/>
          <w:sz w:val="20"/>
          <w:szCs w:val="20"/>
        </w:rPr>
        <w:t xml:space="preserve">*Corresponding author:  </w:t>
      </w:r>
      <w:r w:rsidRPr="002A7CF2">
        <w:rPr>
          <w:rFonts w:ascii="Times New Roman" w:hAnsi="Times New Roman"/>
          <w:i/>
          <w:iCs/>
          <w:sz w:val="20"/>
          <w:szCs w:val="20"/>
        </w:rPr>
        <w:t>sploh@upm.edu.my</w:t>
      </w:r>
    </w:p>
    <w:p w14:paraId="24DDD76F" w14:textId="77777777" w:rsidR="002A7CF2" w:rsidRPr="002A7CF2" w:rsidRDefault="002A7CF2" w:rsidP="002A7CF2">
      <w:pPr>
        <w:spacing w:after="0"/>
        <w:jc w:val="center"/>
        <w:rPr>
          <w:rFonts w:ascii="Times New Roman" w:hAnsi="Times New Roman"/>
          <w:noProof/>
          <w:sz w:val="20"/>
          <w:szCs w:val="20"/>
        </w:rPr>
      </w:pPr>
    </w:p>
    <w:p w14:paraId="6D9E81A8" w14:textId="77777777" w:rsidR="002A7CF2" w:rsidRPr="002A7CF2" w:rsidRDefault="002A7CF2" w:rsidP="002A7CF2">
      <w:pPr>
        <w:spacing w:after="0"/>
        <w:jc w:val="center"/>
        <w:rPr>
          <w:rFonts w:ascii="Times New Roman" w:hAnsi="Times New Roman"/>
          <w:noProof/>
          <w:sz w:val="20"/>
          <w:szCs w:val="20"/>
        </w:rPr>
      </w:pPr>
    </w:p>
    <w:p w14:paraId="74E0FD0B" w14:textId="77777777" w:rsidR="002A7CF2" w:rsidRPr="002A7CF2" w:rsidRDefault="002A7CF2" w:rsidP="002A7CF2">
      <w:pPr>
        <w:spacing w:after="0"/>
        <w:jc w:val="center"/>
        <w:rPr>
          <w:rFonts w:ascii="Times New Roman" w:hAnsi="Times New Roman"/>
          <w:noProof/>
          <w:sz w:val="20"/>
          <w:szCs w:val="20"/>
        </w:rPr>
      </w:pPr>
      <w:r w:rsidRPr="002A7CF2">
        <w:rPr>
          <w:rFonts w:ascii="Times New Roman" w:hAnsi="Times New Roman"/>
          <w:noProof/>
          <w:sz w:val="20"/>
          <w:szCs w:val="20"/>
        </w:rPr>
        <w:t>Received: 19 August 2020; Accepted: 25 October 2020; Published:  xx December 2020</w:t>
      </w:r>
    </w:p>
    <w:p w14:paraId="7658884D" w14:textId="77777777" w:rsidR="002A7CF2" w:rsidRPr="002A7CF2" w:rsidRDefault="002A7CF2" w:rsidP="002A7CF2">
      <w:pPr>
        <w:spacing w:after="0"/>
        <w:jc w:val="center"/>
        <w:rPr>
          <w:rFonts w:ascii="Times New Roman" w:hAnsi="Times New Roman"/>
          <w:noProof/>
          <w:sz w:val="20"/>
          <w:szCs w:val="20"/>
        </w:rPr>
      </w:pPr>
    </w:p>
    <w:p w14:paraId="3D71F52C" w14:textId="77777777" w:rsidR="002A7CF2" w:rsidRPr="002A7CF2" w:rsidRDefault="002A7CF2" w:rsidP="002A7CF2">
      <w:pPr>
        <w:spacing w:after="0"/>
        <w:jc w:val="center"/>
        <w:rPr>
          <w:rFonts w:ascii="Times New Roman" w:hAnsi="Times New Roman"/>
          <w:noProof/>
          <w:sz w:val="20"/>
          <w:szCs w:val="20"/>
        </w:rPr>
      </w:pPr>
    </w:p>
    <w:p w14:paraId="57D774EC" w14:textId="77777777" w:rsidR="002A7CF2" w:rsidRPr="002A7CF2" w:rsidRDefault="002A7CF2" w:rsidP="002A7CF2">
      <w:pPr>
        <w:spacing w:after="0"/>
        <w:jc w:val="center"/>
        <w:rPr>
          <w:rFonts w:ascii="Times New Roman" w:hAnsi="Times New Roman"/>
          <w:b/>
          <w:noProof/>
          <w:sz w:val="20"/>
          <w:szCs w:val="20"/>
        </w:rPr>
      </w:pPr>
      <w:r w:rsidRPr="002A7CF2">
        <w:rPr>
          <w:rFonts w:ascii="Times New Roman" w:hAnsi="Times New Roman"/>
          <w:b/>
          <w:noProof/>
          <w:sz w:val="20"/>
          <w:szCs w:val="20"/>
        </w:rPr>
        <w:t>Abstract</w:t>
      </w:r>
    </w:p>
    <w:p w14:paraId="7FAD56B3" w14:textId="77777777" w:rsidR="002A7CF2" w:rsidRPr="002A7CF2" w:rsidRDefault="002A7CF2" w:rsidP="002A7CF2">
      <w:pPr>
        <w:spacing w:after="0"/>
        <w:jc w:val="both"/>
        <w:rPr>
          <w:rFonts w:ascii="Times New Roman" w:hAnsi="Times New Roman"/>
          <w:sz w:val="20"/>
          <w:szCs w:val="20"/>
        </w:rPr>
      </w:pPr>
      <w:r w:rsidRPr="002A7CF2">
        <w:rPr>
          <w:rFonts w:ascii="Times New Roman" w:hAnsi="Times New Roman"/>
          <w:sz w:val="20"/>
          <w:szCs w:val="20"/>
        </w:rPr>
        <w:t>This study aimed to optimise and validate a simple and efficient sample preparation and extraction method for the quantification of 25-hydroxyvitamin D (25OHD) in the maternal plasma sample</w:t>
      </w:r>
      <w:r w:rsidRPr="002A7CF2">
        <w:rPr>
          <w:rFonts w:ascii="Times New Roman" w:hAnsi="Times New Roman"/>
          <w:bCs/>
          <w:sz w:val="20"/>
          <w:szCs w:val="20"/>
        </w:rPr>
        <w:t xml:space="preserve">. </w:t>
      </w:r>
      <w:r w:rsidRPr="002A7CF2">
        <w:rPr>
          <w:rFonts w:ascii="Times New Roman" w:hAnsi="Times New Roman"/>
          <w:sz w:val="20"/>
          <w:szCs w:val="20"/>
        </w:rPr>
        <w:t>Different sample preparation methods and precipitation reagent-to sample ratio used by previous studies were compared. An ultrahigh performance liquid chromatography method was developed and validated for simultaneous quantification of 25OHD</w:t>
      </w:r>
      <w:r w:rsidRPr="002A7CF2">
        <w:rPr>
          <w:rFonts w:ascii="Times New Roman" w:hAnsi="Times New Roman"/>
          <w:sz w:val="20"/>
          <w:szCs w:val="20"/>
          <w:vertAlign w:val="subscript"/>
        </w:rPr>
        <w:t>2</w:t>
      </w:r>
      <w:r w:rsidRPr="002A7CF2">
        <w:rPr>
          <w:rFonts w:ascii="Times New Roman" w:hAnsi="Times New Roman"/>
          <w:sz w:val="20"/>
          <w:szCs w:val="20"/>
        </w:rPr>
        <w:t xml:space="preserve"> and 25OHD</w:t>
      </w:r>
      <w:r w:rsidRPr="002A7CF2">
        <w:rPr>
          <w:rFonts w:ascii="Times New Roman" w:hAnsi="Times New Roman"/>
          <w:sz w:val="20"/>
          <w:szCs w:val="20"/>
          <w:vertAlign w:val="subscript"/>
        </w:rPr>
        <w:t>3</w:t>
      </w:r>
      <w:r w:rsidRPr="002A7CF2">
        <w:rPr>
          <w:rFonts w:ascii="Times New Roman" w:hAnsi="Times New Roman"/>
          <w:sz w:val="20"/>
          <w:szCs w:val="20"/>
        </w:rPr>
        <w:t xml:space="preserve">. The chromatographic separation was achieved using the COSMOCORE 2.6Cholester Column and methanol and 0.1% formic acid (79:21, %v/v) as mobile phase at a flow rate of 0.3 mL/min and diode array detection at 264 nm. The results demonstrated that a </w:t>
      </w:r>
      <w:r w:rsidRPr="002A7CF2">
        <w:rPr>
          <w:rFonts w:ascii="Times New Roman" w:hAnsi="Times New Roman"/>
          <w:sz w:val="20"/>
          <w:szCs w:val="20"/>
          <w:lang w:val="en-MY"/>
        </w:rPr>
        <w:t xml:space="preserve">recovery of approximately 100% </w:t>
      </w:r>
      <w:r w:rsidRPr="002A7CF2">
        <w:rPr>
          <w:rFonts w:ascii="Times New Roman" w:hAnsi="Times New Roman"/>
          <w:sz w:val="20"/>
          <w:szCs w:val="20"/>
        </w:rPr>
        <w:t>could be achieved by extracting samples using 1 mL of hexane, vortex for 10s and a total number of three extraction steps. The precipitation reagent-to-sample ratio of 2.8 was optimum for the quantification of 25OHD</w:t>
      </w:r>
      <w:r w:rsidRPr="002A7CF2">
        <w:rPr>
          <w:rFonts w:ascii="Times New Roman" w:hAnsi="Times New Roman"/>
          <w:sz w:val="20"/>
          <w:szCs w:val="20"/>
          <w:vertAlign w:val="subscript"/>
        </w:rPr>
        <w:t>2</w:t>
      </w:r>
      <w:r w:rsidRPr="002A7CF2">
        <w:rPr>
          <w:rFonts w:ascii="Times New Roman" w:hAnsi="Times New Roman"/>
          <w:sz w:val="20"/>
          <w:szCs w:val="20"/>
        </w:rPr>
        <w:t xml:space="preserve"> and 25OHD</w:t>
      </w:r>
      <w:r w:rsidRPr="002A7CF2">
        <w:rPr>
          <w:rFonts w:ascii="Times New Roman" w:hAnsi="Times New Roman"/>
          <w:sz w:val="20"/>
          <w:szCs w:val="20"/>
          <w:vertAlign w:val="subscript"/>
        </w:rPr>
        <w:t>3</w:t>
      </w:r>
      <w:r w:rsidRPr="002A7CF2">
        <w:rPr>
          <w:rFonts w:ascii="Times New Roman" w:hAnsi="Times New Roman"/>
          <w:sz w:val="20"/>
          <w:szCs w:val="20"/>
        </w:rPr>
        <w:t xml:space="preserve"> in a pooled maternal sample. The value obtained for validation parameters meets the criteria of the Recommendations and Acceptance Criteria for Bioanalytical Method Validation by the Food and Drug Administration. The results showed that this method could be applied for routine quantification of 25OHD, particularly in the maternal plasma sample.</w:t>
      </w:r>
    </w:p>
    <w:p w14:paraId="37E4107B" w14:textId="77777777" w:rsidR="002A7CF2" w:rsidRPr="002A7CF2" w:rsidRDefault="002A7CF2" w:rsidP="002A7CF2">
      <w:pPr>
        <w:spacing w:after="0"/>
        <w:jc w:val="both"/>
        <w:rPr>
          <w:rFonts w:ascii="Times New Roman" w:hAnsi="Times New Roman"/>
          <w:sz w:val="20"/>
          <w:szCs w:val="20"/>
        </w:rPr>
      </w:pPr>
    </w:p>
    <w:p w14:paraId="43591779" w14:textId="77777777" w:rsidR="002A7CF2" w:rsidRPr="002A7CF2" w:rsidRDefault="002A7CF2" w:rsidP="002A7CF2">
      <w:pPr>
        <w:spacing w:after="0"/>
        <w:jc w:val="both"/>
        <w:rPr>
          <w:rFonts w:ascii="Times New Roman" w:hAnsi="Times New Roman"/>
          <w:bCs/>
          <w:sz w:val="20"/>
          <w:szCs w:val="20"/>
        </w:rPr>
      </w:pPr>
      <w:r w:rsidRPr="002A7CF2">
        <w:rPr>
          <w:rFonts w:ascii="Times New Roman" w:hAnsi="Times New Roman"/>
          <w:b/>
          <w:sz w:val="20"/>
          <w:szCs w:val="20"/>
        </w:rPr>
        <w:t xml:space="preserve">Keywords:  </w:t>
      </w:r>
      <w:r w:rsidRPr="002A7CF2">
        <w:rPr>
          <w:rFonts w:ascii="Times New Roman" w:hAnsi="Times New Roman"/>
          <w:bCs/>
          <w:sz w:val="20"/>
          <w:szCs w:val="20"/>
        </w:rPr>
        <w:t xml:space="preserve">25-hydroxyvitamin D, maternal, ultrahigh performance liquid chromatography, extraction </w:t>
      </w:r>
    </w:p>
    <w:p w14:paraId="4BE66029" w14:textId="77777777" w:rsidR="002A7CF2" w:rsidRPr="002A7CF2" w:rsidRDefault="002A7CF2" w:rsidP="002A7CF2">
      <w:pPr>
        <w:spacing w:after="0"/>
        <w:jc w:val="center"/>
        <w:rPr>
          <w:rFonts w:ascii="Times New Roman" w:hAnsi="Times New Roman"/>
          <w:bCs/>
          <w:sz w:val="20"/>
          <w:szCs w:val="20"/>
        </w:rPr>
      </w:pPr>
    </w:p>
    <w:p w14:paraId="6003F19D" w14:textId="77777777" w:rsidR="002A7CF2" w:rsidRPr="002A7CF2" w:rsidRDefault="002A7CF2" w:rsidP="002A7CF2">
      <w:pPr>
        <w:spacing w:after="0"/>
        <w:jc w:val="center"/>
        <w:rPr>
          <w:rFonts w:ascii="Times New Roman" w:hAnsi="Times New Roman"/>
          <w:b/>
          <w:sz w:val="20"/>
          <w:szCs w:val="20"/>
        </w:rPr>
      </w:pPr>
      <w:r w:rsidRPr="002A7CF2">
        <w:rPr>
          <w:rFonts w:ascii="Times New Roman" w:hAnsi="Times New Roman"/>
          <w:b/>
          <w:sz w:val="20"/>
          <w:szCs w:val="20"/>
        </w:rPr>
        <w:t>Abstrak</w:t>
      </w:r>
    </w:p>
    <w:p w14:paraId="12590362" w14:textId="77777777" w:rsidR="002A7CF2" w:rsidRPr="002A7CF2" w:rsidRDefault="002A7CF2" w:rsidP="002A7CF2">
      <w:pPr>
        <w:spacing w:after="0"/>
        <w:jc w:val="both"/>
        <w:rPr>
          <w:rFonts w:ascii="Times New Roman" w:hAnsi="Times New Roman"/>
          <w:bCs/>
          <w:sz w:val="20"/>
          <w:szCs w:val="20"/>
          <w:lang w:val="ms-MY"/>
        </w:rPr>
      </w:pPr>
      <w:r w:rsidRPr="002A7CF2">
        <w:rPr>
          <w:rFonts w:ascii="Times New Roman" w:hAnsi="Times New Roman"/>
          <w:sz w:val="20"/>
          <w:szCs w:val="20"/>
          <w:lang w:val="ms-MY"/>
        </w:rPr>
        <w:t xml:space="preserve">Kajian ini bertujuan mengoptimumkan dan mengesahkan kaedah penyediaan dan pengekstrakan yang mudah dan cekap untuk pengkuantitian 25-hidroksivitamin D (25OHD) di dalam sampel plasma ibu mengandung. Kaedah </w:t>
      </w:r>
      <w:r w:rsidRPr="002A7CF2">
        <w:rPr>
          <w:rFonts w:ascii="Times New Roman" w:hAnsi="Times New Roman"/>
          <w:sz w:val="20"/>
          <w:szCs w:val="20"/>
          <w:lang w:val="ms-MY"/>
        </w:rPr>
        <w:lastRenderedPageBreak/>
        <w:t xml:space="preserve">kromatografi cecair berprestasi ultra tinggi telah dibangunkan dan disahkan untuk pengkuantitian </w:t>
      </w:r>
      <w:r w:rsidRPr="002A7CF2">
        <w:rPr>
          <w:rFonts w:ascii="Times New Roman" w:hAnsi="Times New Roman"/>
          <w:sz w:val="20"/>
          <w:szCs w:val="20"/>
        </w:rPr>
        <w:t>25OHD</w:t>
      </w:r>
      <w:r w:rsidRPr="002A7CF2">
        <w:rPr>
          <w:rFonts w:ascii="Times New Roman" w:hAnsi="Times New Roman"/>
          <w:sz w:val="20"/>
          <w:szCs w:val="20"/>
          <w:vertAlign w:val="subscript"/>
        </w:rPr>
        <w:t>2</w:t>
      </w:r>
      <w:r w:rsidRPr="002A7CF2">
        <w:rPr>
          <w:rFonts w:ascii="Times New Roman" w:hAnsi="Times New Roman"/>
          <w:sz w:val="20"/>
          <w:szCs w:val="20"/>
        </w:rPr>
        <w:t xml:space="preserve"> and 25OHD</w:t>
      </w:r>
      <w:r w:rsidRPr="002A7CF2">
        <w:rPr>
          <w:rFonts w:ascii="Times New Roman" w:hAnsi="Times New Roman"/>
          <w:sz w:val="20"/>
          <w:szCs w:val="20"/>
          <w:vertAlign w:val="subscript"/>
        </w:rPr>
        <w:t>3</w:t>
      </w:r>
      <w:r w:rsidRPr="002A7CF2">
        <w:rPr>
          <w:rFonts w:ascii="Times New Roman" w:hAnsi="Times New Roman"/>
          <w:sz w:val="20"/>
          <w:szCs w:val="20"/>
        </w:rPr>
        <w:t xml:space="preserve"> </w:t>
      </w:r>
      <w:r w:rsidRPr="002A7CF2">
        <w:rPr>
          <w:rFonts w:ascii="Times New Roman" w:hAnsi="Times New Roman"/>
          <w:sz w:val="20"/>
          <w:szCs w:val="20"/>
          <w:lang w:val="ms-MY"/>
        </w:rPr>
        <w:t>secara serentak. Pemisahan kromatografi telah dicapai melalui turus COSMOCORE 2.6Cholester dan metanol: 0.1% asid formik (79:21, %v/v) sebagai fasa bergerak pada kadar aliran 0.3 mL/min dan pengesahan susunan diod pada 264 nm. Keputusan kajian menunjukkan bahawa kaedah pengekstrakan terbaik yang memberi kadar pemulihan yang hampir dengan 100% adalah mengekstrak sampel dengan menggunakan 1mL heksana, vorteks selama 10 s dan sejumlah 3 kali bagi langkah pengekstrakan. Kadar reagen pemendakan kepada sampel sebanyak 2.8 adalah optimum bagi pengekstrakan 25OHD</w:t>
      </w:r>
      <w:r w:rsidRPr="002A7CF2">
        <w:rPr>
          <w:rFonts w:ascii="Times New Roman" w:hAnsi="Times New Roman"/>
          <w:sz w:val="20"/>
          <w:szCs w:val="20"/>
          <w:vertAlign w:val="subscript"/>
          <w:lang w:val="ms-MY"/>
        </w:rPr>
        <w:t>2</w:t>
      </w:r>
      <w:r w:rsidRPr="002A7CF2">
        <w:rPr>
          <w:rFonts w:ascii="Times New Roman" w:hAnsi="Times New Roman"/>
          <w:sz w:val="20"/>
          <w:szCs w:val="20"/>
          <w:lang w:val="ms-MY"/>
        </w:rPr>
        <w:t xml:space="preserve"> dan 25OHD</w:t>
      </w:r>
      <w:r w:rsidRPr="002A7CF2">
        <w:rPr>
          <w:rFonts w:ascii="Times New Roman" w:hAnsi="Times New Roman"/>
          <w:sz w:val="20"/>
          <w:szCs w:val="20"/>
          <w:vertAlign w:val="subscript"/>
          <w:lang w:val="ms-MY"/>
        </w:rPr>
        <w:t>3</w:t>
      </w:r>
      <w:r w:rsidRPr="002A7CF2">
        <w:rPr>
          <w:rFonts w:ascii="Times New Roman" w:hAnsi="Times New Roman"/>
          <w:sz w:val="20"/>
          <w:szCs w:val="20"/>
          <w:lang w:val="ms-MY"/>
        </w:rPr>
        <w:t xml:space="preserve"> dalam sampel plasma ibu mengandung. Nilai yang diperolehi untuk parameter validasi adalah memenuhi kriteria cadangan dan kriteria penerimaan untuk pengesahan kaedah bioanalitikal oleh </w:t>
      </w:r>
      <w:r w:rsidRPr="002A7CF2">
        <w:rPr>
          <w:rFonts w:ascii="Times New Roman" w:hAnsi="Times New Roman"/>
          <w:color w:val="333333"/>
          <w:sz w:val="20"/>
          <w:szCs w:val="20"/>
          <w:shd w:val="clear" w:color="auto" w:fill="FFFFFF"/>
          <w:lang w:val="ms-MY"/>
        </w:rPr>
        <w:t>pentadbiran makanan dan ubat-ubatan (FDA)</w:t>
      </w:r>
      <w:r w:rsidRPr="002A7CF2">
        <w:rPr>
          <w:rFonts w:ascii="Times New Roman" w:hAnsi="Times New Roman"/>
          <w:sz w:val="20"/>
          <w:szCs w:val="20"/>
          <w:lang w:val="ms-MY"/>
        </w:rPr>
        <w:t>. Hasil kajian menunjukkan bahawa kaedah yang diperolehi boleh diguna untuk rutin pengkuantitian 25OHD dalam sampel plasma, terutamanya sampel plasma dari ibu mengandung.</w:t>
      </w:r>
    </w:p>
    <w:p w14:paraId="7BE376ED" w14:textId="77777777" w:rsidR="002A7CF2" w:rsidRPr="002A7CF2" w:rsidRDefault="002A7CF2" w:rsidP="002A7CF2">
      <w:pPr>
        <w:spacing w:after="0"/>
        <w:jc w:val="both"/>
        <w:rPr>
          <w:rFonts w:ascii="Times New Roman" w:hAnsi="Times New Roman"/>
          <w:bCs/>
          <w:sz w:val="20"/>
          <w:szCs w:val="20"/>
          <w:lang w:val="ms-MY"/>
        </w:rPr>
      </w:pPr>
    </w:p>
    <w:p w14:paraId="668D553C" w14:textId="77777777" w:rsidR="002A7CF2" w:rsidRDefault="002A7CF2" w:rsidP="002A7CF2">
      <w:pPr>
        <w:spacing w:after="0"/>
        <w:jc w:val="both"/>
        <w:rPr>
          <w:rFonts w:ascii="Times New Roman" w:hAnsi="Times New Roman"/>
          <w:bCs/>
          <w:sz w:val="20"/>
          <w:szCs w:val="20"/>
          <w:lang w:val="ms-MY"/>
        </w:rPr>
      </w:pPr>
      <w:r w:rsidRPr="002A7CF2">
        <w:rPr>
          <w:rFonts w:ascii="Times New Roman" w:hAnsi="Times New Roman"/>
          <w:b/>
          <w:sz w:val="20"/>
          <w:szCs w:val="20"/>
          <w:lang w:val="ms-MY"/>
        </w:rPr>
        <w:t xml:space="preserve">Kata kunci:  </w:t>
      </w:r>
      <w:r w:rsidRPr="002A7CF2">
        <w:rPr>
          <w:rFonts w:ascii="Times New Roman" w:hAnsi="Times New Roman"/>
          <w:bCs/>
          <w:sz w:val="20"/>
          <w:szCs w:val="20"/>
          <w:lang w:val="ms-MY"/>
        </w:rPr>
        <w:t xml:space="preserve">25-hidroksivitamin D, ibu mengandung, </w:t>
      </w:r>
      <w:r w:rsidRPr="002A7CF2">
        <w:rPr>
          <w:rFonts w:ascii="Times New Roman" w:hAnsi="Times New Roman"/>
          <w:sz w:val="20"/>
          <w:szCs w:val="20"/>
          <w:lang w:val="ms-MY"/>
        </w:rPr>
        <w:t>kromatografi cecair berprestasi ultra tinggi</w:t>
      </w:r>
      <w:r w:rsidRPr="002A7CF2">
        <w:rPr>
          <w:rFonts w:ascii="Times New Roman" w:hAnsi="Times New Roman"/>
          <w:bCs/>
          <w:sz w:val="20"/>
          <w:szCs w:val="20"/>
          <w:lang w:val="ms-MY"/>
        </w:rPr>
        <w:t xml:space="preserve">, pengekstrakan </w:t>
      </w:r>
    </w:p>
    <w:p w14:paraId="7AB0D49D" w14:textId="77777777" w:rsidR="002A7CF2" w:rsidRDefault="002A7CF2" w:rsidP="00AD0819">
      <w:pPr>
        <w:spacing w:after="0"/>
        <w:jc w:val="center"/>
        <w:rPr>
          <w:rFonts w:ascii="Times New Roman" w:hAnsi="Times New Roman"/>
          <w:bCs/>
          <w:sz w:val="20"/>
          <w:szCs w:val="20"/>
          <w:lang w:val="ms-MY"/>
        </w:rPr>
      </w:pPr>
    </w:p>
    <w:p w14:paraId="46FFF516" w14:textId="77777777" w:rsidR="002A7CF2" w:rsidRPr="00F447A7" w:rsidRDefault="002A7CF2" w:rsidP="002A7CF2">
      <w:pPr>
        <w:spacing w:after="0"/>
        <w:jc w:val="center"/>
        <w:rPr>
          <w:rFonts w:ascii="Times New Roman" w:hAnsi="Times New Roman"/>
          <w:b/>
          <w:noProof/>
          <w:sz w:val="20"/>
          <w:szCs w:val="20"/>
        </w:rPr>
      </w:pPr>
      <w:r w:rsidRPr="00F447A7">
        <w:rPr>
          <w:rFonts w:ascii="Times New Roman" w:hAnsi="Times New Roman"/>
          <w:b/>
          <w:noProof/>
          <w:sz w:val="20"/>
          <w:szCs w:val="20"/>
        </w:rPr>
        <w:t>References</w:t>
      </w:r>
    </w:p>
    <w:p w14:paraId="646A2508"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Institute of Medicine. (2011). Dietary Reference Intakes for Calcium and Vitamin D. The National Academies Press, Washington, DC: pp. 96.</w:t>
      </w:r>
    </w:p>
    <w:p w14:paraId="571B8E27"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Scientific Advisory Committee on Nutrition (2016). SACN vitamin D and Health report. https://www.gov.uk/government/publications/sacn-vitamin-d-and-health-report. [Access online 20 January 2019].</w:t>
      </w:r>
    </w:p>
    <w:p w14:paraId="57295DBC"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Wallace, A. M., Gibson, S., de la Hunty, A., Lamberg-Allardt, C. and Ashwell, M. (2010). Measurement of 25-hydroxyvitamin D in the clinical laboratory: Current procedures, performance characteristics and limitations. </w:t>
      </w:r>
      <w:r w:rsidRPr="00D5208A">
        <w:rPr>
          <w:rFonts w:ascii="Times New Roman" w:hAnsi="Times New Roman"/>
          <w:i/>
          <w:iCs/>
          <w:sz w:val="20"/>
          <w:szCs w:val="20"/>
        </w:rPr>
        <w:t>Steroids</w:t>
      </w:r>
      <w:r w:rsidRPr="00D5208A">
        <w:rPr>
          <w:rFonts w:ascii="Times New Roman" w:hAnsi="Times New Roman"/>
          <w:sz w:val="20"/>
          <w:szCs w:val="20"/>
        </w:rPr>
        <w:t>, 75(7): 477-488.</w:t>
      </w:r>
    </w:p>
    <w:p w14:paraId="68FDE0E4"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Bikle, D., Gee, E., Halloran, B., Kowalski, M. A., Ryzen, E. and Haddad, J. G. (1986). Assessment of the free fraction of 25-hydroxyvitamin D in serum and its regulation by albumin and the vitamin D-binding protein. </w:t>
      </w:r>
      <w:r w:rsidRPr="00D5208A">
        <w:rPr>
          <w:rFonts w:ascii="Times New Roman" w:hAnsi="Times New Roman"/>
          <w:i/>
          <w:iCs/>
          <w:sz w:val="20"/>
          <w:szCs w:val="20"/>
        </w:rPr>
        <w:t>The Journal of Clinical Endocrinology &amp; Metabolism</w:t>
      </w:r>
      <w:r w:rsidRPr="00D5208A">
        <w:rPr>
          <w:rFonts w:ascii="Times New Roman" w:hAnsi="Times New Roman"/>
          <w:sz w:val="20"/>
          <w:szCs w:val="20"/>
        </w:rPr>
        <w:t>, 63(4): 954-959.</w:t>
      </w:r>
    </w:p>
    <w:p w14:paraId="6EA984BC"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Le Goff, C., Cavalier, E., Souberbielle, J. C., Gonzalez-Antuna, A. and Delvin, E. (2015). Measurement of circulating 25-hydroxyvitamin D: A historical review. </w:t>
      </w:r>
      <w:r w:rsidRPr="00D5208A">
        <w:rPr>
          <w:rFonts w:ascii="Times New Roman" w:hAnsi="Times New Roman"/>
          <w:i/>
          <w:iCs/>
          <w:sz w:val="20"/>
          <w:szCs w:val="20"/>
        </w:rPr>
        <w:t>Practical Laboratory Medicine</w:t>
      </w:r>
      <w:r w:rsidRPr="00D5208A">
        <w:rPr>
          <w:rFonts w:ascii="Times New Roman" w:hAnsi="Times New Roman"/>
          <w:sz w:val="20"/>
          <w:szCs w:val="20"/>
        </w:rPr>
        <w:t>, 2: 1-14.</w:t>
      </w:r>
    </w:p>
    <w:p w14:paraId="78560E70"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Bikle, D. D., Gee, E., Halloran, B. and Haddad, J. G. (1984). Free 1,25-dihydroxyvitamin D levels in serum from normal subjects, pregnant subjects, and subjects with liver disease. </w:t>
      </w:r>
      <w:r w:rsidRPr="00D5208A">
        <w:rPr>
          <w:rFonts w:ascii="Times New Roman" w:hAnsi="Times New Roman"/>
          <w:i/>
          <w:iCs/>
          <w:sz w:val="20"/>
          <w:szCs w:val="20"/>
        </w:rPr>
        <w:t>The Journal of Clinical Investigation</w:t>
      </w:r>
      <w:r w:rsidRPr="00D5208A">
        <w:rPr>
          <w:rFonts w:ascii="Times New Roman" w:hAnsi="Times New Roman"/>
          <w:sz w:val="20"/>
          <w:szCs w:val="20"/>
        </w:rPr>
        <w:t>, 74(6): 1966-1971.</w:t>
      </w:r>
    </w:p>
    <w:p w14:paraId="1874DF7E"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van Hoof, H. J., de Sevaux, R. G. and van Baelen, H. (2001). Relationship between free and total 1,25-dihydroxyvitamin D in conditions of modified binding. </w:t>
      </w:r>
      <w:r w:rsidRPr="00D5208A">
        <w:rPr>
          <w:rFonts w:ascii="Times New Roman" w:hAnsi="Times New Roman"/>
          <w:i/>
          <w:iCs/>
          <w:sz w:val="20"/>
          <w:szCs w:val="20"/>
        </w:rPr>
        <w:t>European Journal of Endocrinology</w:t>
      </w:r>
      <w:r w:rsidRPr="00D5208A">
        <w:rPr>
          <w:rFonts w:ascii="Times New Roman" w:hAnsi="Times New Roman"/>
          <w:sz w:val="20"/>
          <w:szCs w:val="20"/>
        </w:rPr>
        <w:t>, 144(4): 391 – 396.</w:t>
      </w:r>
    </w:p>
    <w:p w14:paraId="56AEA18A"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Jones, K. S., Assar, S., Prentice, A. and Schoenmakers, I. (2016). Vitamin D expenditure is not altered in pregnancy and lactation despite changes in vitamin D metabolite concentrations. </w:t>
      </w:r>
      <w:r w:rsidRPr="00D5208A">
        <w:rPr>
          <w:rFonts w:ascii="Times New Roman" w:hAnsi="Times New Roman"/>
          <w:i/>
          <w:iCs/>
          <w:sz w:val="20"/>
          <w:szCs w:val="20"/>
        </w:rPr>
        <w:t>Scientific Reports</w:t>
      </w:r>
      <w:r w:rsidRPr="00D5208A">
        <w:rPr>
          <w:rFonts w:ascii="Times New Roman" w:hAnsi="Times New Roman"/>
          <w:sz w:val="20"/>
          <w:szCs w:val="20"/>
        </w:rPr>
        <w:t>, 6, 26795.</w:t>
      </w:r>
    </w:p>
    <w:p w14:paraId="047810E4"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Freeman, J., Wilson, K., Spears, R., Shalhoub, V. and Sibley, P. (2014). Influence of vitamin D binding protein on accuracy of 25-hydroxyvitamin D measurement using the ADVIA centaur Vitamin D total assay. </w:t>
      </w:r>
      <w:r w:rsidRPr="00D5208A">
        <w:rPr>
          <w:rFonts w:ascii="Times New Roman" w:hAnsi="Times New Roman"/>
          <w:i/>
          <w:iCs/>
          <w:sz w:val="20"/>
          <w:szCs w:val="20"/>
        </w:rPr>
        <w:t>International Journal of Endocrinology</w:t>
      </w:r>
      <w:r w:rsidRPr="00D5208A">
        <w:rPr>
          <w:rFonts w:ascii="Times New Roman" w:hAnsi="Times New Roman"/>
          <w:sz w:val="20"/>
          <w:szCs w:val="20"/>
        </w:rPr>
        <w:t>, 2014: 1-12.</w:t>
      </w:r>
    </w:p>
    <w:p w14:paraId="0D2CA192"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Heijboer, A. C., Blankenstein, M. A., Kema, I. P. and Buijs, M. M. (2012). Accuracy of 6 routine 25-hydroxyvitamin D assays: Influence of Vitamin D binding protein concentration. </w:t>
      </w:r>
      <w:r w:rsidRPr="00D5208A">
        <w:rPr>
          <w:rFonts w:ascii="Times New Roman" w:hAnsi="Times New Roman"/>
          <w:i/>
          <w:iCs/>
          <w:sz w:val="20"/>
          <w:szCs w:val="20"/>
        </w:rPr>
        <w:t>Clinical Chemistry</w:t>
      </w:r>
      <w:r w:rsidRPr="00D5208A">
        <w:rPr>
          <w:rFonts w:ascii="Times New Roman" w:hAnsi="Times New Roman"/>
          <w:sz w:val="20"/>
          <w:szCs w:val="20"/>
        </w:rPr>
        <w:t>, 58(3): 543-548.</w:t>
      </w:r>
    </w:p>
    <w:p w14:paraId="043F0DFF"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Cavalier, E., Wallace, A. M., Knox, S., Mistretta, V. I., Cormier, C. and Souberbielle, J. C. (2008). Serum vitamin D measurement may not reflect what you give to your patients. </w:t>
      </w:r>
      <w:r w:rsidRPr="00D5208A">
        <w:rPr>
          <w:rFonts w:ascii="Times New Roman" w:hAnsi="Times New Roman"/>
          <w:i/>
          <w:iCs/>
          <w:sz w:val="20"/>
          <w:szCs w:val="20"/>
        </w:rPr>
        <w:t>Journal of Bone and Mineral Research</w:t>
      </w:r>
      <w:r w:rsidRPr="00D5208A">
        <w:rPr>
          <w:rFonts w:ascii="Times New Roman" w:hAnsi="Times New Roman"/>
          <w:sz w:val="20"/>
          <w:szCs w:val="20"/>
        </w:rPr>
        <w:t>, 23(11): 1864-1865.</w:t>
      </w:r>
    </w:p>
    <w:p w14:paraId="0208ACB5"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lastRenderedPageBreak/>
        <w:t xml:space="preserve">Lankes, U., Elder, P. A., Lewis, J. G. and George, P. (2015). Differential extraction of endogenous and exogenous 25-OH-vitamin D from serum makes the accurate quantification in liquid chromatography-tandem mass spectrometry assays challenging. </w:t>
      </w:r>
      <w:r w:rsidRPr="00D5208A">
        <w:rPr>
          <w:rFonts w:ascii="Times New Roman" w:hAnsi="Times New Roman"/>
          <w:i/>
          <w:iCs/>
          <w:sz w:val="20"/>
          <w:szCs w:val="20"/>
        </w:rPr>
        <w:t>Annals of Clinical Biochemistry</w:t>
      </w:r>
      <w:r w:rsidRPr="00D5208A">
        <w:rPr>
          <w:rFonts w:ascii="Times New Roman" w:hAnsi="Times New Roman"/>
          <w:sz w:val="20"/>
          <w:szCs w:val="20"/>
        </w:rPr>
        <w:t>, 52(Pt 1): 151-160.</w:t>
      </w:r>
    </w:p>
    <w:p w14:paraId="21D650A8"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Centers for Disease Control and Prevention (2010). Laboratory procedure manual; 25-hydroxyvitamin D3, 3-epi-25-hydroxyvitamin D3, 25-hydroxyvitamin D2. Access from https://wwwn.cdc.gov/Nchs/Data/Nhanes/2009-2010/LabMethods/VID_F_met_Vitamin_D.pdf. [Access 30 September 2018]</w:t>
      </w:r>
    </w:p>
    <w:p w14:paraId="35E0F9A7"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Turpeinen, U., Hohenthal, U. and Stenman, U. H. (2003). Determination of 25-hydroxyvitamin D in Serum by HPLC and Immunoassay. </w:t>
      </w:r>
      <w:r w:rsidRPr="00D5208A">
        <w:rPr>
          <w:rFonts w:ascii="Times New Roman" w:hAnsi="Times New Roman"/>
          <w:i/>
          <w:iCs/>
          <w:sz w:val="20"/>
          <w:szCs w:val="20"/>
        </w:rPr>
        <w:t>Clinical chemistry</w:t>
      </w:r>
      <w:r w:rsidRPr="00D5208A">
        <w:rPr>
          <w:rFonts w:ascii="Times New Roman" w:hAnsi="Times New Roman"/>
          <w:sz w:val="20"/>
          <w:szCs w:val="20"/>
        </w:rPr>
        <w:t>, 49(9): 1521 – 1524.</w:t>
      </w:r>
    </w:p>
    <w:p w14:paraId="12D64420"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Chin, S. F., Osman, J. and Jamal, R. (2018). Simultaneous determination of 25-hydroxyvitamin D2 and 25-hydroxyvitamin D3 in human serum by ultra-performance liquid chromatography: An economical and validated method with bovine serum albumin. </w:t>
      </w:r>
      <w:r w:rsidRPr="00D5208A">
        <w:rPr>
          <w:rFonts w:ascii="Times New Roman" w:hAnsi="Times New Roman"/>
          <w:i/>
          <w:iCs/>
          <w:sz w:val="20"/>
          <w:szCs w:val="20"/>
        </w:rPr>
        <w:t>Clinica Chimica Acta</w:t>
      </w:r>
      <w:r w:rsidRPr="00D5208A">
        <w:rPr>
          <w:rFonts w:ascii="Times New Roman" w:hAnsi="Times New Roman"/>
          <w:sz w:val="20"/>
          <w:szCs w:val="20"/>
        </w:rPr>
        <w:t>, 485: 60-66.</w:t>
      </w:r>
    </w:p>
    <w:p w14:paraId="41004BE7"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US Department of Health Human Services Food and Drug Administration, Center for Drug Evaluation and Research, Center for Veterinary Medicine. (2001). Guidance for Industry: Bioanalytical method validation (Revised May 2018).</w:t>
      </w:r>
    </w:p>
    <w:p w14:paraId="436CB34F"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International Conference on Harmonization (ICH) of Technical Requirement for the Registration of Pharmaceuticals for Human Use. ICH Harmonised Tripartite Guideline: Validation of analytical procedures: text and methodology Q2 (R1).</w:t>
      </w:r>
    </w:p>
    <w:p w14:paraId="3C27C819" w14:textId="77777777" w:rsidR="002A7CF2" w:rsidRPr="00C31F91"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Kand'ar, R. and Zakova, P. (2009). Determination of 25-hydroxyvitamin D3 in human plasma using HPLC with UV detection based on SPE sample preparation. </w:t>
      </w:r>
      <w:r w:rsidRPr="00D5208A">
        <w:rPr>
          <w:rFonts w:ascii="Times New Roman" w:hAnsi="Times New Roman"/>
          <w:i/>
          <w:iCs/>
          <w:sz w:val="20"/>
          <w:szCs w:val="20"/>
        </w:rPr>
        <w:t>Journal of Separation Science</w:t>
      </w:r>
      <w:r w:rsidRPr="00D5208A">
        <w:rPr>
          <w:rFonts w:ascii="Times New Roman" w:hAnsi="Times New Roman"/>
          <w:sz w:val="20"/>
          <w:szCs w:val="20"/>
        </w:rPr>
        <w:t>, 32(17): 2953-2957.</w:t>
      </w:r>
    </w:p>
    <w:p w14:paraId="21F6DE1C" w14:textId="1ACDF0E3" w:rsidR="002A7CF2" w:rsidRPr="00AD0819"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Chen, H., McCoy, L. F., Schleicher, R. L. and Pfeiffer, C. M. (2008). Measurement of 25-hydroxyvitamin D3 (25OHD3) and 25-hydroxyvitamin D2 (25OHD2) in human serum using liquid chromatography-tandem mass spectrometry and its comparison to a radioimmunoassay method. </w:t>
      </w:r>
      <w:r w:rsidRPr="00D5208A">
        <w:rPr>
          <w:rFonts w:ascii="Times New Roman" w:hAnsi="Times New Roman"/>
          <w:i/>
          <w:iCs/>
          <w:sz w:val="20"/>
          <w:szCs w:val="20"/>
        </w:rPr>
        <w:t>Clinica Chimica Acta</w:t>
      </w:r>
      <w:r w:rsidRPr="00D5208A">
        <w:rPr>
          <w:rFonts w:ascii="Times New Roman" w:hAnsi="Times New Roman"/>
          <w:sz w:val="20"/>
          <w:szCs w:val="20"/>
        </w:rPr>
        <w:t>, 391(1-2): 6-12.</w:t>
      </w:r>
    </w:p>
    <w:p w14:paraId="16B398EA"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Abu el Maaty, M. A., Hanafi, R. S., Aboul-Enein, H. Y. and Gad, M. Z. (2015). Design-of-experiment Approach for HPLC Analysis of 25-hydroxyvitamin D: A comparative assay with ELISA. </w:t>
      </w:r>
      <w:r w:rsidRPr="00D5208A">
        <w:rPr>
          <w:rFonts w:ascii="Times New Roman" w:hAnsi="Times New Roman"/>
          <w:i/>
          <w:iCs/>
          <w:sz w:val="20"/>
          <w:szCs w:val="20"/>
        </w:rPr>
        <w:t>Journal of Chromatographic Science</w:t>
      </w:r>
      <w:r w:rsidRPr="00D5208A">
        <w:rPr>
          <w:rFonts w:ascii="Times New Roman" w:hAnsi="Times New Roman"/>
          <w:sz w:val="20"/>
          <w:szCs w:val="20"/>
        </w:rPr>
        <w:t>, 53(1): 66-72.</w:t>
      </w:r>
    </w:p>
    <w:p w14:paraId="02FDFA17"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Mineva, E. M., Schleicher, R. L., Chaudhary-Webb, M., Maw, K. L., Botelho, J. C., Vesper, H. W. and Pfeiffer, C. M.  (2015). A candidate reference measurement procedure for quantifying serum concentrations of 25-hydroxyvitamin D(3) and 25-hydroxyvitamin D(2) using isotope-dilution liquid chromatography-tandem mass spectrometry. </w:t>
      </w:r>
      <w:r w:rsidRPr="00D5208A">
        <w:rPr>
          <w:rFonts w:ascii="Times New Roman" w:hAnsi="Times New Roman"/>
          <w:i/>
          <w:iCs/>
          <w:sz w:val="20"/>
          <w:szCs w:val="20"/>
        </w:rPr>
        <w:t>Analytical and Bioanalytical Chemistry</w:t>
      </w:r>
      <w:r w:rsidRPr="00D5208A">
        <w:rPr>
          <w:rFonts w:ascii="Times New Roman" w:hAnsi="Times New Roman"/>
          <w:sz w:val="20"/>
          <w:szCs w:val="20"/>
        </w:rPr>
        <w:t>, 407(19): 5615- 5624.</w:t>
      </w:r>
    </w:p>
    <w:p w14:paraId="646FF6DB"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Stepman, H. C., Vanderroost, A., Van Uytfanghe, K. and Thienpont, L. M. (2011). Candidate reference measurement procedures for serum 25-hydroxyvitamin D3 and 25-hydroxyvitamin D2 by using isotope-dilution liquid chromatography-tandem mass spectrometry. </w:t>
      </w:r>
      <w:r w:rsidRPr="00D5208A">
        <w:rPr>
          <w:rFonts w:ascii="Times New Roman" w:hAnsi="Times New Roman"/>
          <w:i/>
          <w:iCs/>
          <w:sz w:val="20"/>
          <w:szCs w:val="20"/>
        </w:rPr>
        <w:t>Clinical Chemistry</w:t>
      </w:r>
      <w:r w:rsidRPr="00D5208A">
        <w:rPr>
          <w:rFonts w:ascii="Times New Roman" w:hAnsi="Times New Roman"/>
          <w:sz w:val="20"/>
          <w:szCs w:val="20"/>
        </w:rPr>
        <w:t>, 57(3): 441-448.</w:t>
      </w:r>
    </w:p>
    <w:p w14:paraId="365E19BC"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Hymoller, L. and Jensen, S. K. (2011). Vitamin D analysis in plasma by high performance liquid chromatography (HPLC) with C(30) reversed phase column and UV detection-easy and acetonitrile-free. </w:t>
      </w:r>
      <w:r w:rsidRPr="00D5208A">
        <w:rPr>
          <w:rFonts w:ascii="Times New Roman" w:hAnsi="Times New Roman"/>
          <w:i/>
          <w:iCs/>
          <w:sz w:val="20"/>
          <w:szCs w:val="20"/>
        </w:rPr>
        <w:t>Journal of Chromatography. A</w:t>
      </w:r>
      <w:r w:rsidRPr="00D5208A">
        <w:rPr>
          <w:rFonts w:ascii="Times New Roman" w:hAnsi="Times New Roman"/>
          <w:sz w:val="20"/>
          <w:szCs w:val="20"/>
        </w:rPr>
        <w:t>, 1218(14): 1835-1841.</w:t>
      </w:r>
    </w:p>
    <w:p w14:paraId="530E1A89"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Nurmi, T., Tuomainen, T. P., Virtanen, J., Mursu, J. and Voutilainen, S. (2013). High-performance liquid chromatography and coulometric electrode array detector in serum 25-hydroxyvitamin D(3) and 25-hydroxyvitamin d(2) analyses. </w:t>
      </w:r>
      <w:r w:rsidRPr="00D5208A">
        <w:rPr>
          <w:rFonts w:ascii="Times New Roman" w:hAnsi="Times New Roman"/>
          <w:i/>
          <w:iCs/>
          <w:sz w:val="20"/>
          <w:szCs w:val="20"/>
        </w:rPr>
        <w:t>Analytical Biochemistry</w:t>
      </w:r>
      <w:r w:rsidRPr="00D5208A">
        <w:rPr>
          <w:rFonts w:ascii="Times New Roman" w:hAnsi="Times New Roman"/>
          <w:sz w:val="20"/>
          <w:szCs w:val="20"/>
        </w:rPr>
        <w:t>, 435(1): 1-9.</w:t>
      </w:r>
    </w:p>
    <w:p w14:paraId="5F1CE06B"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Maunsell, Z., Wright, D. J. and Rainbow, S. J. (2005). Routine isotope-dilution liquid chromatography-tandem mass spectrometry assay for simultaneous measurement of the 25-hydroxy metabolites of vitamins D2 and D3. </w:t>
      </w:r>
      <w:r w:rsidRPr="00D5208A">
        <w:rPr>
          <w:rFonts w:ascii="Times New Roman" w:hAnsi="Times New Roman"/>
          <w:i/>
          <w:iCs/>
          <w:sz w:val="20"/>
          <w:szCs w:val="20"/>
        </w:rPr>
        <w:t>Clinical Chemistry</w:t>
      </w:r>
      <w:r w:rsidRPr="00D5208A">
        <w:rPr>
          <w:rFonts w:ascii="Times New Roman" w:hAnsi="Times New Roman"/>
          <w:sz w:val="20"/>
          <w:szCs w:val="20"/>
        </w:rPr>
        <w:t>, 51(9): 1683-1690.</w:t>
      </w:r>
    </w:p>
    <w:p w14:paraId="71DA633A"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Franke, A. A., Morrison, C. M., Custer, L. J., Li, X. and Lai, J. F. (2013). Simultaneous analysis of circulating 25-hydroxy-vitamin D3, 25-hydroxy-vitamin D2, retinol, tocopherols, carotenoids, and oxidized and reduced coenzyme Q10 by high performance liquid chromatography with photo diode-array detection using C</w:t>
      </w:r>
      <w:r w:rsidRPr="00D5208A">
        <w:rPr>
          <w:rFonts w:ascii="Times New Roman" w:hAnsi="Times New Roman"/>
          <w:sz w:val="20"/>
          <w:szCs w:val="20"/>
          <w:vertAlign w:val="subscript"/>
        </w:rPr>
        <w:t>18</w:t>
      </w:r>
      <w:r w:rsidRPr="00D5208A">
        <w:rPr>
          <w:rFonts w:ascii="Times New Roman" w:hAnsi="Times New Roman"/>
          <w:sz w:val="20"/>
          <w:szCs w:val="20"/>
        </w:rPr>
        <w:t xml:space="preserve"> and C</w:t>
      </w:r>
      <w:r w:rsidRPr="00D5208A">
        <w:rPr>
          <w:rFonts w:ascii="Times New Roman" w:hAnsi="Times New Roman"/>
          <w:sz w:val="20"/>
          <w:szCs w:val="20"/>
          <w:vertAlign w:val="subscript"/>
        </w:rPr>
        <w:t xml:space="preserve">30 </w:t>
      </w:r>
      <w:r w:rsidRPr="00D5208A">
        <w:rPr>
          <w:rFonts w:ascii="Times New Roman" w:hAnsi="Times New Roman"/>
          <w:sz w:val="20"/>
          <w:szCs w:val="20"/>
        </w:rPr>
        <w:t xml:space="preserve">columns alone or in combination. </w:t>
      </w:r>
      <w:r w:rsidRPr="00D5208A">
        <w:rPr>
          <w:rFonts w:ascii="Times New Roman" w:hAnsi="Times New Roman"/>
          <w:i/>
          <w:iCs/>
          <w:sz w:val="20"/>
          <w:szCs w:val="20"/>
        </w:rPr>
        <w:t>Journal of Chromatography. A</w:t>
      </w:r>
      <w:r w:rsidRPr="00D5208A">
        <w:rPr>
          <w:rFonts w:ascii="Times New Roman" w:hAnsi="Times New Roman"/>
          <w:sz w:val="20"/>
          <w:szCs w:val="20"/>
        </w:rPr>
        <w:t>, 1301: 1-9.</w:t>
      </w:r>
    </w:p>
    <w:p w14:paraId="621D99A9"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lastRenderedPageBreak/>
        <w:t xml:space="preserve">Hrvolová, B., Martínez-Huélamo, M., Colmán-Martínez, M., Hurtado-Barroso, S., Lamuela-Raventós, R. M. and Kalina, J. (2016). Development of an advanced HPLC-MS/MS method for the determination of carotenoids and fat-soluble vitamins in human plasma. </w:t>
      </w:r>
      <w:r w:rsidRPr="00D5208A">
        <w:rPr>
          <w:rFonts w:ascii="Times New Roman" w:hAnsi="Times New Roman"/>
          <w:i/>
          <w:iCs/>
          <w:sz w:val="20"/>
          <w:szCs w:val="20"/>
        </w:rPr>
        <w:t>International Journal of Molecular Sciences</w:t>
      </w:r>
      <w:r w:rsidRPr="00D5208A">
        <w:rPr>
          <w:rFonts w:ascii="Times New Roman" w:hAnsi="Times New Roman"/>
          <w:sz w:val="20"/>
          <w:szCs w:val="20"/>
        </w:rPr>
        <w:t>, 17(10): 1719.</w:t>
      </w:r>
    </w:p>
    <w:p w14:paraId="249CD052"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Lensmeyer, G. L., Wiebe, D. A., Binkley, N. and Drezner, M. K. (2006). HPLC method for 25-hydroxyvitamin D measurement: Comparison with contemporary assays. </w:t>
      </w:r>
      <w:r w:rsidRPr="00D5208A">
        <w:rPr>
          <w:rFonts w:ascii="Times New Roman" w:hAnsi="Times New Roman"/>
          <w:i/>
          <w:iCs/>
          <w:sz w:val="20"/>
          <w:szCs w:val="20"/>
        </w:rPr>
        <w:t>Clinical Chemistry</w:t>
      </w:r>
      <w:r w:rsidRPr="00D5208A">
        <w:rPr>
          <w:rFonts w:ascii="Times New Roman" w:hAnsi="Times New Roman"/>
          <w:sz w:val="20"/>
          <w:szCs w:val="20"/>
        </w:rPr>
        <w:t>, 52(6): 1120 – 1126.</w:t>
      </w:r>
    </w:p>
    <w:p w14:paraId="2EF0B128"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Garg, U., Munar, A., Frazee, C. nd Scott, D. (2012). A simple, rapid atmospheric pressure chemical ionization liquid chromatography tandem mass spectrometry method for the determination of 25-hydroxyvitamin D2 and D3. </w:t>
      </w:r>
      <w:r w:rsidRPr="00D5208A">
        <w:rPr>
          <w:rFonts w:ascii="Times New Roman" w:hAnsi="Times New Roman"/>
          <w:i/>
          <w:iCs/>
          <w:sz w:val="20"/>
          <w:szCs w:val="20"/>
        </w:rPr>
        <w:t>Journal of Clinical Laboratory Analysis</w:t>
      </w:r>
      <w:r w:rsidRPr="00D5208A">
        <w:rPr>
          <w:rFonts w:ascii="Times New Roman" w:hAnsi="Times New Roman"/>
          <w:sz w:val="20"/>
          <w:szCs w:val="20"/>
        </w:rPr>
        <w:t>, 26(5): 349-357.</w:t>
      </w:r>
    </w:p>
    <w:p w14:paraId="62C91D6D" w14:textId="77777777" w:rsidR="002A7CF2" w:rsidRPr="00D5208A"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Bruce, S. J., Rochat, B., Beguin, A. Pesse, B., Guessous, I., Boulat, O. and Henry, H. (2013). Analysis and quantification of vitamin D metabolites in serum by ultra-performance liquid chromatography coupled to tandem mass spectrometry and high-resolution mass spectrometry-a method comparison and validation. </w:t>
      </w:r>
      <w:r w:rsidRPr="00D5208A">
        <w:rPr>
          <w:rFonts w:ascii="Times New Roman" w:hAnsi="Times New Roman"/>
          <w:i/>
          <w:iCs/>
          <w:sz w:val="20"/>
          <w:szCs w:val="20"/>
        </w:rPr>
        <w:t>Rapid Communications in Mass Spectrometry</w:t>
      </w:r>
      <w:r w:rsidRPr="00D5208A">
        <w:rPr>
          <w:rFonts w:ascii="Times New Roman" w:hAnsi="Times New Roman"/>
          <w:sz w:val="20"/>
          <w:szCs w:val="20"/>
        </w:rPr>
        <w:t>, 27(1): 200-206.</w:t>
      </w:r>
    </w:p>
    <w:p w14:paraId="587ACCE4" w14:textId="77777777" w:rsidR="002A7CF2" w:rsidRPr="00C31F91"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Eyles, D., Anderson, C., Ko, P. Jones, A., Thomas, A., Burne, T. and McGrath, J. (2009). A sensitive LC/MS/MS assay of 25OH vitamin D3 and 25OH vitamin D2 in dried blood spots. </w:t>
      </w:r>
      <w:r w:rsidRPr="00D5208A">
        <w:rPr>
          <w:rFonts w:ascii="Times New Roman" w:hAnsi="Times New Roman"/>
          <w:i/>
          <w:iCs/>
          <w:sz w:val="20"/>
          <w:szCs w:val="20"/>
        </w:rPr>
        <w:t>Clinica Chimica Acta</w:t>
      </w:r>
      <w:r w:rsidRPr="00D5208A">
        <w:rPr>
          <w:rFonts w:ascii="Times New Roman" w:hAnsi="Times New Roman"/>
          <w:sz w:val="20"/>
          <w:szCs w:val="20"/>
        </w:rPr>
        <w:t>, 403(1-2): 145-151.</w:t>
      </w:r>
    </w:p>
    <w:p w14:paraId="7A132F0D" w14:textId="38CCBD14" w:rsidR="002A7CF2" w:rsidRDefault="002A7CF2" w:rsidP="002A7CF2">
      <w:pPr>
        <w:pStyle w:val="ListParagraph"/>
        <w:numPr>
          <w:ilvl w:val="0"/>
          <w:numId w:val="6"/>
        </w:numPr>
        <w:spacing w:after="0"/>
        <w:ind w:left="360"/>
        <w:contextualSpacing w:val="0"/>
        <w:jc w:val="both"/>
        <w:rPr>
          <w:rFonts w:ascii="Times New Roman" w:hAnsi="Times New Roman"/>
          <w:sz w:val="20"/>
          <w:szCs w:val="20"/>
        </w:rPr>
      </w:pPr>
      <w:r w:rsidRPr="00D5208A">
        <w:rPr>
          <w:rFonts w:ascii="Times New Roman" w:hAnsi="Times New Roman"/>
          <w:sz w:val="20"/>
          <w:szCs w:val="20"/>
        </w:rPr>
        <w:t xml:space="preserve">Zhang, S. W., Jian, W., Sullivan, S. Sankaran, B., Edom, R. W., Weng, N. and Sharkey, D. (2014). Development and validation of an LC-MS/MS based method for quantification of 25 hydroxyvitamin D2 and 25 hydroxyvitamin D3 in human serum and plasma. </w:t>
      </w:r>
      <w:r w:rsidRPr="00D5208A">
        <w:rPr>
          <w:rFonts w:ascii="Times New Roman" w:hAnsi="Times New Roman"/>
          <w:i/>
          <w:iCs/>
          <w:sz w:val="20"/>
          <w:szCs w:val="20"/>
        </w:rPr>
        <w:t>Journal of Chromatography. B, Analytical Technologies in the Biomedical and Life Sciences</w:t>
      </w:r>
      <w:r w:rsidRPr="00D5208A">
        <w:rPr>
          <w:rFonts w:ascii="Times New Roman" w:hAnsi="Times New Roman"/>
          <w:sz w:val="20"/>
          <w:szCs w:val="20"/>
        </w:rPr>
        <w:t>, 961: 62-70.</w:t>
      </w:r>
    </w:p>
    <w:p w14:paraId="285F8BD5" w14:textId="77777777" w:rsidR="000236CF" w:rsidRDefault="000236CF" w:rsidP="000236CF">
      <w:pPr>
        <w:pStyle w:val="ListParagraph"/>
        <w:numPr>
          <w:ilvl w:val="0"/>
          <w:numId w:val="6"/>
        </w:numPr>
        <w:spacing w:after="0"/>
        <w:ind w:left="360"/>
        <w:jc w:val="both"/>
        <w:rPr>
          <w:rFonts w:ascii="Times New Roman" w:hAnsi="Times New Roman"/>
          <w:sz w:val="20"/>
          <w:szCs w:val="20"/>
        </w:rPr>
      </w:pPr>
      <w:r>
        <w:rPr>
          <w:rFonts w:ascii="Times New Roman" w:hAnsi="Times New Roman"/>
          <w:sz w:val="20"/>
          <w:szCs w:val="20"/>
        </w:rPr>
        <w:t xml:space="preserve">Karras, S. N., Kotsa, K., Angeloudi, E., Zebekakis, P. and Naughton, D. P. (2017). The Road Not So Travelled: Should Measurement of Vitamin D Epimers During Pregnancy Affect Our Clinical Decisions? </w:t>
      </w:r>
      <w:r>
        <w:rPr>
          <w:rFonts w:ascii="Times New Roman" w:hAnsi="Times New Roman"/>
          <w:i/>
          <w:iCs/>
          <w:sz w:val="20"/>
          <w:szCs w:val="20"/>
        </w:rPr>
        <w:t>Nutrients</w:t>
      </w:r>
      <w:r>
        <w:rPr>
          <w:rFonts w:ascii="Times New Roman" w:hAnsi="Times New Roman"/>
          <w:sz w:val="20"/>
          <w:szCs w:val="20"/>
        </w:rPr>
        <w:t>, 9(2): 90.</w:t>
      </w:r>
    </w:p>
    <w:p w14:paraId="74842977" w14:textId="77777777" w:rsidR="000236CF" w:rsidRDefault="000236CF" w:rsidP="000236CF">
      <w:pPr>
        <w:pStyle w:val="ListParagraph"/>
        <w:numPr>
          <w:ilvl w:val="0"/>
          <w:numId w:val="6"/>
        </w:numPr>
        <w:spacing w:after="0"/>
        <w:ind w:left="360"/>
        <w:jc w:val="both"/>
        <w:rPr>
          <w:rFonts w:ascii="Times New Roman" w:hAnsi="Times New Roman"/>
          <w:sz w:val="20"/>
          <w:szCs w:val="20"/>
        </w:rPr>
      </w:pPr>
      <w:r>
        <w:rPr>
          <w:rFonts w:ascii="Times New Roman" w:hAnsi="Times New Roman"/>
          <w:sz w:val="20"/>
          <w:szCs w:val="20"/>
        </w:rPr>
        <w:t xml:space="preserve">Aghajafari, F., Field, C. J., Rabi, D., Kaplan, B. J., Maggiore, J. A., O’Bierne, M., Hanley, D. A., Eliasziw, M., Dewey, D., Ross, S. and Apron T. (2016). Plasma 3-epi-25-hydroxycholecalciferol can alter the assessment of vitamin d status using the current reference ranges for pregnant women and their newborns. </w:t>
      </w:r>
      <w:r>
        <w:rPr>
          <w:rFonts w:ascii="Times New Roman" w:hAnsi="Times New Roman"/>
          <w:i/>
          <w:iCs/>
          <w:sz w:val="20"/>
          <w:szCs w:val="20"/>
        </w:rPr>
        <w:t>The Journal of Nutrition</w:t>
      </w:r>
      <w:r>
        <w:rPr>
          <w:rFonts w:ascii="Times New Roman" w:hAnsi="Times New Roman"/>
          <w:sz w:val="20"/>
          <w:szCs w:val="20"/>
        </w:rPr>
        <w:t>, 146(1): 70-75.</w:t>
      </w:r>
    </w:p>
    <w:p w14:paraId="0D37B830" w14:textId="77777777" w:rsidR="000236CF" w:rsidRDefault="000236CF" w:rsidP="000236CF">
      <w:pPr>
        <w:pStyle w:val="ListParagraph"/>
        <w:numPr>
          <w:ilvl w:val="0"/>
          <w:numId w:val="6"/>
        </w:numPr>
        <w:spacing w:after="0"/>
        <w:ind w:left="360"/>
        <w:jc w:val="both"/>
        <w:rPr>
          <w:rFonts w:ascii="Times New Roman" w:hAnsi="Times New Roman"/>
          <w:sz w:val="20"/>
          <w:szCs w:val="20"/>
        </w:rPr>
      </w:pPr>
      <w:r>
        <w:rPr>
          <w:rFonts w:ascii="Times New Roman" w:hAnsi="Times New Roman"/>
          <w:sz w:val="20"/>
          <w:szCs w:val="20"/>
        </w:rPr>
        <w:t xml:space="preserve">Yazdanpanah, M., Bailey, D., Walsh, W., Wan, B. and Adeli, K. (2013). Analytical measurement of serum 25-OH-vitamin D(3), 25-OH-vitamin D(2) and their C3-epimers by LC-MS/MS in infant and pediatric specimens. </w:t>
      </w:r>
      <w:r>
        <w:rPr>
          <w:rFonts w:ascii="Times New Roman" w:hAnsi="Times New Roman"/>
          <w:i/>
          <w:iCs/>
          <w:sz w:val="20"/>
          <w:szCs w:val="20"/>
        </w:rPr>
        <w:t>Clinical Biochemistry</w:t>
      </w:r>
      <w:r>
        <w:rPr>
          <w:rFonts w:ascii="Times New Roman" w:hAnsi="Times New Roman"/>
          <w:sz w:val="20"/>
          <w:szCs w:val="20"/>
        </w:rPr>
        <w:t>, 46(13-14): 1264-1271.</w:t>
      </w:r>
    </w:p>
    <w:p w14:paraId="217E7F26" w14:textId="320A4E24" w:rsidR="000236CF" w:rsidRPr="000236CF" w:rsidRDefault="000236CF" w:rsidP="000236CF">
      <w:pPr>
        <w:pStyle w:val="ListParagraph"/>
        <w:numPr>
          <w:ilvl w:val="0"/>
          <w:numId w:val="6"/>
        </w:numPr>
        <w:spacing w:after="0"/>
        <w:ind w:left="360"/>
        <w:jc w:val="both"/>
        <w:rPr>
          <w:rFonts w:ascii="Times New Roman" w:hAnsi="Times New Roman"/>
          <w:sz w:val="20"/>
          <w:szCs w:val="20"/>
        </w:rPr>
      </w:pPr>
      <w:r>
        <w:rPr>
          <w:rFonts w:ascii="Times New Roman" w:hAnsi="Times New Roman"/>
          <w:sz w:val="20"/>
          <w:szCs w:val="20"/>
        </w:rPr>
        <w:t xml:space="preserve">Kiely, M., O'Donovan, S. M., Kenny, L. C., Hourihane, J. O., Irvine, A. D. and Murray, D. M. (2017). Vitamin D metabolite concentrations in umbilical cord blood serum and associations with clinical characteristics in a large prospective mother-infant cohort in Ireland. </w:t>
      </w:r>
      <w:r>
        <w:rPr>
          <w:rFonts w:ascii="Times New Roman" w:hAnsi="Times New Roman"/>
          <w:i/>
          <w:iCs/>
          <w:sz w:val="20"/>
          <w:szCs w:val="20"/>
        </w:rPr>
        <w:t>Journal of Steroid Biochemistry and Molecular Biology</w:t>
      </w:r>
      <w:r>
        <w:rPr>
          <w:rFonts w:ascii="Times New Roman" w:hAnsi="Times New Roman"/>
          <w:sz w:val="20"/>
          <w:szCs w:val="20"/>
        </w:rPr>
        <w:t>, 167: 162-168.</w:t>
      </w:r>
    </w:p>
    <w:p w14:paraId="5FF4CF21" w14:textId="570BCC7E" w:rsidR="003A1F80" w:rsidRPr="002A7CF2" w:rsidRDefault="002A7CF2" w:rsidP="002A7CF2">
      <w:pPr>
        <w:spacing w:after="0"/>
        <w:jc w:val="both"/>
        <w:rPr>
          <w:rFonts w:ascii="Times New Roman" w:hAnsi="Times New Roman"/>
          <w:bCs/>
          <w:sz w:val="20"/>
          <w:szCs w:val="20"/>
          <w:lang w:val="ms-MY"/>
        </w:rPr>
      </w:pPr>
      <w:r w:rsidRPr="002A7CF2">
        <w:rPr>
          <w:rFonts w:ascii="Times New Roman" w:hAnsi="Times New Roman"/>
          <w:bCs/>
          <w:sz w:val="20"/>
          <w:szCs w:val="20"/>
          <w:lang w:val="ms-MY"/>
        </w:rPr>
        <w:t xml:space="preserve"> </w:t>
      </w:r>
    </w:p>
    <w:sectPr w:rsidR="003A1F80" w:rsidRPr="002A7CF2" w:rsidSect="006E79D9">
      <w:headerReference w:type="even" r:id="rId7"/>
      <w:headerReference w:type="default" r:id="rId8"/>
      <w:footerReference w:type="even" r:id="rId9"/>
      <w:headerReference w:type="first" r:id="rId10"/>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68521" w14:textId="77777777" w:rsidR="009A4A79" w:rsidRDefault="00E67FF6">
      <w:pPr>
        <w:spacing w:after="0" w:line="240" w:lineRule="auto"/>
      </w:pPr>
      <w:r>
        <w:separator/>
      </w:r>
    </w:p>
  </w:endnote>
  <w:endnote w:type="continuationSeparator" w:id="0">
    <w:p w14:paraId="3C4C24FA" w14:textId="77777777" w:rsidR="009A4A79" w:rsidRDefault="00E6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AFC0E" w14:textId="77777777" w:rsidR="009A4A79" w:rsidRDefault="00E67FF6">
      <w:pPr>
        <w:spacing w:after="0" w:line="240" w:lineRule="auto"/>
      </w:pPr>
      <w:r>
        <w:separator/>
      </w:r>
    </w:p>
  </w:footnote>
  <w:footnote w:type="continuationSeparator" w:id="0">
    <w:p w14:paraId="3FC7D75F" w14:textId="77777777" w:rsidR="009A4A79" w:rsidRDefault="00E6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DE29F" w14:textId="77777777" w:rsidR="00487F62" w:rsidRDefault="00E41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19E45" w14:textId="77777777" w:rsidR="00487F62" w:rsidRDefault="00E41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5" w15:restartNumberingAfterBreak="0">
    <w:nsid w:val="7D4A4EC0"/>
    <w:multiLevelType w:val="hybridMultilevel"/>
    <w:tmpl w:val="C74ADC7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236CF"/>
    <w:rsid w:val="00095557"/>
    <w:rsid w:val="001573E3"/>
    <w:rsid w:val="00226372"/>
    <w:rsid w:val="002A7CF2"/>
    <w:rsid w:val="002B425B"/>
    <w:rsid w:val="002F626B"/>
    <w:rsid w:val="00326D52"/>
    <w:rsid w:val="003A1F80"/>
    <w:rsid w:val="0044292C"/>
    <w:rsid w:val="00460C95"/>
    <w:rsid w:val="00473CD4"/>
    <w:rsid w:val="00487993"/>
    <w:rsid w:val="005644C8"/>
    <w:rsid w:val="005F401D"/>
    <w:rsid w:val="006E79D9"/>
    <w:rsid w:val="007D0E7F"/>
    <w:rsid w:val="007F7EB3"/>
    <w:rsid w:val="00832F59"/>
    <w:rsid w:val="00834CDE"/>
    <w:rsid w:val="00900BAC"/>
    <w:rsid w:val="00975E1A"/>
    <w:rsid w:val="009A4A79"/>
    <w:rsid w:val="009A5A4D"/>
    <w:rsid w:val="009B42E9"/>
    <w:rsid w:val="00A23F0F"/>
    <w:rsid w:val="00AA706B"/>
    <w:rsid w:val="00AB4AE6"/>
    <w:rsid w:val="00AB5AEF"/>
    <w:rsid w:val="00AC72D0"/>
    <w:rsid w:val="00AD0819"/>
    <w:rsid w:val="00AD4549"/>
    <w:rsid w:val="00B40E61"/>
    <w:rsid w:val="00B9022C"/>
    <w:rsid w:val="00C71438"/>
    <w:rsid w:val="00C72F3E"/>
    <w:rsid w:val="00C73A4A"/>
    <w:rsid w:val="00CE6DF3"/>
    <w:rsid w:val="00D04BC8"/>
    <w:rsid w:val="00D0718B"/>
    <w:rsid w:val="00D40B1F"/>
    <w:rsid w:val="00D414B9"/>
    <w:rsid w:val="00E41195"/>
    <w:rsid w:val="00E67FF6"/>
    <w:rsid w:val="00EA6DE5"/>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link w:val="ListParagraphChar"/>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 w:type="character" w:customStyle="1" w:styleId="ListParagraphChar">
    <w:name w:val="List Paragraph Char"/>
    <w:link w:val="ListParagraph"/>
    <w:uiPriority w:val="34"/>
    <w:rsid w:val="002A7CF2"/>
    <w:rPr>
      <w:rFonts w:ascii="Cambria" w:eastAsia="Times New Roman" w:hAnsi="Cambri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755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Abstract &amp; References Vol 24 No 5 (2020)</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24 No 6 (2020)</dc:title>
  <dc:creator>Harun Hamzah</dc:creator>
  <cp:lastModifiedBy>Harun Hamzah</cp:lastModifiedBy>
  <cp:revision>7</cp:revision>
  <cp:lastPrinted>2020-04-01T04:48:00Z</cp:lastPrinted>
  <dcterms:created xsi:type="dcterms:W3CDTF">2020-11-12T01:54:00Z</dcterms:created>
  <dcterms:modified xsi:type="dcterms:W3CDTF">2020-12-03T08:16:00Z</dcterms:modified>
</cp:coreProperties>
</file>