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4A1F81" w14:textId="77777777" w:rsidR="00A23F0F" w:rsidRPr="006E79D9" w:rsidRDefault="00A23F0F" w:rsidP="006E79D9">
      <w:pPr>
        <w:spacing w:after="0"/>
        <w:rPr>
          <w:rFonts w:ascii="Times New Roman" w:hAnsi="Times New Roman" w:cs="Times New Roman"/>
          <w:b/>
          <w:sz w:val="24"/>
          <w:szCs w:val="24"/>
        </w:rPr>
      </w:pPr>
    </w:p>
    <w:p w14:paraId="7055F076" w14:textId="77777777" w:rsidR="00385369" w:rsidRDefault="00385369" w:rsidP="006E79D9">
      <w:pPr>
        <w:spacing w:after="0"/>
        <w:rPr>
          <w:rFonts w:ascii="Times New Roman" w:hAnsi="Times New Roman" w:cs="Times New Roman"/>
          <w:b/>
          <w:i/>
          <w:sz w:val="24"/>
          <w:szCs w:val="24"/>
        </w:rPr>
        <w:sectPr w:rsidR="00385369" w:rsidSect="00385369">
          <w:headerReference w:type="even" r:id="rId7"/>
          <w:footerReference w:type="even" r:id="rId8"/>
          <w:footerReference w:type="default" r:id="rId9"/>
          <w:pgSz w:w="12240" w:h="15840" w:code="1"/>
          <w:pgMar w:top="1800" w:right="1469" w:bottom="1699" w:left="1440" w:header="706" w:footer="706" w:gutter="0"/>
          <w:pgNumType w:start="1"/>
          <w:cols w:num="2" w:space="403"/>
          <w:docGrid w:linePitch="360"/>
        </w:sectPr>
      </w:pPr>
    </w:p>
    <w:p w14:paraId="30A75EE6" w14:textId="0F175093" w:rsidR="003A1F80" w:rsidRPr="006E79D9" w:rsidRDefault="001573E3" w:rsidP="006E79D9">
      <w:pPr>
        <w:spacing w:after="0"/>
        <w:rPr>
          <w:rFonts w:ascii="Times New Roman" w:hAnsi="Times New Roman" w:cs="Times New Roman"/>
          <w:b/>
          <w:i/>
          <w:sz w:val="24"/>
          <w:szCs w:val="24"/>
        </w:rPr>
      </w:pPr>
      <w:r w:rsidRPr="006E79D9">
        <w:rPr>
          <w:rFonts w:ascii="Times New Roman" w:hAnsi="Times New Roman" w:cs="Times New Roman"/>
          <w:b/>
          <w:i/>
          <w:sz w:val="24"/>
          <w:szCs w:val="24"/>
        </w:rPr>
        <w:t>Malaysian Journal of</w:t>
      </w:r>
      <w:r w:rsidR="009A5A4D" w:rsidRPr="006E79D9">
        <w:rPr>
          <w:rFonts w:ascii="Times New Roman" w:hAnsi="Times New Roman" w:cs="Times New Roman"/>
          <w:b/>
          <w:i/>
          <w:sz w:val="24"/>
          <w:szCs w:val="24"/>
        </w:rPr>
        <w:t xml:space="preserve"> Analytical Sciences</w:t>
      </w:r>
      <w:r w:rsidR="003A1F80" w:rsidRPr="006E79D9">
        <w:rPr>
          <w:rFonts w:ascii="Times New Roman" w:hAnsi="Times New Roman" w:cs="Times New Roman"/>
          <w:b/>
          <w:sz w:val="24"/>
          <w:szCs w:val="24"/>
        </w:rPr>
        <w:t xml:space="preserve"> </w:t>
      </w:r>
      <w:r w:rsidR="009A5A4D" w:rsidRPr="006E79D9">
        <w:rPr>
          <w:rFonts w:ascii="Times New Roman" w:hAnsi="Times New Roman" w:cs="Times New Roman"/>
          <w:b/>
          <w:i/>
          <w:sz w:val="24"/>
          <w:szCs w:val="24"/>
        </w:rPr>
        <w:t>Vol 2</w:t>
      </w:r>
      <w:r w:rsidR="00DE20A8">
        <w:rPr>
          <w:rFonts w:ascii="Times New Roman" w:hAnsi="Times New Roman" w:cs="Times New Roman"/>
          <w:b/>
          <w:i/>
          <w:sz w:val="24"/>
          <w:szCs w:val="24"/>
        </w:rPr>
        <w:t>5</w:t>
      </w:r>
      <w:r w:rsidR="009A5A4D" w:rsidRPr="006E79D9">
        <w:rPr>
          <w:rFonts w:ascii="Times New Roman" w:hAnsi="Times New Roman" w:cs="Times New Roman"/>
          <w:b/>
          <w:i/>
          <w:sz w:val="24"/>
          <w:szCs w:val="24"/>
        </w:rPr>
        <w:t xml:space="preserve"> No </w:t>
      </w:r>
      <w:r w:rsidR="00BE5F5F">
        <w:rPr>
          <w:rFonts w:ascii="Times New Roman" w:hAnsi="Times New Roman" w:cs="Times New Roman"/>
          <w:b/>
          <w:i/>
          <w:sz w:val="24"/>
          <w:szCs w:val="24"/>
        </w:rPr>
        <w:t>2</w:t>
      </w:r>
      <w:r w:rsidR="00C72F3E" w:rsidRPr="006E79D9">
        <w:rPr>
          <w:rFonts w:ascii="Times New Roman" w:hAnsi="Times New Roman" w:cs="Times New Roman"/>
          <w:b/>
          <w:i/>
          <w:sz w:val="24"/>
          <w:szCs w:val="24"/>
        </w:rPr>
        <w:t xml:space="preserve"> (202</w:t>
      </w:r>
      <w:r w:rsidR="00DE20A8">
        <w:rPr>
          <w:rFonts w:ascii="Times New Roman" w:hAnsi="Times New Roman" w:cs="Times New Roman"/>
          <w:b/>
          <w:i/>
          <w:sz w:val="24"/>
          <w:szCs w:val="24"/>
        </w:rPr>
        <w:t>1</w:t>
      </w:r>
      <w:r w:rsidRPr="006E79D9">
        <w:rPr>
          <w:rFonts w:ascii="Times New Roman" w:hAnsi="Times New Roman" w:cs="Times New Roman"/>
          <w:b/>
          <w:i/>
          <w:sz w:val="24"/>
          <w:szCs w:val="24"/>
        </w:rPr>
        <w:t xml:space="preserve">): </w:t>
      </w:r>
      <w:r w:rsidR="00B57B0E">
        <w:rPr>
          <w:rFonts w:ascii="Times New Roman" w:hAnsi="Times New Roman" w:cs="Times New Roman"/>
          <w:b/>
          <w:i/>
          <w:sz w:val="24"/>
          <w:szCs w:val="24"/>
        </w:rPr>
        <w:t>203 - 214</w:t>
      </w:r>
    </w:p>
    <w:p w14:paraId="1FF05887" w14:textId="77777777" w:rsidR="00095557" w:rsidRPr="006E79D9" w:rsidRDefault="00095557" w:rsidP="006E79D9">
      <w:pPr>
        <w:spacing w:after="0"/>
        <w:rPr>
          <w:rFonts w:ascii="Times New Roman" w:hAnsi="Times New Roman" w:cs="Times New Roman"/>
          <w:sz w:val="24"/>
          <w:szCs w:val="24"/>
        </w:rPr>
      </w:pPr>
    </w:p>
    <w:p w14:paraId="6280E4A5" w14:textId="77777777" w:rsidR="003A1F80" w:rsidRPr="006E79D9" w:rsidRDefault="003A1F80" w:rsidP="006E79D9">
      <w:pPr>
        <w:spacing w:after="0"/>
        <w:rPr>
          <w:rFonts w:ascii="Times New Roman" w:hAnsi="Times New Roman" w:cs="Times New Roman"/>
          <w:sz w:val="24"/>
          <w:szCs w:val="24"/>
        </w:rPr>
      </w:pPr>
    </w:p>
    <w:p w14:paraId="05D0713A" w14:textId="77777777" w:rsidR="003A1F80" w:rsidRDefault="003A1F80" w:rsidP="006E79D9">
      <w:pPr>
        <w:spacing w:after="0"/>
        <w:rPr>
          <w:rFonts w:ascii="Times New Roman" w:hAnsi="Times New Roman" w:cs="Times New Roman"/>
          <w:sz w:val="24"/>
          <w:szCs w:val="24"/>
        </w:rPr>
      </w:pPr>
    </w:p>
    <w:p w14:paraId="28946509" w14:textId="77777777" w:rsidR="00B40E61" w:rsidRPr="006E79D9" w:rsidRDefault="00B40E61" w:rsidP="006E79D9">
      <w:pPr>
        <w:spacing w:after="0"/>
        <w:rPr>
          <w:rFonts w:ascii="Times New Roman" w:hAnsi="Times New Roman" w:cs="Times New Roman"/>
          <w:sz w:val="24"/>
          <w:szCs w:val="24"/>
        </w:rPr>
      </w:pPr>
    </w:p>
    <w:p w14:paraId="34D2D7A1" w14:textId="77777777" w:rsidR="00B57B0E" w:rsidRPr="00F146E7" w:rsidRDefault="00B57B0E" w:rsidP="00B57B0E">
      <w:pPr>
        <w:spacing w:after="0"/>
        <w:jc w:val="center"/>
        <w:outlineLvl w:val="0"/>
        <w:rPr>
          <w:rFonts w:ascii="Times New Roman" w:hAnsi="Times New Roman"/>
          <w:sz w:val="28"/>
        </w:rPr>
      </w:pPr>
      <w:r>
        <w:rPr>
          <w:rFonts w:ascii="Times New Roman" w:hAnsi="Times New Roman"/>
          <w:sz w:val="28"/>
        </w:rPr>
        <w:t>OILY SAND CLEANING OPTIMIZATION BY SURFACTANTS INTERFACIAL TENSION SCREENING AND HYDROCYCLONE SEPARATION</w:t>
      </w:r>
    </w:p>
    <w:p w14:paraId="17A71182" w14:textId="77777777" w:rsidR="00B57B0E" w:rsidRPr="00F146E7" w:rsidRDefault="00B57B0E" w:rsidP="00B57B0E">
      <w:pPr>
        <w:spacing w:after="0"/>
        <w:jc w:val="center"/>
        <w:outlineLvl w:val="0"/>
        <w:rPr>
          <w:rFonts w:ascii="Times New Roman" w:hAnsi="Times New Roman"/>
          <w:b/>
          <w:color w:val="548DD4" w:themeColor="text2" w:themeTint="99"/>
          <w:sz w:val="24"/>
          <w:szCs w:val="24"/>
        </w:rPr>
      </w:pPr>
    </w:p>
    <w:p w14:paraId="7F576FC8" w14:textId="77777777" w:rsidR="00B57B0E" w:rsidRPr="00F146E7" w:rsidRDefault="00B57B0E" w:rsidP="00B57B0E">
      <w:pPr>
        <w:spacing w:after="0"/>
        <w:jc w:val="center"/>
        <w:outlineLvl w:val="0"/>
        <w:rPr>
          <w:rFonts w:ascii="Times New Roman" w:hAnsi="Times New Roman"/>
          <w:sz w:val="24"/>
          <w:szCs w:val="24"/>
          <w:lang w:val="ms-MY"/>
        </w:rPr>
      </w:pPr>
      <w:r w:rsidRPr="00F146E7">
        <w:rPr>
          <w:rFonts w:ascii="Times New Roman" w:hAnsi="Times New Roman"/>
          <w:sz w:val="24"/>
          <w:szCs w:val="24"/>
        </w:rPr>
        <w:t>(</w:t>
      </w:r>
      <w:r w:rsidRPr="00F146E7">
        <w:rPr>
          <w:rFonts w:ascii="Times New Roman" w:hAnsi="Times New Roman"/>
          <w:sz w:val="24"/>
          <w:szCs w:val="24"/>
          <w:lang w:val="ms-MY"/>
        </w:rPr>
        <w:t>Pengoptimuman Pembersihan Pasir Berminyak oleh Saringan Ketegangan</w:t>
      </w:r>
    </w:p>
    <w:p w14:paraId="58683767" w14:textId="77777777" w:rsidR="00B57B0E" w:rsidRPr="00F146E7" w:rsidRDefault="00B57B0E" w:rsidP="00B57B0E">
      <w:pPr>
        <w:spacing w:after="0"/>
        <w:jc w:val="center"/>
        <w:outlineLvl w:val="0"/>
        <w:rPr>
          <w:rFonts w:ascii="Times New Roman" w:hAnsi="Times New Roman"/>
          <w:sz w:val="24"/>
          <w:szCs w:val="24"/>
        </w:rPr>
      </w:pPr>
      <w:r w:rsidRPr="00F146E7">
        <w:rPr>
          <w:rFonts w:ascii="Times New Roman" w:hAnsi="Times New Roman"/>
          <w:sz w:val="24"/>
          <w:szCs w:val="24"/>
          <w:lang w:val="ms-MY"/>
        </w:rPr>
        <w:t>antara Muka Surfaktan dan Pemisahan Hidrosiklon</w:t>
      </w:r>
      <w:r w:rsidRPr="00F146E7">
        <w:rPr>
          <w:rFonts w:ascii="Times New Roman" w:hAnsi="Times New Roman"/>
          <w:sz w:val="24"/>
          <w:szCs w:val="24"/>
        </w:rPr>
        <w:t>)</w:t>
      </w:r>
    </w:p>
    <w:p w14:paraId="31224C0D" w14:textId="77777777" w:rsidR="00B57B0E" w:rsidRPr="00F146E7" w:rsidRDefault="00B57B0E" w:rsidP="00B57B0E">
      <w:pPr>
        <w:spacing w:after="0"/>
        <w:jc w:val="center"/>
        <w:outlineLvl w:val="0"/>
        <w:rPr>
          <w:rFonts w:ascii="Times New Roman" w:hAnsi="Times New Roman"/>
          <w:b/>
          <w:color w:val="548DD4" w:themeColor="text2" w:themeTint="99"/>
          <w:sz w:val="20"/>
          <w:szCs w:val="20"/>
        </w:rPr>
      </w:pPr>
    </w:p>
    <w:p w14:paraId="0BCC5C34" w14:textId="77777777" w:rsidR="00B57B0E" w:rsidRDefault="00B57B0E" w:rsidP="00B57B0E">
      <w:pPr>
        <w:spacing w:after="0"/>
        <w:jc w:val="center"/>
        <w:outlineLvl w:val="0"/>
        <w:rPr>
          <w:rFonts w:ascii="Times New Roman" w:hAnsi="Times New Roman"/>
          <w:noProof/>
          <w:sz w:val="20"/>
          <w:szCs w:val="20"/>
          <w:lang w:val="ms-MY"/>
        </w:rPr>
      </w:pPr>
      <w:r w:rsidRPr="00F146E7">
        <w:rPr>
          <w:rFonts w:ascii="Times New Roman" w:hAnsi="Times New Roman"/>
          <w:noProof/>
          <w:sz w:val="20"/>
          <w:szCs w:val="20"/>
          <w:lang w:val="ms-MY"/>
        </w:rPr>
        <w:t>Akhmal Sidek</w:t>
      </w:r>
      <w:r w:rsidRPr="00F146E7">
        <w:rPr>
          <w:rFonts w:ascii="Times New Roman" w:hAnsi="Times New Roman"/>
          <w:noProof/>
          <w:sz w:val="20"/>
          <w:szCs w:val="20"/>
          <w:vertAlign w:val="superscript"/>
          <w:lang w:val="ms-MY"/>
        </w:rPr>
        <w:t>1</w:t>
      </w:r>
      <w:r w:rsidRPr="00F146E7">
        <w:rPr>
          <w:rFonts w:ascii="Times New Roman" w:hAnsi="Times New Roman"/>
          <w:noProof/>
          <w:sz w:val="20"/>
          <w:szCs w:val="20"/>
          <w:lang w:val="ms-MY"/>
        </w:rPr>
        <w:t>*, Ahmad Faiq Omar</w:t>
      </w:r>
      <w:r w:rsidRPr="00F146E7">
        <w:rPr>
          <w:rFonts w:ascii="Times New Roman" w:hAnsi="Times New Roman"/>
          <w:noProof/>
          <w:sz w:val="20"/>
          <w:szCs w:val="20"/>
          <w:vertAlign w:val="superscript"/>
          <w:lang w:val="ms-MY"/>
        </w:rPr>
        <w:t>1</w:t>
      </w:r>
      <w:r w:rsidRPr="00F146E7">
        <w:rPr>
          <w:rFonts w:ascii="Times New Roman" w:hAnsi="Times New Roman"/>
          <w:noProof/>
          <w:sz w:val="20"/>
          <w:szCs w:val="20"/>
          <w:lang w:val="ms-MY"/>
        </w:rPr>
        <w:t>, Aizuddin Supee</w:t>
      </w:r>
      <w:r w:rsidRPr="00F146E7">
        <w:rPr>
          <w:rFonts w:ascii="Times New Roman" w:hAnsi="Times New Roman"/>
          <w:noProof/>
          <w:sz w:val="20"/>
          <w:szCs w:val="20"/>
          <w:vertAlign w:val="superscript"/>
          <w:lang w:val="ms-MY"/>
        </w:rPr>
        <w:t>2</w:t>
      </w:r>
      <w:r w:rsidRPr="00F146E7">
        <w:rPr>
          <w:rFonts w:ascii="Times New Roman" w:hAnsi="Times New Roman"/>
          <w:noProof/>
          <w:sz w:val="20"/>
          <w:szCs w:val="20"/>
          <w:lang w:val="ms-MY"/>
        </w:rPr>
        <w:t>, Amni Haslinda Alpandi</w:t>
      </w:r>
      <w:r w:rsidRPr="00F146E7">
        <w:rPr>
          <w:rFonts w:ascii="Times New Roman" w:hAnsi="Times New Roman"/>
          <w:noProof/>
          <w:sz w:val="20"/>
          <w:szCs w:val="20"/>
          <w:vertAlign w:val="superscript"/>
          <w:lang w:val="ms-MY"/>
        </w:rPr>
        <w:t>3</w:t>
      </w:r>
      <w:r w:rsidRPr="00F146E7">
        <w:rPr>
          <w:rFonts w:ascii="Times New Roman" w:hAnsi="Times New Roman"/>
          <w:noProof/>
          <w:sz w:val="20"/>
          <w:szCs w:val="20"/>
          <w:lang w:val="ms-MY"/>
        </w:rPr>
        <w:t>,</w:t>
      </w:r>
      <w:r>
        <w:rPr>
          <w:rFonts w:ascii="Times New Roman" w:hAnsi="Times New Roman"/>
          <w:noProof/>
          <w:sz w:val="20"/>
          <w:szCs w:val="20"/>
          <w:lang w:val="ms-MY"/>
        </w:rPr>
        <w:t xml:space="preserve"> </w:t>
      </w:r>
      <w:r w:rsidRPr="00F146E7">
        <w:rPr>
          <w:rFonts w:ascii="Times New Roman" w:hAnsi="Times New Roman"/>
          <w:noProof/>
          <w:sz w:val="20"/>
          <w:szCs w:val="20"/>
          <w:lang w:val="ms-MY"/>
        </w:rPr>
        <w:t>Hazlina Husin</w:t>
      </w:r>
      <w:r w:rsidRPr="00F146E7">
        <w:rPr>
          <w:rFonts w:ascii="Times New Roman" w:hAnsi="Times New Roman"/>
          <w:noProof/>
          <w:sz w:val="20"/>
          <w:szCs w:val="20"/>
          <w:vertAlign w:val="superscript"/>
          <w:lang w:val="ms-MY"/>
        </w:rPr>
        <w:t>3</w:t>
      </w:r>
      <w:r w:rsidRPr="00F146E7">
        <w:rPr>
          <w:rFonts w:ascii="Times New Roman" w:hAnsi="Times New Roman"/>
          <w:noProof/>
          <w:sz w:val="20"/>
          <w:szCs w:val="20"/>
          <w:lang w:val="ms-MY"/>
        </w:rPr>
        <w:t>,</w:t>
      </w:r>
    </w:p>
    <w:p w14:paraId="39F9E353" w14:textId="77777777" w:rsidR="00B57B0E" w:rsidRPr="00F146E7" w:rsidRDefault="00B57B0E" w:rsidP="00B57B0E">
      <w:pPr>
        <w:spacing w:after="0"/>
        <w:jc w:val="center"/>
        <w:outlineLvl w:val="0"/>
        <w:rPr>
          <w:rFonts w:ascii="Times New Roman" w:hAnsi="Times New Roman"/>
          <w:noProof/>
          <w:sz w:val="20"/>
          <w:szCs w:val="20"/>
          <w:lang w:val="ms-MY"/>
        </w:rPr>
      </w:pPr>
      <w:r w:rsidRPr="00F146E7">
        <w:rPr>
          <w:rFonts w:ascii="Times New Roman" w:hAnsi="Times New Roman"/>
          <w:noProof/>
          <w:sz w:val="20"/>
          <w:szCs w:val="20"/>
          <w:lang w:val="ms-MY"/>
        </w:rPr>
        <w:t>Dewandra Bagus Ekaputra</w:t>
      </w:r>
      <w:r w:rsidRPr="00F146E7">
        <w:rPr>
          <w:rFonts w:ascii="Times New Roman" w:hAnsi="Times New Roman"/>
          <w:noProof/>
          <w:sz w:val="20"/>
          <w:szCs w:val="20"/>
          <w:vertAlign w:val="superscript"/>
          <w:lang w:val="ms-MY"/>
        </w:rPr>
        <w:t>4</w:t>
      </w:r>
      <w:r w:rsidRPr="00F146E7">
        <w:rPr>
          <w:rFonts w:ascii="Times New Roman" w:hAnsi="Times New Roman"/>
          <w:noProof/>
          <w:sz w:val="20"/>
          <w:szCs w:val="20"/>
          <w:lang w:val="ms-MY"/>
        </w:rPr>
        <w:t>, Shaziera Omar</w:t>
      </w:r>
      <w:r w:rsidRPr="00F146E7">
        <w:rPr>
          <w:rFonts w:ascii="Times New Roman" w:hAnsi="Times New Roman"/>
          <w:noProof/>
          <w:sz w:val="20"/>
          <w:szCs w:val="20"/>
          <w:vertAlign w:val="superscript"/>
          <w:lang w:val="ms-MY"/>
        </w:rPr>
        <w:t>1</w:t>
      </w:r>
    </w:p>
    <w:p w14:paraId="4292B5FA" w14:textId="77777777" w:rsidR="00B57B0E" w:rsidRPr="00B57B0E" w:rsidRDefault="00B57B0E" w:rsidP="00B57B0E">
      <w:pPr>
        <w:spacing w:after="0"/>
        <w:jc w:val="center"/>
        <w:outlineLvl w:val="0"/>
        <w:rPr>
          <w:rFonts w:ascii="Times New Roman" w:hAnsi="Times New Roman"/>
          <w:b/>
          <w:color w:val="FF0000"/>
          <w:sz w:val="20"/>
          <w:szCs w:val="20"/>
        </w:rPr>
      </w:pPr>
    </w:p>
    <w:p w14:paraId="115C14F6" w14:textId="77777777" w:rsidR="00B57B0E" w:rsidRPr="00B57B0E" w:rsidRDefault="00B57B0E" w:rsidP="00B57B0E">
      <w:pPr>
        <w:spacing w:after="0"/>
        <w:jc w:val="center"/>
        <w:rPr>
          <w:rFonts w:ascii="Times New Roman" w:eastAsia="MS Mincho" w:hAnsi="Times New Roman"/>
          <w:i/>
          <w:sz w:val="20"/>
          <w:szCs w:val="20"/>
          <w:lang w:val="en-GB" w:eastAsia="ja-JP"/>
        </w:rPr>
      </w:pPr>
      <w:bookmarkStart w:id="0" w:name="_Hlk59738051"/>
      <w:r w:rsidRPr="00B57B0E">
        <w:rPr>
          <w:rFonts w:ascii="Times New Roman" w:eastAsia="MS Mincho" w:hAnsi="Times New Roman"/>
          <w:i/>
          <w:sz w:val="20"/>
          <w:szCs w:val="20"/>
          <w:vertAlign w:val="superscript"/>
          <w:lang w:val="en-GB" w:eastAsia="ja-JP"/>
        </w:rPr>
        <w:t>1</w:t>
      </w:r>
      <w:r w:rsidRPr="00B57B0E">
        <w:rPr>
          <w:rFonts w:ascii="Times New Roman" w:eastAsia="MS Mincho" w:hAnsi="Times New Roman"/>
          <w:i/>
          <w:sz w:val="20"/>
          <w:szCs w:val="20"/>
          <w:lang w:val="en-GB" w:eastAsia="ja-JP"/>
        </w:rPr>
        <w:t>Petroleum Engineering Department,</w:t>
      </w:r>
      <w:bookmarkEnd w:id="0"/>
      <w:r w:rsidRPr="00B57B0E">
        <w:rPr>
          <w:rFonts w:ascii="Times New Roman" w:eastAsia="MS Mincho" w:hAnsi="Times New Roman"/>
          <w:i/>
          <w:sz w:val="20"/>
          <w:szCs w:val="20"/>
          <w:lang w:val="en-GB" w:eastAsia="ja-JP"/>
        </w:rPr>
        <w:t xml:space="preserve"> SCEE, Faculty of Engineering</w:t>
      </w:r>
    </w:p>
    <w:p w14:paraId="149CCC61" w14:textId="77777777" w:rsidR="00B57B0E" w:rsidRPr="00B57B0E" w:rsidRDefault="00B57B0E" w:rsidP="00B57B0E">
      <w:pPr>
        <w:spacing w:after="0"/>
        <w:jc w:val="center"/>
        <w:rPr>
          <w:rFonts w:ascii="Times New Roman" w:eastAsia="MS Mincho" w:hAnsi="Times New Roman"/>
          <w:i/>
          <w:sz w:val="20"/>
          <w:szCs w:val="20"/>
          <w:lang w:val="en-GB" w:eastAsia="ja-JP"/>
        </w:rPr>
      </w:pPr>
      <w:r w:rsidRPr="00B57B0E">
        <w:rPr>
          <w:rFonts w:ascii="Times New Roman" w:eastAsia="MS Mincho" w:hAnsi="Times New Roman"/>
          <w:i/>
          <w:sz w:val="20"/>
          <w:szCs w:val="20"/>
          <w:vertAlign w:val="superscript"/>
          <w:lang w:eastAsia="ja-JP"/>
        </w:rPr>
        <w:t>2</w:t>
      </w:r>
      <w:r w:rsidRPr="00B57B0E">
        <w:rPr>
          <w:rFonts w:ascii="Times New Roman" w:eastAsia="MS Mincho" w:hAnsi="Times New Roman"/>
          <w:i/>
          <w:sz w:val="20"/>
          <w:szCs w:val="20"/>
          <w:lang w:val="en-GB" w:eastAsia="ja-JP"/>
        </w:rPr>
        <w:t>Energy Management Group, SCEE, Faculty of Engineering</w:t>
      </w:r>
    </w:p>
    <w:p w14:paraId="5E5962C1" w14:textId="77777777" w:rsidR="00B57B0E" w:rsidRPr="00B57B0E" w:rsidRDefault="00B57B0E" w:rsidP="00B57B0E">
      <w:pPr>
        <w:spacing w:after="0"/>
        <w:jc w:val="center"/>
        <w:rPr>
          <w:rFonts w:ascii="Times New Roman" w:eastAsia="MS Mincho" w:hAnsi="Times New Roman"/>
          <w:i/>
          <w:sz w:val="20"/>
          <w:szCs w:val="20"/>
          <w:lang w:val="en-GB" w:eastAsia="ja-JP"/>
        </w:rPr>
      </w:pPr>
      <w:r w:rsidRPr="00B57B0E">
        <w:rPr>
          <w:rFonts w:ascii="Times New Roman" w:eastAsia="MS Mincho" w:hAnsi="Times New Roman"/>
          <w:i/>
          <w:sz w:val="20"/>
          <w:szCs w:val="20"/>
          <w:lang w:val="en-GB" w:eastAsia="ja-JP"/>
        </w:rPr>
        <w:t>Universiti Teknologi Malaysia, 81310 Skudai, Johor, Malaysia</w:t>
      </w:r>
    </w:p>
    <w:p w14:paraId="262E64D3" w14:textId="77777777" w:rsidR="00B57B0E" w:rsidRPr="00B57B0E" w:rsidRDefault="00B57B0E" w:rsidP="00B57B0E">
      <w:pPr>
        <w:spacing w:after="0"/>
        <w:jc w:val="center"/>
        <w:rPr>
          <w:rFonts w:ascii="Times New Roman" w:eastAsia="MS Mincho" w:hAnsi="Times New Roman"/>
          <w:i/>
          <w:sz w:val="20"/>
          <w:szCs w:val="20"/>
          <w:lang w:val="en-GB" w:eastAsia="ja-JP"/>
        </w:rPr>
      </w:pPr>
      <w:bookmarkStart w:id="1" w:name="_Hlk59738080"/>
      <w:r w:rsidRPr="00B57B0E">
        <w:rPr>
          <w:rFonts w:ascii="Times New Roman" w:eastAsia="MS Mincho" w:hAnsi="Times New Roman"/>
          <w:i/>
          <w:sz w:val="20"/>
          <w:szCs w:val="20"/>
          <w:vertAlign w:val="superscript"/>
          <w:lang w:val="en-GB" w:eastAsia="ja-JP"/>
        </w:rPr>
        <w:t>3</w:t>
      </w:r>
      <w:r w:rsidRPr="00B57B0E">
        <w:rPr>
          <w:rFonts w:ascii="Times New Roman" w:eastAsia="MS Mincho" w:hAnsi="Times New Roman"/>
          <w:i/>
          <w:sz w:val="20"/>
          <w:szCs w:val="20"/>
          <w:lang w:val="en-GB" w:eastAsia="ja-JP"/>
        </w:rPr>
        <w:t>Petroleum Engineering Department,</w:t>
      </w:r>
    </w:p>
    <w:p w14:paraId="5CDEBCE8" w14:textId="77777777" w:rsidR="00B57B0E" w:rsidRPr="00B57B0E" w:rsidRDefault="00B57B0E" w:rsidP="00B57B0E">
      <w:pPr>
        <w:spacing w:after="0"/>
        <w:jc w:val="center"/>
        <w:rPr>
          <w:rFonts w:ascii="Times New Roman" w:eastAsia="MS Mincho" w:hAnsi="Times New Roman"/>
          <w:i/>
          <w:sz w:val="20"/>
          <w:szCs w:val="20"/>
          <w:lang w:val="en-GB" w:eastAsia="ja-JP"/>
        </w:rPr>
      </w:pPr>
      <w:r w:rsidRPr="00B57B0E">
        <w:rPr>
          <w:rFonts w:ascii="Times New Roman" w:eastAsia="MS Mincho" w:hAnsi="Times New Roman"/>
          <w:i/>
          <w:sz w:val="20"/>
          <w:szCs w:val="20"/>
          <w:lang w:val="en-GB" w:eastAsia="ja-JP"/>
        </w:rPr>
        <w:t>Universiti Teknologi PETRONAS, 32610 Seri Iskandar, Perak, Malaysia</w:t>
      </w:r>
    </w:p>
    <w:p w14:paraId="6801EA58" w14:textId="77777777" w:rsidR="00B57B0E" w:rsidRPr="00B57B0E" w:rsidRDefault="00B57B0E" w:rsidP="00B57B0E">
      <w:pPr>
        <w:spacing w:after="0"/>
        <w:jc w:val="center"/>
        <w:rPr>
          <w:rFonts w:ascii="Times New Roman" w:eastAsia="MS Mincho" w:hAnsi="Times New Roman"/>
          <w:i/>
          <w:sz w:val="20"/>
          <w:szCs w:val="20"/>
          <w:lang w:val="en-GB" w:eastAsia="ja-JP"/>
        </w:rPr>
      </w:pPr>
      <w:r w:rsidRPr="00B57B0E">
        <w:rPr>
          <w:rFonts w:ascii="Times New Roman" w:eastAsia="MS Mincho" w:hAnsi="Times New Roman"/>
          <w:i/>
          <w:sz w:val="20"/>
          <w:szCs w:val="20"/>
          <w:vertAlign w:val="superscript"/>
          <w:lang w:val="en-GB" w:eastAsia="ja-JP"/>
        </w:rPr>
        <w:t>4</w:t>
      </w:r>
      <w:r w:rsidRPr="00B57B0E">
        <w:rPr>
          <w:rFonts w:ascii="Times New Roman" w:eastAsia="MS Mincho" w:hAnsi="Times New Roman"/>
          <w:i/>
          <w:sz w:val="20"/>
          <w:szCs w:val="20"/>
          <w:lang w:val="en-GB" w:eastAsia="ja-JP"/>
        </w:rPr>
        <w:t>Department of Geological Engineering, Faculty of Engineering,</w:t>
      </w:r>
    </w:p>
    <w:p w14:paraId="2C88188C" w14:textId="77777777" w:rsidR="00B57B0E" w:rsidRPr="00B57B0E" w:rsidRDefault="00B57B0E" w:rsidP="00B57B0E">
      <w:pPr>
        <w:spacing w:after="0"/>
        <w:jc w:val="center"/>
        <w:rPr>
          <w:rFonts w:ascii="Times New Roman" w:eastAsia="MS Mincho" w:hAnsi="Times New Roman"/>
          <w:i/>
          <w:sz w:val="20"/>
          <w:szCs w:val="20"/>
          <w:lang w:val="en-GB" w:eastAsia="ja-JP"/>
        </w:rPr>
      </w:pPr>
      <w:r w:rsidRPr="00B57B0E">
        <w:rPr>
          <w:rFonts w:ascii="Times New Roman" w:eastAsia="MS Mincho" w:hAnsi="Times New Roman"/>
          <w:i/>
          <w:sz w:val="20"/>
          <w:szCs w:val="20"/>
          <w:lang w:val="en-GB" w:eastAsia="ja-JP"/>
        </w:rPr>
        <w:t>Universitas Islam Riau, Riau 28284, Indonesia</w:t>
      </w:r>
    </w:p>
    <w:bookmarkEnd w:id="1"/>
    <w:p w14:paraId="7C227FE2" w14:textId="77777777" w:rsidR="00B57B0E" w:rsidRPr="00B57B0E" w:rsidRDefault="00B57B0E" w:rsidP="00B57B0E">
      <w:pPr>
        <w:spacing w:after="0"/>
        <w:jc w:val="center"/>
        <w:outlineLvl w:val="0"/>
        <w:rPr>
          <w:rFonts w:ascii="Times New Roman" w:hAnsi="Times New Roman"/>
          <w:b/>
          <w:color w:val="548DD4" w:themeColor="text2" w:themeTint="99"/>
          <w:sz w:val="20"/>
          <w:szCs w:val="20"/>
        </w:rPr>
      </w:pPr>
    </w:p>
    <w:p w14:paraId="5290F6D0" w14:textId="77777777" w:rsidR="00B57B0E" w:rsidRPr="00B57B0E" w:rsidRDefault="00B57B0E" w:rsidP="00B57B0E">
      <w:pPr>
        <w:spacing w:after="0"/>
        <w:jc w:val="center"/>
        <w:outlineLvl w:val="0"/>
        <w:rPr>
          <w:rFonts w:ascii="Times New Roman" w:hAnsi="Times New Roman"/>
          <w:i/>
          <w:color w:val="548DD4" w:themeColor="text2" w:themeTint="99"/>
          <w:sz w:val="20"/>
          <w:szCs w:val="20"/>
        </w:rPr>
      </w:pPr>
      <w:r w:rsidRPr="00B57B0E">
        <w:rPr>
          <w:rFonts w:ascii="Times New Roman" w:hAnsi="Times New Roman"/>
          <w:sz w:val="20"/>
          <w:szCs w:val="20"/>
        </w:rPr>
        <w:t>*</w:t>
      </w:r>
      <w:r w:rsidRPr="00B57B0E">
        <w:rPr>
          <w:rFonts w:ascii="Times New Roman" w:hAnsi="Times New Roman"/>
          <w:i/>
          <w:sz w:val="20"/>
          <w:szCs w:val="20"/>
        </w:rPr>
        <w:t>Corresponding author:  akhmalsidek@utm.my</w:t>
      </w:r>
    </w:p>
    <w:p w14:paraId="1E597131" w14:textId="77777777" w:rsidR="00B57B0E" w:rsidRPr="00B57B0E" w:rsidRDefault="00B57B0E" w:rsidP="00B57B0E">
      <w:pPr>
        <w:spacing w:after="0"/>
        <w:jc w:val="center"/>
        <w:rPr>
          <w:rFonts w:ascii="Times New Roman" w:hAnsi="Times New Roman"/>
          <w:noProof/>
          <w:sz w:val="20"/>
          <w:szCs w:val="20"/>
        </w:rPr>
      </w:pPr>
    </w:p>
    <w:p w14:paraId="6858204B" w14:textId="77777777" w:rsidR="00B57B0E" w:rsidRPr="00B57B0E" w:rsidRDefault="00B57B0E" w:rsidP="00B57B0E">
      <w:pPr>
        <w:spacing w:after="0"/>
        <w:jc w:val="center"/>
        <w:rPr>
          <w:rFonts w:ascii="Times New Roman" w:hAnsi="Times New Roman"/>
          <w:noProof/>
          <w:sz w:val="20"/>
          <w:szCs w:val="20"/>
        </w:rPr>
      </w:pPr>
    </w:p>
    <w:p w14:paraId="17DBBFA1" w14:textId="3BB3A907" w:rsidR="00B57B0E" w:rsidRPr="00B57B0E" w:rsidRDefault="00B57B0E" w:rsidP="00B57B0E">
      <w:pPr>
        <w:spacing w:after="0"/>
        <w:jc w:val="center"/>
        <w:rPr>
          <w:rFonts w:ascii="Times New Roman" w:hAnsi="Times New Roman"/>
          <w:noProof/>
          <w:sz w:val="20"/>
          <w:szCs w:val="20"/>
        </w:rPr>
      </w:pPr>
      <w:r w:rsidRPr="00B57B0E">
        <w:rPr>
          <w:rFonts w:ascii="Times New Roman" w:hAnsi="Times New Roman"/>
          <w:noProof/>
          <w:sz w:val="20"/>
          <w:szCs w:val="20"/>
        </w:rPr>
        <w:t xml:space="preserve">Received: 30 December 2020; Accepted: 10 February 2021; Published:  </w:t>
      </w:r>
      <w:r w:rsidR="00851B44">
        <w:rPr>
          <w:rFonts w:ascii="Times New Roman" w:hAnsi="Times New Roman"/>
          <w:noProof/>
          <w:sz w:val="20"/>
          <w:szCs w:val="20"/>
        </w:rPr>
        <w:t>25</w:t>
      </w:r>
      <w:r w:rsidRPr="00B57B0E">
        <w:rPr>
          <w:rFonts w:ascii="Times New Roman" w:hAnsi="Times New Roman"/>
          <w:noProof/>
          <w:sz w:val="20"/>
          <w:szCs w:val="20"/>
        </w:rPr>
        <w:t xml:space="preserve"> April 2021</w:t>
      </w:r>
    </w:p>
    <w:p w14:paraId="645349EB" w14:textId="77777777" w:rsidR="00B57B0E" w:rsidRPr="00B57B0E" w:rsidRDefault="00B57B0E" w:rsidP="00B57B0E">
      <w:pPr>
        <w:spacing w:after="0"/>
        <w:jc w:val="center"/>
        <w:rPr>
          <w:rFonts w:ascii="Times New Roman" w:hAnsi="Times New Roman"/>
          <w:noProof/>
          <w:sz w:val="20"/>
          <w:szCs w:val="20"/>
        </w:rPr>
      </w:pPr>
    </w:p>
    <w:p w14:paraId="6A47B2AE" w14:textId="77777777" w:rsidR="00B57B0E" w:rsidRPr="00B57B0E" w:rsidRDefault="00B57B0E" w:rsidP="00B57B0E">
      <w:pPr>
        <w:spacing w:after="0"/>
        <w:jc w:val="center"/>
        <w:rPr>
          <w:rFonts w:ascii="Times New Roman" w:hAnsi="Times New Roman"/>
          <w:noProof/>
          <w:sz w:val="20"/>
          <w:szCs w:val="20"/>
        </w:rPr>
      </w:pPr>
    </w:p>
    <w:p w14:paraId="5B9EB625" w14:textId="77777777" w:rsidR="00B57B0E" w:rsidRPr="00B57B0E" w:rsidRDefault="00B57B0E" w:rsidP="00B57B0E">
      <w:pPr>
        <w:spacing w:after="0"/>
        <w:jc w:val="center"/>
        <w:rPr>
          <w:rFonts w:ascii="Times New Roman" w:hAnsi="Times New Roman"/>
          <w:b/>
          <w:noProof/>
          <w:sz w:val="20"/>
          <w:szCs w:val="20"/>
        </w:rPr>
      </w:pPr>
      <w:r w:rsidRPr="00B57B0E">
        <w:rPr>
          <w:rFonts w:ascii="Times New Roman" w:hAnsi="Times New Roman"/>
          <w:b/>
          <w:noProof/>
          <w:sz w:val="20"/>
          <w:szCs w:val="20"/>
        </w:rPr>
        <w:t>Abstract</w:t>
      </w:r>
    </w:p>
    <w:p w14:paraId="72BE89B9" w14:textId="77777777" w:rsidR="00B57B0E" w:rsidRPr="00B57B0E" w:rsidRDefault="00B57B0E" w:rsidP="00B57B0E">
      <w:pPr>
        <w:spacing w:after="0"/>
        <w:jc w:val="both"/>
        <w:outlineLvl w:val="0"/>
        <w:rPr>
          <w:rFonts w:ascii="Times New Roman" w:hAnsi="Times New Roman"/>
          <w:sz w:val="20"/>
          <w:szCs w:val="20"/>
        </w:rPr>
      </w:pPr>
      <w:r w:rsidRPr="00B57B0E">
        <w:rPr>
          <w:rFonts w:ascii="Times New Roman" w:hAnsi="Times New Roman"/>
          <w:sz w:val="20"/>
          <w:szCs w:val="20"/>
        </w:rPr>
        <w:t>The oily sand cleaning process should pass the standard discharge requirements so that its impact on the environment can be minimized. This work has used integrated surfactants which includes sodium dodecyl sulfate (SDS, anionic), saponin (plant-based, nonionic), and</w:t>
      </w:r>
      <w:r w:rsidRPr="00B57B0E">
        <w:rPr>
          <w:rFonts w:ascii="Times New Roman" w:hAnsi="Times New Roman"/>
          <w:i/>
          <w:iCs/>
          <w:sz w:val="20"/>
          <w:szCs w:val="20"/>
        </w:rPr>
        <w:t xml:space="preserve"> </w:t>
      </w:r>
      <w:r w:rsidRPr="00B57B0E">
        <w:rPr>
          <w:rFonts w:ascii="Times New Roman" w:hAnsi="Times New Roman"/>
          <w:iCs/>
          <w:sz w:val="20"/>
          <w:szCs w:val="20"/>
        </w:rPr>
        <w:t>cetyl trimethylammonium</w:t>
      </w:r>
      <w:r w:rsidRPr="00B57B0E">
        <w:rPr>
          <w:rFonts w:ascii="Times New Roman" w:hAnsi="Times New Roman"/>
          <w:i/>
          <w:iCs/>
          <w:sz w:val="20"/>
          <w:szCs w:val="20"/>
        </w:rPr>
        <w:t xml:space="preserve"> </w:t>
      </w:r>
      <w:r w:rsidRPr="00B57B0E">
        <w:rPr>
          <w:rFonts w:ascii="Times New Roman" w:hAnsi="Times New Roman"/>
          <w:iCs/>
          <w:sz w:val="20"/>
          <w:szCs w:val="20"/>
        </w:rPr>
        <w:t>bromide</w:t>
      </w:r>
      <w:r w:rsidRPr="00B57B0E">
        <w:rPr>
          <w:rFonts w:ascii="Times New Roman" w:hAnsi="Times New Roman"/>
          <w:sz w:val="20"/>
          <w:szCs w:val="20"/>
        </w:rPr>
        <w:t xml:space="preserve"> (CTAB, cationic) with hydrocyclone method, for washing oily sand (41 wt.% of paraffin) with fixed cleaning time of 150 minutes. The interfacial tension (IFT) of the surfactants as a cleaning agent was screened based on the critical micelle concentration (CMC) so that the desirable surfactant concentration can be used. Field Emission Scanning Electron Microscopy-Energy Dispersive X-ray (FESEM-EDX) was used to characterize the sand for before and after the cleaning process. As compared to without hydrocyclone, the application of hydrocyclone caused in increasing oil removal efficiency with CTAB exhibits 91%, followed by SDS (87%), and saponin (79%). Based on the FESEM-EDX characterization, besides its primary function of oil removal from the sand, saponin is also capable to remove heavy metal elements. It can be deduced that the integration of hydrocyclone with the surfactants can cause in synergized effects which could then improve the oily sand cleaning efficiency.</w:t>
      </w:r>
    </w:p>
    <w:p w14:paraId="12B667B6" w14:textId="77777777" w:rsidR="00B57B0E" w:rsidRPr="00B57B0E" w:rsidRDefault="00B57B0E" w:rsidP="00B57B0E">
      <w:pPr>
        <w:spacing w:after="0"/>
        <w:jc w:val="both"/>
        <w:outlineLvl w:val="0"/>
        <w:rPr>
          <w:rFonts w:ascii="Times New Roman" w:hAnsi="Times New Roman"/>
          <w:sz w:val="20"/>
          <w:szCs w:val="20"/>
        </w:rPr>
      </w:pPr>
    </w:p>
    <w:p w14:paraId="7AB55B00" w14:textId="77777777" w:rsidR="00B57B0E" w:rsidRPr="00B57B0E" w:rsidRDefault="00B57B0E" w:rsidP="00B57B0E">
      <w:pPr>
        <w:spacing w:after="0"/>
        <w:jc w:val="both"/>
        <w:outlineLvl w:val="0"/>
        <w:rPr>
          <w:rFonts w:ascii="Times New Roman" w:hAnsi="Times New Roman"/>
          <w:color w:val="548DD4" w:themeColor="text2" w:themeTint="99"/>
          <w:sz w:val="20"/>
          <w:szCs w:val="20"/>
        </w:rPr>
      </w:pPr>
      <w:r w:rsidRPr="00B57B0E">
        <w:rPr>
          <w:rFonts w:ascii="Times New Roman" w:hAnsi="Times New Roman"/>
          <w:b/>
          <w:sz w:val="20"/>
          <w:szCs w:val="20"/>
        </w:rPr>
        <w:t>Keywords:</w:t>
      </w:r>
      <w:r w:rsidRPr="00B57B0E">
        <w:rPr>
          <w:rFonts w:ascii="Times New Roman" w:hAnsi="Times New Roman"/>
          <w:sz w:val="20"/>
          <w:szCs w:val="20"/>
        </w:rPr>
        <w:t xml:space="preserve">  interfacial tension screening, critical micelle concentration, hydrocyclone, oily sand cleaning, efficiency </w:t>
      </w:r>
    </w:p>
    <w:p w14:paraId="1A70FD72" w14:textId="77777777" w:rsidR="00B57B0E" w:rsidRPr="00B57B0E" w:rsidRDefault="00B57B0E" w:rsidP="00B57B0E">
      <w:pPr>
        <w:spacing w:after="0"/>
        <w:jc w:val="center"/>
        <w:outlineLvl w:val="0"/>
        <w:rPr>
          <w:rFonts w:ascii="Times New Roman" w:hAnsi="Times New Roman"/>
          <w:b/>
          <w:color w:val="548DD4" w:themeColor="text2" w:themeTint="99"/>
          <w:sz w:val="20"/>
          <w:szCs w:val="20"/>
        </w:rPr>
      </w:pPr>
    </w:p>
    <w:p w14:paraId="7BB7CE5C" w14:textId="77777777" w:rsidR="00B57B0E" w:rsidRPr="00B57B0E" w:rsidRDefault="00B57B0E" w:rsidP="00B57B0E">
      <w:pPr>
        <w:spacing w:after="0"/>
        <w:jc w:val="center"/>
        <w:outlineLvl w:val="0"/>
        <w:rPr>
          <w:rFonts w:ascii="Times New Roman" w:hAnsi="Times New Roman"/>
          <w:b/>
          <w:noProof/>
          <w:sz w:val="20"/>
          <w:szCs w:val="20"/>
          <w:lang w:val="ms-MY"/>
        </w:rPr>
      </w:pPr>
      <w:r w:rsidRPr="00B57B0E">
        <w:rPr>
          <w:rFonts w:ascii="Times New Roman" w:hAnsi="Times New Roman"/>
          <w:b/>
          <w:noProof/>
          <w:sz w:val="20"/>
          <w:szCs w:val="20"/>
          <w:lang w:val="ms-MY"/>
        </w:rPr>
        <w:t>Abstrak</w:t>
      </w:r>
    </w:p>
    <w:p w14:paraId="5574985B" w14:textId="77777777" w:rsidR="00B57B0E" w:rsidRPr="00B57B0E" w:rsidRDefault="00B57B0E" w:rsidP="00B57B0E">
      <w:pPr>
        <w:spacing w:after="0"/>
        <w:jc w:val="both"/>
        <w:outlineLvl w:val="0"/>
        <w:rPr>
          <w:rFonts w:ascii="Times New Roman" w:hAnsi="Times New Roman"/>
          <w:noProof/>
          <w:sz w:val="20"/>
          <w:szCs w:val="20"/>
          <w:lang w:val="ms-MY"/>
        </w:rPr>
      </w:pPr>
      <w:r w:rsidRPr="00B57B0E">
        <w:rPr>
          <w:rFonts w:ascii="Times New Roman" w:hAnsi="Times New Roman"/>
          <w:noProof/>
          <w:sz w:val="20"/>
          <w:szCs w:val="20"/>
          <w:lang w:val="ms-MY"/>
        </w:rPr>
        <w:t xml:space="preserve">Proses pembersihan pasir berminyak perlu melepasi syarat-syarat piawai pelepasan supaya kesannya terhadap alam sekitar boleh dikurangkan. Kajian ini telah menggunakan integrasi surfaktan yang merangkumi sodium dodekil sulfat (SDS, anionik), saponin (sumber tumbuhan, non-ionik) dan cetyl trimetilammonium bromida (CTAB, kationik) dengan kaedah hidrosiklon, bagi pembersihan pasir berminyak (kandungan paraffin 41 wt.%) dengan masa pembersihan tetap 150 minutes. </w:t>
      </w:r>
      <w:bookmarkStart w:id="2" w:name="_Hlk66624544"/>
      <w:r w:rsidRPr="00B57B0E">
        <w:rPr>
          <w:rFonts w:ascii="Times New Roman" w:hAnsi="Times New Roman"/>
          <w:noProof/>
          <w:sz w:val="20"/>
          <w:szCs w:val="20"/>
          <w:lang w:val="ms-MY"/>
        </w:rPr>
        <w:t>Ketegangan antara muka</w:t>
      </w:r>
      <w:bookmarkEnd w:id="2"/>
      <w:r w:rsidRPr="00B57B0E">
        <w:rPr>
          <w:rFonts w:ascii="Times New Roman" w:hAnsi="Times New Roman"/>
          <w:noProof/>
          <w:sz w:val="20"/>
          <w:szCs w:val="20"/>
          <w:lang w:val="ms-MY"/>
        </w:rPr>
        <w:t xml:space="preserve"> (IFT) surfaktan sebagai agen pembersihan telah disaring berdasarkan kepekatan misel kritikal (CMC) supaya kepekatan surfaktan yang diingini dapat digunakan. Mikroskopi Imbasan Electron Pelepasan Medan-Tenaga Serakan sinar-X (FESEM-EDX) telah digunakan untuk mencirikan pasir sebelum dan selepas proses pembersihan. Berbanding dengan tanpa hidrosiklon, penggunaan hidrosiklon telah menyebabkan peningkatan kecekapan penyingkiran minyak dengan CTAB menunjukkan 91%, diikuti oleh SDS (87%), dan saponin (79%). Berdasarkan ciri FESEM-EDX, selain fungsi utama penyingkiran minyak dari pasir, saponin juga mampu menyingkirkan unsur logam berat. Dapat disimpulkan bahawa integrasi hidrosiklon dengan surfaktan menyebabkan kesan sinergi yang kemudian membawa kepada peningkatan kecekapan pembersihan pasir berminyak. </w:t>
      </w:r>
    </w:p>
    <w:p w14:paraId="7505BB7D" w14:textId="77777777" w:rsidR="00B57B0E" w:rsidRPr="00B57B0E" w:rsidRDefault="00B57B0E" w:rsidP="00B57B0E">
      <w:pPr>
        <w:spacing w:after="0"/>
        <w:jc w:val="both"/>
        <w:outlineLvl w:val="0"/>
        <w:rPr>
          <w:rFonts w:ascii="Times New Roman" w:hAnsi="Times New Roman"/>
          <w:noProof/>
          <w:sz w:val="20"/>
          <w:szCs w:val="20"/>
          <w:lang w:val="ms-MY"/>
        </w:rPr>
      </w:pPr>
    </w:p>
    <w:p w14:paraId="5A6DE9E5" w14:textId="0E4115CC" w:rsidR="00B57B0E" w:rsidRDefault="00B57B0E" w:rsidP="00B57B0E">
      <w:pPr>
        <w:spacing w:after="0"/>
        <w:ind w:left="1170" w:hanging="1170"/>
        <w:jc w:val="both"/>
        <w:rPr>
          <w:rFonts w:ascii="Times New Roman" w:hAnsi="Times New Roman"/>
          <w:noProof/>
          <w:sz w:val="20"/>
          <w:szCs w:val="20"/>
          <w:lang w:val="ms-MY"/>
        </w:rPr>
      </w:pPr>
      <w:r w:rsidRPr="00B57B0E">
        <w:rPr>
          <w:rFonts w:ascii="Times New Roman" w:hAnsi="Times New Roman"/>
          <w:b/>
          <w:noProof/>
          <w:sz w:val="20"/>
          <w:szCs w:val="20"/>
          <w:lang w:val="ms-MY"/>
        </w:rPr>
        <w:t xml:space="preserve">Kata kunci:  </w:t>
      </w:r>
      <w:r>
        <w:rPr>
          <w:rFonts w:ascii="Times New Roman" w:hAnsi="Times New Roman"/>
          <w:b/>
          <w:noProof/>
          <w:sz w:val="20"/>
          <w:szCs w:val="20"/>
          <w:lang w:val="ms-MY"/>
        </w:rPr>
        <w:tab/>
      </w:r>
      <w:r w:rsidRPr="00B57B0E">
        <w:rPr>
          <w:rFonts w:ascii="Times New Roman" w:hAnsi="Times New Roman"/>
          <w:noProof/>
          <w:sz w:val="20"/>
          <w:szCs w:val="20"/>
          <w:lang w:val="ms-MY"/>
        </w:rPr>
        <w:t>saringan ketegangan antara muka, kepekatan misel kritikal, hidrosiklon, pembersihan pasir berminyak, kecekapan</w:t>
      </w:r>
    </w:p>
    <w:p w14:paraId="7C9ADE42" w14:textId="77777777" w:rsidR="00B57B0E" w:rsidRDefault="00B57B0E" w:rsidP="00B57B0E">
      <w:pPr>
        <w:spacing w:after="0"/>
        <w:ind w:left="1170" w:hanging="1170"/>
        <w:jc w:val="center"/>
        <w:rPr>
          <w:rFonts w:ascii="Times New Roman" w:hAnsi="Times New Roman"/>
          <w:noProof/>
          <w:sz w:val="20"/>
          <w:szCs w:val="20"/>
          <w:lang w:val="ms-MY"/>
        </w:rPr>
      </w:pPr>
    </w:p>
    <w:p w14:paraId="5C4D853B" w14:textId="77777777" w:rsidR="00B57B0E" w:rsidRPr="00F447A7" w:rsidRDefault="00B57B0E" w:rsidP="00B57B0E">
      <w:pPr>
        <w:spacing w:after="0"/>
        <w:jc w:val="center"/>
        <w:rPr>
          <w:rFonts w:ascii="Times New Roman" w:hAnsi="Times New Roman"/>
          <w:b/>
          <w:noProof/>
          <w:sz w:val="20"/>
          <w:szCs w:val="20"/>
        </w:rPr>
      </w:pPr>
      <w:r w:rsidRPr="00F447A7">
        <w:rPr>
          <w:rFonts w:ascii="Times New Roman" w:hAnsi="Times New Roman"/>
          <w:b/>
          <w:noProof/>
          <w:sz w:val="20"/>
          <w:szCs w:val="20"/>
        </w:rPr>
        <w:t>References</w:t>
      </w:r>
    </w:p>
    <w:p w14:paraId="24FD20FF"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68070C">
        <w:rPr>
          <w:rFonts w:ascii="Times New Roman" w:hAnsi="Times New Roman"/>
          <w:sz w:val="20"/>
          <w:szCs w:val="20"/>
        </w:rPr>
        <w:t>Rawlins, H. (2013). Sand management methodologies for sustained facilities operations. </w:t>
      </w:r>
      <w:r w:rsidRPr="0068070C">
        <w:rPr>
          <w:rFonts w:ascii="Times New Roman" w:hAnsi="Times New Roman"/>
          <w:i/>
          <w:iCs/>
          <w:sz w:val="20"/>
          <w:szCs w:val="20"/>
        </w:rPr>
        <w:t>Oil and Gas Facilities</w:t>
      </w:r>
      <w:r w:rsidRPr="0068070C">
        <w:rPr>
          <w:rFonts w:ascii="Times New Roman" w:hAnsi="Times New Roman"/>
          <w:sz w:val="20"/>
          <w:szCs w:val="20"/>
        </w:rPr>
        <w:t>, 2(05): 27-34.</w:t>
      </w:r>
    </w:p>
    <w:p w14:paraId="1DE79415"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Ikporo, B. and Sylvester, O. (2015). Effect of sand invasion on oil well production: a case study of Garon field in the Niger Delta. </w:t>
      </w:r>
      <w:r w:rsidRPr="00BB6CD2">
        <w:rPr>
          <w:rFonts w:ascii="Times New Roman" w:hAnsi="Times New Roman"/>
          <w:i/>
          <w:iCs/>
          <w:sz w:val="20"/>
          <w:szCs w:val="20"/>
        </w:rPr>
        <w:t>The International Journal of Engineering and Science</w:t>
      </w:r>
      <w:r w:rsidRPr="00BB6CD2">
        <w:rPr>
          <w:rFonts w:ascii="Times New Roman" w:hAnsi="Times New Roman"/>
          <w:sz w:val="20"/>
          <w:szCs w:val="20"/>
        </w:rPr>
        <w:t>, 4(5): 64-72.</w:t>
      </w:r>
    </w:p>
    <w:p w14:paraId="58289B01"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Pichtel, J. (2016). Oil and gas production wastewater: Soil contamination and pollution prevention. </w:t>
      </w:r>
      <w:r w:rsidRPr="00BB6CD2">
        <w:rPr>
          <w:rFonts w:ascii="Times New Roman" w:hAnsi="Times New Roman"/>
          <w:i/>
          <w:iCs/>
          <w:sz w:val="20"/>
          <w:szCs w:val="20"/>
        </w:rPr>
        <w:t>Applied and Environmental Soil Science</w:t>
      </w:r>
      <w:r w:rsidRPr="00BB6CD2">
        <w:rPr>
          <w:rFonts w:ascii="Times New Roman" w:hAnsi="Times New Roman"/>
          <w:sz w:val="20"/>
          <w:szCs w:val="20"/>
        </w:rPr>
        <w:t>, 2016: 1-25.</w:t>
      </w:r>
    </w:p>
    <w:p w14:paraId="28CF6A1A"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Khamehchi, E., Ameri, O. and Alizadeh, A. (2015). Choosing an optimum sand control method. </w:t>
      </w:r>
      <w:r w:rsidRPr="00BB6CD2">
        <w:rPr>
          <w:rFonts w:ascii="Times New Roman" w:hAnsi="Times New Roman"/>
          <w:i/>
          <w:iCs/>
          <w:sz w:val="20"/>
          <w:szCs w:val="20"/>
        </w:rPr>
        <w:t>Egyptian Journal of Petroleum</w:t>
      </w:r>
      <w:r w:rsidRPr="00BB6CD2">
        <w:rPr>
          <w:rFonts w:ascii="Times New Roman" w:hAnsi="Times New Roman"/>
          <w:sz w:val="20"/>
          <w:szCs w:val="20"/>
        </w:rPr>
        <w:t>, 24(2): 193-202.</w:t>
      </w:r>
    </w:p>
    <w:p w14:paraId="38264123"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 xml:space="preserve">Jiuxing, Z. H. Y. Y. W. and Dongping, W. (2010). A study on oily sludge (sand) treatment technology. </w:t>
      </w:r>
      <w:r w:rsidRPr="00BB6CD2">
        <w:rPr>
          <w:rFonts w:ascii="Times New Roman" w:hAnsi="Times New Roman"/>
          <w:i/>
          <w:iCs/>
          <w:sz w:val="20"/>
          <w:szCs w:val="20"/>
        </w:rPr>
        <w:t>Environmental Protection of Oil &amp; Gas Fields</w:t>
      </w:r>
      <w:r w:rsidRPr="00BB6CD2">
        <w:rPr>
          <w:rFonts w:ascii="Times New Roman" w:hAnsi="Times New Roman"/>
          <w:sz w:val="20"/>
          <w:szCs w:val="20"/>
        </w:rPr>
        <w:t>, 3: 1-20.</w:t>
      </w:r>
    </w:p>
    <w:p w14:paraId="2E9D9F74"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Zali, M. A., Ahmad, W. K. W., Retnam, A. and Catrina, N. (2015). Concentration of heavy metals in virgin, used, recovered and waste oil: a spectroscopic study. </w:t>
      </w:r>
      <w:r w:rsidRPr="00BB6CD2">
        <w:rPr>
          <w:rFonts w:ascii="Times New Roman" w:hAnsi="Times New Roman"/>
          <w:i/>
          <w:iCs/>
          <w:sz w:val="20"/>
          <w:szCs w:val="20"/>
        </w:rPr>
        <w:t>Procedia Environmental Sciences</w:t>
      </w:r>
      <w:r w:rsidRPr="00BB6CD2">
        <w:rPr>
          <w:rFonts w:ascii="Times New Roman" w:hAnsi="Times New Roman"/>
          <w:sz w:val="20"/>
          <w:szCs w:val="20"/>
        </w:rPr>
        <w:t>, 30: 201-204.</w:t>
      </w:r>
    </w:p>
    <w:p w14:paraId="6FFAE068"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AlSofi, A. M., AlKhatib, A. M., Al-Ajwad, H. A., Wang, Q. and Zahrani, B. H. (2019). Assessment of enhanced-oil-recovery-chemicals production and its potential effect on upstream facilities. </w:t>
      </w:r>
      <w:r w:rsidRPr="00BB6CD2">
        <w:rPr>
          <w:rFonts w:ascii="Times New Roman" w:hAnsi="Times New Roman"/>
          <w:i/>
          <w:iCs/>
          <w:sz w:val="20"/>
          <w:szCs w:val="20"/>
        </w:rPr>
        <w:t>SPE Journal</w:t>
      </w:r>
      <w:r w:rsidRPr="00BB6CD2">
        <w:rPr>
          <w:rFonts w:ascii="Times New Roman" w:hAnsi="Times New Roman"/>
          <w:sz w:val="20"/>
          <w:szCs w:val="20"/>
        </w:rPr>
        <w:t>, 24(3): 1-037.</w:t>
      </w:r>
    </w:p>
    <w:p w14:paraId="067FE9A0"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Bahmani, F., Ataei, S. A. and Mikaili, M. A. (2018). The effect of moisture content variation on the bioremediation of hydrocarbon contaminated soils: modeling and experimental investigation. </w:t>
      </w:r>
      <w:r w:rsidRPr="00BB6CD2">
        <w:rPr>
          <w:rFonts w:ascii="Times New Roman" w:hAnsi="Times New Roman"/>
          <w:i/>
          <w:iCs/>
          <w:sz w:val="20"/>
          <w:szCs w:val="20"/>
        </w:rPr>
        <w:t>Journal of Environmental Analytical Chemistry</w:t>
      </w:r>
      <w:r w:rsidRPr="00BB6CD2">
        <w:rPr>
          <w:rFonts w:ascii="Times New Roman" w:hAnsi="Times New Roman"/>
          <w:sz w:val="20"/>
          <w:szCs w:val="20"/>
        </w:rPr>
        <w:t>, 5(2): 236.</w:t>
      </w:r>
    </w:p>
    <w:p w14:paraId="74324BB4"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Liu, P. W. G., Chang, T. C., Whang, L. M., Kao, C. H., Pan, P. T. and Cheng, S. S. (2011). Bioremediation of petroleum hydrocarbon contaminated soil: Effects of strategies and microbial community shift. </w:t>
      </w:r>
      <w:r w:rsidRPr="00BB6CD2">
        <w:rPr>
          <w:rFonts w:ascii="Times New Roman" w:hAnsi="Times New Roman"/>
          <w:i/>
          <w:iCs/>
          <w:sz w:val="20"/>
          <w:szCs w:val="20"/>
        </w:rPr>
        <w:t>International Biodeterioration &amp; Biodegradation</w:t>
      </w:r>
      <w:r w:rsidRPr="00BB6CD2">
        <w:rPr>
          <w:rFonts w:ascii="Times New Roman" w:hAnsi="Times New Roman"/>
          <w:sz w:val="20"/>
          <w:szCs w:val="20"/>
        </w:rPr>
        <w:t>, 65(8): 1119-1127.</w:t>
      </w:r>
    </w:p>
    <w:p w14:paraId="488F3B84"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Jing, G., Chen, T. and Luan, M. (2016). Studying oily sludge treatment by thermo chemistry. </w:t>
      </w:r>
      <w:r w:rsidRPr="00BB6CD2">
        <w:rPr>
          <w:rFonts w:ascii="Times New Roman" w:hAnsi="Times New Roman"/>
          <w:i/>
          <w:iCs/>
          <w:sz w:val="20"/>
          <w:szCs w:val="20"/>
        </w:rPr>
        <w:t>Arabian Journal of Chemistry</w:t>
      </w:r>
      <w:r w:rsidRPr="00BB6CD2">
        <w:rPr>
          <w:rFonts w:ascii="Times New Roman" w:hAnsi="Times New Roman"/>
          <w:sz w:val="20"/>
          <w:szCs w:val="20"/>
        </w:rPr>
        <w:t>, 9: S457-S460.</w:t>
      </w:r>
    </w:p>
    <w:p w14:paraId="39EB0BFF"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lastRenderedPageBreak/>
        <w:t>Muñoz-Morales, M., Braojos, M., Sáez, C., Cañizares, P. and Rodrigo, M. A. (2017). Remediation of soils polluted with lindane using surfactant-aided soil washing and electrochemical oxidation. </w:t>
      </w:r>
      <w:r w:rsidRPr="00BB6CD2">
        <w:rPr>
          <w:rFonts w:ascii="Times New Roman" w:hAnsi="Times New Roman"/>
          <w:i/>
          <w:iCs/>
          <w:sz w:val="20"/>
          <w:szCs w:val="20"/>
        </w:rPr>
        <w:t>Journal of Hazardous Materials</w:t>
      </w:r>
      <w:r w:rsidRPr="00BB6CD2">
        <w:rPr>
          <w:rFonts w:ascii="Times New Roman" w:hAnsi="Times New Roman"/>
          <w:sz w:val="20"/>
          <w:szCs w:val="20"/>
        </w:rPr>
        <w:t>, 339: 232-238.</w:t>
      </w:r>
    </w:p>
    <w:p w14:paraId="093815B3"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Gao, Y. X., Ding, R., Chen, X., Gong, Z. B., Zhang, Y. and Yang, M. (2018). Ultrasonic washing for oily sludge treatment in pilot scale. </w:t>
      </w:r>
      <w:r w:rsidRPr="00BB6CD2">
        <w:rPr>
          <w:rFonts w:ascii="Times New Roman" w:hAnsi="Times New Roman"/>
          <w:i/>
          <w:iCs/>
          <w:sz w:val="20"/>
          <w:szCs w:val="20"/>
        </w:rPr>
        <w:t>Ultrasonics</w:t>
      </w:r>
      <w:r w:rsidRPr="00BB6CD2">
        <w:rPr>
          <w:rFonts w:ascii="Times New Roman" w:hAnsi="Times New Roman"/>
          <w:sz w:val="20"/>
          <w:szCs w:val="20"/>
        </w:rPr>
        <w:t>, 90: 1-4.</w:t>
      </w:r>
    </w:p>
    <w:p w14:paraId="47A52242"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Arelli, A., Nuzzo, A., Sabia, C., Banat, I. M., Zanaroli, G. and Fava, F. (2018). Optimization of washing conditions with biogenic mobilizing agents for marine fuel-contaminated beach sands. </w:t>
      </w:r>
      <w:r w:rsidRPr="00BB6CD2">
        <w:rPr>
          <w:rFonts w:ascii="Times New Roman" w:hAnsi="Times New Roman"/>
          <w:i/>
          <w:iCs/>
          <w:sz w:val="20"/>
          <w:szCs w:val="20"/>
        </w:rPr>
        <w:t>New Biotechnology</w:t>
      </w:r>
      <w:r w:rsidRPr="00BB6CD2">
        <w:rPr>
          <w:rFonts w:ascii="Times New Roman" w:hAnsi="Times New Roman"/>
          <w:sz w:val="20"/>
          <w:szCs w:val="20"/>
        </w:rPr>
        <w:t>, 43: 13-22.</w:t>
      </w:r>
    </w:p>
    <w:p w14:paraId="25201A97"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Singh, A. K. and Cameotra, S. S. (2013). Efficiency of lipopeptide biosurfactants in removal of petroleum hydrocarbons and heavy metals from contaminated soil. </w:t>
      </w:r>
      <w:r w:rsidRPr="00BB6CD2">
        <w:rPr>
          <w:rFonts w:ascii="Times New Roman" w:hAnsi="Times New Roman"/>
          <w:i/>
          <w:iCs/>
          <w:sz w:val="20"/>
          <w:szCs w:val="20"/>
        </w:rPr>
        <w:t>Environmental Science and Pollution Research</w:t>
      </w:r>
      <w:r w:rsidRPr="00BB6CD2">
        <w:rPr>
          <w:rFonts w:ascii="Times New Roman" w:hAnsi="Times New Roman"/>
          <w:sz w:val="20"/>
          <w:szCs w:val="20"/>
        </w:rPr>
        <w:t>, 20(10): 7367-7376.</w:t>
      </w:r>
    </w:p>
    <w:p w14:paraId="5BA8D9D0"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 xml:space="preserve">Belhaj, A. F., Elraies, K. A., Alnarabiji, M. S., Shuhli, J. A., Mahmood, S. M. and Ern, L. W. (2019). Experimental investigation of surfactant partitioning in pre-CMC and post-CMC regimes for enhanced oil recovery application. </w:t>
      </w:r>
      <w:r w:rsidRPr="00BB6CD2">
        <w:rPr>
          <w:rFonts w:ascii="Times New Roman" w:hAnsi="Times New Roman"/>
          <w:i/>
          <w:iCs/>
          <w:sz w:val="20"/>
          <w:szCs w:val="20"/>
        </w:rPr>
        <w:t>Energies</w:t>
      </w:r>
      <w:r w:rsidRPr="00BB6CD2">
        <w:rPr>
          <w:rFonts w:ascii="Times New Roman" w:hAnsi="Times New Roman"/>
          <w:sz w:val="20"/>
          <w:szCs w:val="20"/>
        </w:rPr>
        <w:t>, 12(12): 2319.</w:t>
      </w:r>
    </w:p>
    <w:p w14:paraId="77B8DAEC"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Manshad, A. K., Rezaei, M., Moradi, S., Nowrouzi, I. and Mohammadi, A. H. (2017). Wettability alteration and interfacial tension (IFT) reduction in enhanced oil recovery (EOR) process by ionic liquid flooding. </w:t>
      </w:r>
      <w:r w:rsidRPr="00BB6CD2">
        <w:rPr>
          <w:rFonts w:ascii="Times New Roman" w:hAnsi="Times New Roman"/>
          <w:i/>
          <w:iCs/>
          <w:sz w:val="20"/>
          <w:szCs w:val="20"/>
        </w:rPr>
        <w:t>Journal of Molecular Liquids</w:t>
      </w:r>
      <w:r w:rsidRPr="00BB6CD2">
        <w:rPr>
          <w:rFonts w:ascii="Times New Roman" w:hAnsi="Times New Roman"/>
          <w:sz w:val="20"/>
          <w:szCs w:val="20"/>
        </w:rPr>
        <w:t>, 248: 153-162.</w:t>
      </w:r>
    </w:p>
    <w:p w14:paraId="09B39230"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Duan, M., Wang, X., Fang, S., Zhao, B., Li, C. and Xiong, Y. (2018). Treatment of Daqing oily sludge by thermochemical cleaning method.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554: 272-278.</w:t>
      </w:r>
    </w:p>
    <w:p w14:paraId="056808E8" w14:textId="3CB14FAF" w:rsidR="00B57B0E" w:rsidRP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Bahadori, A. (2018). Fundamentals of enhanced oil and gas recovery from conventional and unconventional reservoirs. Gulf Professional Publishing.</w:t>
      </w:r>
    </w:p>
    <w:p w14:paraId="032A5B44"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Saidy, A. R., Smernik, R. J., Baldock, J. A., Kaiser, K. and Sanderman, J. (2013). The sorption of organic carbon onto differing clay minerals in the presence and absence of hydrous iron oxide. </w:t>
      </w:r>
      <w:r w:rsidRPr="00BB6CD2">
        <w:rPr>
          <w:rFonts w:ascii="Times New Roman" w:hAnsi="Times New Roman"/>
          <w:i/>
          <w:iCs/>
          <w:sz w:val="20"/>
          <w:szCs w:val="20"/>
        </w:rPr>
        <w:t>Geoderma</w:t>
      </w:r>
      <w:r w:rsidRPr="00BB6CD2">
        <w:rPr>
          <w:rFonts w:ascii="Times New Roman" w:hAnsi="Times New Roman"/>
          <w:sz w:val="20"/>
          <w:szCs w:val="20"/>
        </w:rPr>
        <w:t>, 209: 15-21.</w:t>
      </w:r>
    </w:p>
    <w:p w14:paraId="0AFBEEE9"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Ferreira, T. M., Bernin, D. and Topgaard, D. (2013). NMR studies of nonionic surfactants. In </w:t>
      </w:r>
      <w:r w:rsidRPr="00BB6CD2">
        <w:rPr>
          <w:rFonts w:ascii="Times New Roman" w:hAnsi="Times New Roman"/>
          <w:i/>
          <w:iCs/>
          <w:sz w:val="20"/>
          <w:szCs w:val="20"/>
        </w:rPr>
        <w:t>Annual Reports on NMR Spectroscopy</w:t>
      </w:r>
      <w:r w:rsidRPr="00BB6CD2">
        <w:rPr>
          <w:rFonts w:ascii="Times New Roman" w:hAnsi="Times New Roman"/>
          <w:sz w:val="20"/>
          <w:szCs w:val="20"/>
        </w:rPr>
        <w:t>. Academic Press, 79: pp. 73-127.</w:t>
      </w:r>
    </w:p>
    <w:p w14:paraId="7E0924C1"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Tang, J., He, J., Xin, X., Hu, H. and Liu, T. (2018). Biosurfactants enhanced heavy metals removal from sludge in the electrokinetic treatment. </w:t>
      </w:r>
      <w:r w:rsidRPr="00BB6CD2">
        <w:rPr>
          <w:rFonts w:ascii="Times New Roman" w:hAnsi="Times New Roman"/>
          <w:i/>
          <w:iCs/>
          <w:sz w:val="20"/>
          <w:szCs w:val="20"/>
        </w:rPr>
        <w:t>Chemical Engineering Journal</w:t>
      </w:r>
      <w:r w:rsidRPr="00BB6CD2">
        <w:rPr>
          <w:rFonts w:ascii="Times New Roman" w:hAnsi="Times New Roman"/>
          <w:sz w:val="20"/>
          <w:szCs w:val="20"/>
        </w:rPr>
        <w:t>, 334: 2579-2592.</w:t>
      </w:r>
    </w:p>
    <w:p w14:paraId="3FD3F538"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Borghi, C. C., Fabbri, M., Fiorini, M., Mancini, M. and Ribani, P. L. (2011). Magnetic removal of surfactants from wastewater using micrometric iron oxide powders. </w:t>
      </w:r>
      <w:r w:rsidRPr="00BB6CD2">
        <w:rPr>
          <w:rFonts w:ascii="Times New Roman" w:hAnsi="Times New Roman"/>
          <w:i/>
          <w:iCs/>
          <w:sz w:val="20"/>
          <w:szCs w:val="20"/>
        </w:rPr>
        <w:t>Separation and Purification Technology</w:t>
      </w:r>
      <w:r w:rsidRPr="00BB6CD2">
        <w:rPr>
          <w:rFonts w:ascii="Times New Roman" w:hAnsi="Times New Roman"/>
          <w:sz w:val="20"/>
          <w:szCs w:val="20"/>
        </w:rPr>
        <w:t>, 83: 180-188.</w:t>
      </w:r>
    </w:p>
    <w:p w14:paraId="41732C4D"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Dehaghani, A. H. S. and Badizad, M. H. (2018). Effect of magnetic field treatment on interfacial tension of CTAB nano-emulsion: Developing a novel agent for enhanced oil recovery. </w:t>
      </w:r>
      <w:r w:rsidRPr="00BB6CD2">
        <w:rPr>
          <w:rFonts w:ascii="Times New Roman" w:hAnsi="Times New Roman"/>
          <w:i/>
          <w:iCs/>
          <w:sz w:val="20"/>
          <w:szCs w:val="20"/>
        </w:rPr>
        <w:t>Journal of Molecular Liquids</w:t>
      </w:r>
      <w:r w:rsidRPr="00BB6CD2">
        <w:rPr>
          <w:rFonts w:ascii="Times New Roman" w:hAnsi="Times New Roman"/>
          <w:sz w:val="20"/>
          <w:szCs w:val="20"/>
        </w:rPr>
        <w:t>, 261: 107-114.</w:t>
      </w:r>
    </w:p>
    <w:p w14:paraId="7A776055"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Para, G., Hamerska-Dudra, A., Wilk, K. A. and Warszyński, P. (2010). Surface activity of cationic surfactants, influence of molecular structure.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365(1-3): 215-221.</w:t>
      </w:r>
    </w:p>
    <w:p w14:paraId="50B79F54"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Gu, X., Zhang, F., Li, Y., Zhang, J., Chen, S., Qu, C. and Chen, G. (2018). Investigation of cationic surfactants as clean flow improvers for crude oil and a mechanism study. </w:t>
      </w:r>
      <w:r w:rsidRPr="00BB6CD2">
        <w:rPr>
          <w:rFonts w:ascii="Times New Roman" w:hAnsi="Times New Roman"/>
          <w:i/>
          <w:iCs/>
          <w:sz w:val="20"/>
          <w:szCs w:val="20"/>
        </w:rPr>
        <w:t>Journal of Petroleum Science and Engineering</w:t>
      </w:r>
      <w:r w:rsidRPr="00BB6CD2">
        <w:rPr>
          <w:rFonts w:ascii="Times New Roman" w:hAnsi="Times New Roman"/>
          <w:sz w:val="20"/>
          <w:szCs w:val="20"/>
        </w:rPr>
        <w:t>, 164: 87-90.</w:t>
      </w:r>
    </w:p>
    <w:p w14:paraId="2F683C7F"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Negin, C., Ali, S. and Xie, Q. (2017). Most common surfactants employed in chemical enhanced oil recovery. </w:t>
      </w:r>
      <w:r w:rsidRPr="00BB6CD2">
        <w:rPr>
          <w:rFonts w:ascii="Times New Roman" w:hAnsi="Times New Roman"/>
          <w:i/>
          <w:iCs/>
          <w:sz w:val="20"/>
          <w:szCs w:val="20"/>
        </w:rPr>
        <w:t>Petroleum</w:t>
      </w:r>
      <w:r w:rsidRPr="00BB6CD2">
        <w:rPr>
          <w:rFonts w:ascii="Times New Roman" w:hAnsi="Times New Roman"/>
          <w:sz w:val="20"/>
          <w:szCs w:val="20"/>
        </w:rPr>
        <w:t>, 3(2): 197-211.</w:t>
      </w:r>
    </w:p>
    <w:p w14:paraId="4CE5ABF4"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Urum, K., Pekdemir, T. and Gopur, M. (2003). Optimum conditions for washing of crude oil-contaminated soil with biosurfactant solutions. </w:t>
      </w:r>
      <w:r w:rsidRPr="00BB6CD2">
        <w:rPr>
          <w:rFonts w:ascii="Times New Roman" w:hAnsi="Times New Roman"/>
          <w:i/>
          <w:iCs/>
          <w:sz w:val="20"/>
          <w:szCs w:val="20"/>
        </w:rPr>
        <w:t>Process Safety and Environmental Protection</w:t>
      </w:r>
      <w:r w:rsidRPr="00BB6CD2">
        <w:rPr>
          <w:rFonts w:ascii="Times New Roman" w:hAnsi="Times New Roman"/>
          <w:sz w:val="20"/>
          <w:szCs w:val="20"/>
        </w:rPr>
        <w:t>, 81(3): 203-209.</w:t>
      </w:r>
    </w:p>
    <w:p w14:paraId="220284FC"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Khalladi, R., Benhabiles, O., Bentahar, F. and Moulai-Mostefa, N. (2009). Surfactant remediation of diesel fuel polluted soil. </w:t>
      </w:r>
      <w:r w:rsidRPr="00BB6CD2">
        <w:rPr>
          <w:rFonts w:ascii="Times New Roman" w:hAnsi="Times New Roman"/>
          <w:i/>
          <w:iCs/>
          <w:sz w:val="20"/>
          <w:szCs w:val="20"/>
        </w:rPr>
        <w:t>Journal of Hazardous Materials</w:t>
      </w:r>
      <w:r w:rsidRPr="00BB6CD2">
        <w:rPr>
          <w:rFonts w:ascii="Times New Roman" w:hAnsi="Times New Roman"/>
          <w:sz w:val="20"/>
          <w:szCs w:val="20"/>
        </w:rPr>
        <w:t>, 164(2-3): 1179-1184.</w:t>
      </w:r>
    </w:p>
    <w:p w14:paraId="55B48D1D"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lastRenderedPageBreak/>
        <w:t>Bandala, E. R., Aguilar, F. and Torres, L. G. (2010). Surfactant-enhanced soil washing for the remediation of sites contaminated with pesticides. </w:t>
      </w:r>
      <w:r w:rsidRPr="00BB6CD2">
        <w:rPr>
          <w:rFonts w:ascii="Times New Roman" w:hAnsi="Times New Roman"/>
          <w:i/>
          <w:iCs/>
          <w:sz w:val="20"/>
          <w:szCs w:val="20"/>
        </w:rPr>
        <w:t>Land Contamination &amp; Reclamation</w:t>
      </w:r>
      <w:r w:rsidRPr="00BB6CD2">
        <w:rPr>
          <w:rFonts w:ascii="Times New Roman" w:hAnsi="Times New Roman"/>
          <w:sz w:val="20"/>
          <w:szCs w:val="20"/>
        </w:rPr>
        <w:t>, 18(2): 2.</w:t>
      </w:r>
    </w:p>
    <w:p w14:paraId="0A967C03"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Long, A., Zhang, H. and Lei, Y. (2013). Surfactant flushing remediation of toluene contaminated soil: Optimization with response surface methodology and surfactant recovery by selective oxidation with sulfate radicals. </w:t>
      </w:r>
      <w:r w:rsidRPr="00BB6CD2">
        <w:rPr>
          <w:rFonts w:ascii="Times New Roman" w:hAnsi="Times New Roman"/>
          <w:i/>
          <w:iCs/>
          <w:sz w:val="20"/>
          <w:szCs w:val="20"/>
        </w:rPr>
        <w:t>Separation and Purification Technology</w:t>
      </w:r>
      <w:r w:rsidRPr="00BB6CD2">
        <w:rPr>
          <w:rFonts w:ascii="Times New Roman" w:hAnsi="Times New Roman"/>
          <w:sz w:val="20"/>
          <w:szCs w:val="20"/>
        </w:rPr>
        <w:t>, 118: 612-619.</w:t>
      </w:r>
    </w:p>
    <w:p w14:paraId="4A2036D6"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Huang, Z., Wang, D., Befkadu, A. A., Zhou, J., Srivastava, I., Pan, D. and Chen, Q. (2020). Enhancement of auxiliary agent for washing efficiency of diesel contaminated soil with surfactants. </w:t>
      </w:r>
      <w:r w:rsidRPr="00BB6CD2">
        <w:rPr>
          <w:rFonts w:ascii="Times New Roman" w:hAnsi="Times New Roman"/>
          <w:i/>
          <w:iCs/>
          <w:sz w:val="20"/>
          <w:szCs w:val="20"/>
        </w:rPr>
        <w:t>Chemosphere</w:t>
      </w:r>
      <w:r w:rsidRPr="00BB6CD2">
        <w:rPr>
          <w:rFonts w:ascii="Times New Roman" w:hAnsi="Times New Roman"/>
          <w:sz w:val="20"/>
          <w:szCs w:val="20"/>
        </w:rPr>
        <w:t>, 252: 126494.</w:t>
      </w:r>
    </w:p>
    <w:p w14:paraId="50E48EFA"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Zheng, C., Wang, M., Wang, Y. and Huang, Z. (2012). Optimization of biosurfactant-mediated oil extraction from oil sludge. </w:t>
      </w:r>
      <w:r w:rsidRPr="00BB6CD2">
        <w:rPr>
          <w:rFonts w:ascii="Times New Roman" w:hAnsi="Times New Roman"/>
          <w:i/>
          <w:iCs/>
          <w:sz w:val="20"/>
          <w:szCs w:val="20"/>
        </w:rPr>
        <w:t>Bioresource Technology</w:t>
      </w:r>
      <w:r w:rsidRPr="00BB6CD2">
        <w:rPr>
          <w:rFonts w:ascii="Times New Roman" w:hAnsi="Times New Roman"/>
          <w:sz w:val="20"/>
          <w:szCs w:val="20"/>
        </w:rPr>
        <w:t>, 110: 338-342.</w:t>
      </w:r>
    </w:p>
    <w:p w14:paraId="6B4DE17D"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Kobayashi, T., Kaminaga, H., Navarro, R. R. and Iimura, Y. (2012). Application of aqueous saponin on the remediation of polycyclic aromatic hydrocarbons-contaminated soil. </w:t>
      </w:r>
      <w:r w:rsidRPr="00BB6CD2">
        <w:rPr>
          <w:rFonts w:ascii="Times New Roman" w:hAnsi="Times New Roman"/>
          <w:i/>
          <w:iCs/>
          <w:sz w:val="20"/>
          <w:szCs w:val="20"/>
        </w:rPr>
        <w:t>Journal of Environmental Science and Health, Part A</w:t>
      </w:r>
      <w:r w:rsidRPr="00BB6CD2">
        <w:rPr>
          <w:rFonts w:ascii="Times New Roman" w:hAnsi="Times New Roman"/>
          <w:sz w:val="20"/>
          <w:szCs w:val="20"/>
        </w:rPr>
        <w:t>, 47(8), 1138-1145.</w:t>
      </w:r>
    </w:p>
    <w:p w14:paraId="25D05BFE"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Zhou, W., Wang, X., Chen, C. and Zhu, L. (2013). Enhanced soil washing of phenanthrene by a plant-derived natural biosurfactant, Sapindus saponin.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425: 122-128.</w:t>
      </w:r>
    </w:p>
    <w:p w14:paraId="4565E22F"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Li, G., Guo, S. and Hu, J. (2016). The influence of clay minerals and surfactants on hydrocarbon removal during the washing of petroleum-contaminated soil. </w:t>
      </w:r>
      <w:r w:rsidRPr="00BB6CD2">
        <w:rPr>
          <w:rFonts w:ascii="Times New Roman" w:hAnsi="Times New Roman"/>
          <w:i/>
          <w:iCs/>
          <w:sz w:val="20"/>
          <w:szCs w:val="20"/>
        </w:rPr>
        <w:t>Chemical Engineering Journal</w:t>
      </w:r>
      <w:r w:rsidRPr="00BB6CD2">
        <w:rPr>
          <w:rFonts w:ascii="Times New Roman" w:hAnsi="Times New Roman"/>
          <w:sz w:val="20"/>
          <w:szCs w:val="20"/>
        </w:rPr>
        <w:t>, 286: 191-197.</w:t>
      </w:r>
    </w:p>
    <w:p w14:paraId="70A306C7" w14:textId="77777777" w:rsidR="00B57B0E" w:rsidRDefault="00B57B0E" w:rsidP="00B57B0E">
      <w:pPr>
        <w:pStyle w:val="ListParagraph"/>
        <w:numPr>
          <w:ilvl w:val="0"/>
          <w:numId w:val="7"/>
        </w:numPr>
        <w:spacing w:after="0"/>
        <w:ind w:left="360"/>
        <w:jc w:val="both"/>
        <w:rPr>
          <w:rFonts w:ascii="Times New Roman" w:hAnsi="Times New Roman"/>
          <w:sz w:val="20"/>
          <w:szCs w:val="20"/>
        </w:rPr>
        <w:sectPr w:rsidR="00B57B0E" w:rsidSect="00B57B0E">
          <w:headerReference w:type="even" r:id="rId10"/>
          <w:headerReference w:type="default" r:id="rId11"/>
          <w:footerReference w:type="even" r:id="rId12"/>
          <w:footerReference w:type="default" r:id="rId13"/>
          <w:headerReference w:type="first" r:id="rId14"/>
          <w:type w:val="continuous"/>
          <w:pgSz w:w="12240" w:h="15840" w:code="1"/>
          <w:pgMar w:top="1800" w:right="1469" w:bottom="1699" w:left="1440" w:header="706" w:footer="706" w:gutter="0"/>
          <w:pgNumType w:start="1"/>
          <w:cols w:space="403"/>
          <w:docGrid w:linePitch="360"/>
        </w:sectPr>
      </w:pPr>
      <w:r w:rsidRPr="00BB6CD2">
        <w:rPr>
          <w:rFonts w:ascii="Times New Roman" w:hAnsi="Times New Roman"/>
          <w:sz w:val="20"/>
          <w:szCs w:val="20"/>
        </w:rPr>
        <w:t>Trisunaryanti, W., Larasati, S., Bahri, S., lailun Ni’mah, Y., Efiyanti, L., Amri, K. and Sumbogo, S. D. (2020). Performance comparison of Ni-Fe loaded on NH</w:t>
      </w:r>
      <w:r w:rsidRPr="00BB6CD2">
        <w:rPr>
          <w:rFonts w:ascii="Times New Roman" w:hAnsi="Times New Roman"/>
          <w:sz w:val="20"/>
          <w:szCs w:val="20"/>
          <w:vertAlign w:val="subscript"/>
        </w:rPr>
        <w:t>2</w:t>
      </w:r>
      <w:r w:rsidRPr="00BB6CD2">
        <w:rPr>
          <w:rFonts w:ascii="Times New Roman" w:hAnsi="Times New Roman"/>
          <w:sz w:val="20"/>
          <w:szCs w:val="20"/>
        </w:rPr>
        <w:t>-functionalized mesoporous silica and beach sand in the hydrotreatment of waste palm cooking oil. </w:t>
      </w:r>
      <w:r w:rsidRPr="00BB6CD2">
        <w:rPr>
          <w:rFonts w:ascii="Times New Roman" w:hAnsi="Times New Roman"/>
          <w:i/>
          <w:iCs/>
          <w:sz w:val="20"/>
          <w:szCs w:val="20"/>
        </w:rPr>
        <w:t>Journal of Environmental Chemical Engineering</w:t>
      </w:r>
      <w:r w:rsidRPr="00BB6CD2">
        <w:rPr>
          <w:rFonts w:ascii="Times New Roman" w:hAnsi="Times New Roman"/>
          <w:sz w:val="20"/>
          <w:szCs w:val="20"/>
        </w:rPr>
        <w:t>, 8(6): 104477.</w:t>
      </w:r>
    </w:p>
    <w:p w14:paraId="63F02179" w14:textId="50200645" w:rsidR="00B57B0E" w:rsidRPr="00B57B0E" w:rsidRDefault="00B57B0E" w:rsidP="00B57B0E">
      <w:pPr>
        <w:pStyle w:val="ListParagraph"/>
        <w:numPr>
          <w:ilvl w:val="0"/>
          <w:numId w:val="7"/>
        </w:numPr>
        <w:spacing w:after="0"/>
        <w:ind w:left="360"/>
        <w:jc w:val="both"/>
        <w:rPr>
          <w:rFonts w:ascii="Times New Roman" w:hAnsi="Times New Roman"/>
          <w:sz w:val="20"/>
          <w:szCs w:val="20"/>
        </w:rPr>
        <w:sectPr w:rsidR="00B57B0E" w:rsidRPr="00B57B0E" w:rsidSect="00385369">
          <w:type w:val="continuous"/>
          <w:pgSz w:w="12240" w:h="15840" w:code="1"/>
          <w:pgMar w:top="1800" w:right="1469" w:bottom="1699" w:left="1440" w:header="706" w:footer="706" w:gutter="0"/>
          <w:pgNumType w:start="1"/>
          <w:cols w:space="403"/>
          <w:docGrid w:linePitch="360"/>
        </w:sectPr>
      </w:pPr>
    </w:p>
    <w:p w14:paraId="3947FB1A" w14:textId="67B34878" w:rsidR="00B57B0E" w:rsidRPr="00AB7BEE" w:rsidRDefault="00B57B0E" w:rsidP="00B57B0E">
      <w:pPr>
        <w:pStyle w:val="ListParagraph"/>
        <w:numPr>
          <w:ilvl w:val="0"/>
          <w:numId w:val="7"/>
        </w:numPr>
        <w:spacing w:after="0"/>
        <w:ind w:left="360"/>
        <w:jc w:val="both"/>
        <w:rPr>
          <w:rFonts w:ascii="Times New Roman" w:hAnsi="Times New Roman"/>
          <w:sz w:val="20"/>
          <w:szCs w:val="20"/>
        </w:rPr>
      </w:pPr>
      <w:r w:rsidRPr="00AB7BEE">
        <w:rPr>
          <w:rFonts w:ascii="Times New Roman" w:hAnsi="Times New Roman"/>
          <w:sz w:val="20"/>
          <w:szCs w:val="20"/>
        </w:rPr>
        <w:t>Zhu, Z., Zhang, B., Chen, B., Cai, Q. and Lin, W. (2016). Biosurfactant production by marine-originated bacteria Bacillus Subtilis and its application for crude oil removal. </w:t>
      </w:r>
      <w:r w:rsidRPr="00AB7BEE">
        <w:rPr>
          <w:rFonts w:ascii="Times New Roman" w:hAnsi="Times New Roman"/>
          <w:i/>
          <w:iCs/>
          <w:sz w:val="20"/>
          <w:szCs w:val="20"/>
        </w:rPr>
        <w:t>Water, Air, &amp; Soil Pollution</w:t>
      </w:r>
      <w:r w:rsidRPr="00AB7BEE">
        <w:rPr>
          <w:rFonts w:ascii="Times New Roman" w:hAnsi="Times New Roman"/>
          <w:sz w:val="20"/>
          <w:szCs w:val="20"/>
        </w:rPr>
        <w:t>, 227(9): 328.</w:t>
      </w:r>
    </w:p>
    <w:p w14:paraId="1978E333"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Nandwani, S. K., Malek, N. I., Lad, V. N., Chakraborty, M. and Gupta, S. (2017). Study on interfacial properties of Imidazolium ionic liquids as surfactant and their application in enhanced oil recovery. </w:t>
      </w:r>
      <w:r w:rsidRPr="00BB6CD2">
        <w:rPr>
          <w:rFonts w:ascii="Times New Roman" w:hAnsi="Times New Roman"/>
          <w:i/>
          <w:iCs/>
          <w:sz w:val="20"/>
          <w:szCs w:val="20"/>
        </w:rPr>
        <w:t>Colloids and Surfaces A: Physicochemical and Engineering Aspects</w:t>
      </w:r>
      <w:r w:rsidRPr="00BB6CD2">
        <w:rPr>
          <w:rFonts w:ascii="Times New Roman" w:hAnsi="Times New Roman"/>
          <w:sz w:val="20"/>
          <w:szCs w:val="20"/>
        </w:rPr>
        <w:t>, 516: 383-393.</w:t>
      </w:r>
    </w:p>
    <w:p w14:paraId="4DB0CB55"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Saad, M. A., Kamil, M., Abdurahman, N. H., Yunus, R. M. and Awad, O. I. (2019). An overview of recent advances in state-of-the-art techniques in the demulsification of crude oil emulsions. </w:t>
      </w:r>
      <w:r w:rsidRPr="00BB6CD2">
        <w:rPr>
          <w:rFonts w:ascii="Times New Roman" w:hAnsi="Times New Roman"/>
          <w:i/>
          <w:iCs/>
          <w:sz w:val="20"/>
          <w:szCs w:val="20"/>
        </w:rPr>
        <w:t>Processes</w:t>
      </w:r>
      <w:r w:rsidRPr="00BB6CD2">
        <w:rPr>
          <w:rFonts w:ascii="Times New Roman" w:hAnsi="Times New Roman"/>
          <w:sz w:val="20"/>
          <w:szCs w:val="20"/>
        </w:rPr>
        <w:t>, 7(7): 470.</w:t>
      </w:r>
    </w:p>
    <w:p w14:paraId="12755160"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Yurdem, H., Demir, V. and Degirmencioglu, A. (2010). Development of a mathematical model to predict clean water head losses in hydrocyclone filters in drip irrigation systems using dimensional analysis. </w:t>
      </w:r>
      <w:r w:rsidRPr="00BB6CD2">
        <w:rPr>
          <w:rFonts w:ascii="Times New Roman" w:hAnsi="Times New Roman"/>
          <w:i/>
          <w:iCs/>
          <w:sz w:val="20"/>
          <w:szCs w:val="20"/>
        </w:rPr>
        <w:t>Biosystems Engineering</w:t>
      </w:r>
      <w:r w:rsidRPr="00BB6CD2">
        <w:rPr>
          <w:rFonts w:ascii="Times New Roman" w:hAnsi="Times New Roman"/>
          <w:sz w:val="20"/>
          <w:szCs w:val="20"/>
        </w:rPr>
        <w:t>, 105(4): 495-506.</w:t>
      </w:r>
    </w:p>
    <w:p w14:paraId="39BF8D04"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Durdevic, P., Pedersen, S., Bram, M., Hansen, D., Hassan, A. and Yang, Z. (2015). Control oriented modeling of a de-oiling hydrocyclone. </w:t>
      </w:r>
      <w:r w:rsidRPr="00BB6CD2">
        <w:rPr>
          <w:rFonts w:ascii="Times New Roman" w:hAnsi="Times New Roman"/>
          <w:i/>
          <w:iCs/>
          <w:sz w:val="20"/>
          <w:szCs w:val="20"/>
        </w:rPr>
        <w:t>IFAC-PapersOnLine</w:t>
      </w:r>
      <w:r w:rsidRPr="00BB6CD2">
        <w:rPr>
          <w:rFonts w:ascii="Times New Roman" w:hAnsi="Times New Roman"/>
          <w:sz w:val="20"/>
          <w:szCs w:val="20"/>
        </w:rPr>
        <w:t>, 48(28): 291-296.</w:t>
      </w:r>
    </w:p>
    <w:p w14:paraId="0491B4B0"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Shi, Y., Zhu, H., Zhang, J., Yin, B., Xu, R. and Zhao, J. (2017). Investigation of condition parameters in each stage of a three-stage helico-axial multiphase pump via numerical simulation</w:t>
      </w:r>
      <w:r w:rsidRPr="00BB6CD2">
        <w:rPr>
          <w:rFonts w:ascii="Times New Roman" w:hAnsi="Times New Roman"/>
          <w:i/>
          <w:iCs/>
          <w:sz w:val="20"/>
          <w:szCs w:val="20"/>
        </w:rPr>
        <w:t>. In the 27</w:t>
      </w:r>
      <w:r w:rsidRPr="00BB6CD2">
        <w:rPr>
          <w:rFonts w:ascii="Times New Roman" w:hAnsi="Times New Roman"/>
          <w:i/>
          <w:iCs/>
          <w:sz w:val="20"/>
          <w:szCs w:val="20"/>
          <w:vertAlign w:val="superscript"/>
        </w:rPr>
        <w:t>th</w:t>
      </w:r>
      <w:r w:rsidRPr="00BB6CD2">
        <w:rPr>
          <w:rFonts w:ascii="Times New Roman" w:hAnsi="Times New Roman"/>
          <w:i/>
          <w:iCs/>
          <w:sz w:val="20"/>
          <w:szCs w:val="20"/>
        </w:rPr>
        <w:t xml:space="preserve">  International Ocean and Polar Engineering Conference.</w:t>
      </w:r>
      <w:r w:rsidRPr="00BB6CD2">
        <w:rPr>
          <w:rFonts w:ascii="Times New Roman" w:hAnsi="Times New Roman"/>
          <w:sz w:val="20"/>
          <w:szCs w:val="20"/>
        </w:rPr>
        <w:t xml:space="preserve"> International Society of Offshore and Polar Engineers.</w:t>
      </w:r>
    </w:p>
    <w:p w14:paraId="64CD7C6E"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ASTM E11 (2013). Standard specification for woven wire test sieve cloth and test sieves. West Conshohocken: ASTM</w:t>
      </w:r>
    </w:p>
    <w:p w14:paraId="3A2B8684"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Arpornpong, N., Padungpol, R., Khondee, N., Tongcumpou, C., Soonglerdsongpha, S., Suttiponparnit, K. and Luepromchai, E. (2020). Formulation of bio-based washing agent and its application for removal of petroleum hydrocarbons from drill cuttings before bioremediation. </w:t>
      </w:r>
      <w:r w:rsidRPr="00BB6CD2">
        <w:rPr>
          <w:rFonts w:ascii="Times New Roman" w:hAnsi="Times New Roman"/>
          <w:i/>
          <w:iCs/>
          <w:sz w:val="20"/>
          <w:szCs w:val="20"/>
        </w:rPr>
        <w:t>Frontiers in Bioengineering and Biotechnology</w:t>
      </w:r>
      <w:r w:rsidRPr="00BB6CD2">
        <w:rPr>
          <w:rFonts w:ascii="Times New Roman" w:hAnsi="Times New Roman"/>
          <w:sz w:val="20"/>
          <w:szCs w:val="20"/>
        </w:rPr>
        <w:t>, 8: 961.</w:t>
      </w:r>
    </w:p>
    <w:p w14:paraId="32D447C7" w14:textId="77777777" w:rsidR="00B57B0E" w:rsidRDefault="00B57B0E" w:rsidP="00B57B0E">
      <w:pPr>
        <w:pStyle w:val="ListParagraph"/>
        <w:numPr>
          <w:ilvl w:val="0"/>
          <w:numId w:val="7"/>
        </w:numPr>
        <w:spacing w:after="0"/>
        <w:ind w:left="360"/>
        <w:jc w:val="both"/>
        <w:rPr>
          <w:rFonts w:ascii="Times New Roman" w:hAnsi="Times New Roman"/>
          <w:sz w:val="20"/>
          <w:szCs w:val="20"/>
        </w:rPr>
      </w:pPr>
      <w:r w:rsidRPr="00BB6CD2">
        <w:rPr>
          <w:rFonts w:ascii="Times New Roman" w:hAnsi="Times New Roman"/>
          <w:sz w:val="20"/>
          <w:szCs w:val="20"/>
        </w:rPr>
        <w:t>Falciglia, P. P., Giustra, M. G. and Vagliasindi, F. G. A. (2011). Low-temperature thermal desorption of diesel polluted soil: Influence of temperature and soil texture on contaminant removal kinetics. </w:t>
      </w:r>
      <w:r w:rsidRPr="00BB6CD2">
        <w:rPr>
          <w:rFonts w:ascii="Times New Roman" w:hAnsi="Times New Roman"/>
          <w:i/>
          <w:iCs/>
          <w:sz w:val="20"/>
          <w:szCs w:val="20"/>
        </w:rPr>
        <w:t>Journal of Hazardous Materials</w:t>
      </w:r>
      <w:r w:rsidRPr="00BB6CD2">
        <w:rPr>
          <w:rFonts w:ascii="Times New Roman" w:hAnsi="Times New Roman"/>
          <w:sz w:val="20"/>
          <w:szCs w:val="20"/>
        </w:rPr>
        <w:t>, 185(1): 392-400.</w:t>
      </w:r>
    </w:p>
    <w:p w14:paraId="299D3E74" w14:textId="7CF14CE6" w:rsidR="00B57B0E" w:rsidRPr="00B57B0E" w:rsidRDefault="00B57B0E" w:rsidP="00B57B0E">
      <w:pPr>
        <w:pStyle w:val="ListParagraph"/>
        <w:numPr>
          <w:ilvl w:val="0"/>
          <w:numId w:val="7"/>
        </w:numPr>
        <w:spacing w:after="0"/>
        <w:ind w:left="360"/>
        <w:jc w:val="both"/>
        <w:rPr>
          <w:rFonts w:ascii="Times New Roman" w:hAnsi="Times New Roman"/>
          <w:sz w:val="20"/>
          <w:szCs w:val="20"/>
        </w:rPr>
        <w:sectPr w:rsidR="00B57B0E" w:rsidRPr="00B57B0E" w:rsidSect="00385369">
          <w:type w:val="continuous"/>
          <w:pgSz w:w="12240" w:h="15840" w:code="1"/>
          <w:pgMar w:top="1800" w:right="1469" w:bottom="1699" w:left="1440" w:header="706" w:footer="706" w:gutter="0"/>
          <w:pgNumType w:start="1"/>
          <w:cols w:space="403"/>
          <w:docGrid w:linePitch="360"/>
        </w:sectPr>
      </w:pPr>
      <w:r w:rsidRPr="00BB6CD2">
        <w:rPr>
          <w:rFonts w:ascii="Times New Roman" w:hAnsi="Times New Roman"/>
          <w:sz w:val="20"/>
          <w:szCs w:val="20"/>
        </w:rPr>
        <w:t>Villalobos, M., Avila-Forcada, A. P. and Gutierrez-Ruiz, M. E. (2008). An improved gravimetric method to determine total petroleum hydrocarbons in contaminated soils. </w:t>
      </w:r>
      <w:r w:rsidRPr="00BB6CD2">
        <w:rPr>
          <w:rFonts w:ascii="Times New Roman" w:hAnsi="Times New Roman"/>
          <w:i/>
          <w:iCs/>
          <w:sz w:val="20"/>
          <w:szCs w:val="20"/>
        </w:rPr>
        <w:t>Water, Air, and Soil Pollution</w:t>
      </w:r>
      <w:r w:rsidRPr="00BB6CD2">
        <w:rPr>
          <w:rFonts w:ascii="Times New Roman" w:hAnsi="Times New Roman"/>
          <w:sz w:val="20"/>
          <w:szCs w:val="20"/>
        </w:rPr>
        <w:t>, 194(1-4): 151-161</w:t>
      </w:r>
    </w:p>
    <w:p w14:paraId="7DE6ED8C" w14:textId="77777777" w:rsidR="00385369" w:rsidRPr="00385369" w:rsidRDefault="00385369" w:rsidP="00385369">
      <w:pPr>
        <w:spacing w:after="0"/>
        <w:jc w:val="both"/>
        <w:rPr>
          <w:rFonts w:ascii="Times New Roman" w:hAnsi="Times New Roman"/>
          <w:b/>
          <w:sz w:val="20"/>
          <w:szCs w:val="20"/>
          <w:lang w:val="ms-MY"/>
        </w:rPr>
      </w:pPr>
    </w:p>
    <w:sectPr w:rsidR="00385369" w:rsidRPr="00385369" w:rsidSect="006E79D9">
      <w:headerReference w:type="even" r:id="rId15"/>
      <w:headerReference w:type="default" r:id="rId16"/>
      <w:footerReference w:type="even" r:id="rId17"/>
      <w:headerReference w:type="first" r:id="rId18"/>
      <w:pgSz w:w="12240" w:h="15840"/>
      <w:pgMar w:top="1800" w:right="1469" w:bottom="169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C68521" w14:textId="77777777" w:rsidR="009A4A79" w:rsidRDefault="00E67FF6">
      <w:pPr>
        <w:spacing w:after="0" w:line="240" w:lineRule="auto"/>
      </w:pPr>
      <w:r>
        <w:separator/>
      </w:r>
    </w:p>
  </w:endnote>
  <w:endnote w:type="continuationSeparator" w:id="0">
    <w:p w14:paraId="3C4C24FA" w14:textId="77777777" w:rsidR="009A4A79" w:rsidRDefault="00E6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9C4C3" w14:textId="77777777" w:rsidR="00385369" w:rsidRDefault="00385369">
    <w:pPr>
      <w:pStyle w:val="Footer"/>
    </w:pPr>
    <w:r w:rsidRPr="00CE203C">
      <w:rPr>
        <w:rFonts w:ascii="Times New Roman" w:hAnsi="Times New Roman"/>
        <w:lang w:val="en-US"/>
      </w:rPr>
      <w:t>1</w:t>
    </w:r>
    <w:r>
      <w:rPr>
        <w:rFonts w:ascii="Times New Roman" w:hAnsi="Times New Roman"/>
        <w:lang w:val="en-US"/>
      </w:rPr>
      <w:t>068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0D138" w14:textId="7B91A84E" w:rsidR="00385369" w:rsidRPr="007D4BAB" w:rsidRDefault="00385369" w:rsidP="007D4BA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32EBA" w14:textId="77777777" w:rsidR="00B57B0E" w:rsidRDefault="00B57B0E">
    <w:pPr>
      <w:pStyle w:val="Footer"/>
    </w:pPr>
    <w:r>
      <w:rPr>
        <w:rFonts w:ascii="Times New Roman" w:hAnsi="Times New Roman"/>
        <w:lang w:val="en-US"/>
      </w:rPr>
      <w:t>212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78271" w14:textId="77777777" w:rsidR="00B57B0E" w:rsidRPr="007D4BAB" w:rsidRDefault="00B57B0E" w:rsidP="007D4BAB">
    <w:pPr>
      <w:pStyle w:val="Footer"/>
      <w:jc w:val="right"/>
    </w:pPr>
    <w:r w:rsidRPr="002F1D31">
      <w:rPr>
        <w:lang w:val="en-US"/>
      </w:rPr>
      <w:ptab w:relativeTo="margin" w:alignment="right" w:leader="none"/>
    </w:r>
    <w:r>
      <w:rPr>
        <w:rFonts w:ascii="Times New Roman" w:hAnsi="Times New Roman"/>
        <w:lang w:val="en-US"/>
      </w:rPr>
      <w:t>213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6D584" w14:textId="77777777" w:rsidR="008F627B" w:rsidRDefault="006E79D9">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Pr>
        <w:rFonts w:ascii="Times New Roman" w:hAnsi="Times New Roman"/>
        <w:lang w:val="en-US"/>
      </w:rPr>
      <w:t>328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BAFC0E" w14:textId="77777777" w:rsidR="009A4A79" w:rsidRDefault="00E67FF6">
      <w:pPr>
        <w:spacing w:after="0" w:line="240" w:lineRule="auto"/>
      </w:pPr>
      <w:r>
        <w:separator/>
      </w:r>
    </w:p>
  </w:footnote>
  <w:footnote w:type="continuationSeparator" w:id="0">
    <w:p w14:paraId="3FC7D75F" w14:textId="77777777" w:rsidR="009A4A79" w:rsidRDefault="00E67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8F5C4" w14:textId="77777777" w:rsidR="00385369" w:rsidRPr="00CB635A" w:rsidRDefault="00385369"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76CFF5" w14:textId="77777777" w:rsidR="00B57B0E" w:rsidRPr="00F146E7" w:rsidRDefault="00B57B0E" w:rsidP="00A702D0">
    <w:pPr>
      <w:spacing w:after="0"/>
      <w:ind w:left="1260" w:hanging="1260"/>
      <w:outlineLvl w:val="0"/>
      <w:rPr>
        <w:rFonts w:ascii="Times New Roman" w:hAnsi="Times New Roman"/>
        <w:sz w:val="20"/>
        <w:szCs w:val="20"/>
      </w:rPr>
    </w:pPr>
    <w:r>
      <w:rPr>
        <w:rFonts w:ascii="Times New Roman" w:hAnsi="Times New Roman"/>
        <w:sz w:val="20"/>
        <w:szCs w:val="20"/>
      </w:rPr>
      <w:t>Akhmal et al</w:t>
    </w:r>
    <w:r w:rsidRPr="00F146E7">
      <w:rPr>
        <w:rFonts w:ascii="Times New Roman" w:hAnsi="Times New Roman"/>
        <w:sz w:val="20"/>
        <w:szCs w:val="20"/>
      </w:rPr>
      <w:t xml:space="preserve">:   </w:t>
    </w:r>
    <w:r>
      <w:rPr>
        <w:rFonts w:ascii="Times New Roman" w:hAnsi="Times New Roman"/>
        <w:sz w:val="20"/>
        <w:szCs w:val="20"/>
      </w:rPr>
      <w:tab/>
    </w:r>
    <w:r w:rsidRPr="00F146E7">
      <w:rPr>
        <w:rFonts w:ascii="Times New Roman" w:hAnsi="Times New Roman"/>
        <w:sz w:val="20"/>
        <w:szCs w:val="20"/>
      </w:rPr>
      <w:t>OILY SAND CLEANING OPTIMIZATION BY SURFACTANTS INTERFACIAL TENSION SCREENING AND HYDROCYCLONE SEPARATION</w:t>
    </w:r>
  </w:p>
  <w:p w14:paraId="1A14DCDF" w14:textId="77777777" w:rsidR="00B57B0E" w:rsidRDefault="00B57B0E" w:rsidP="00A702D0">
    <w:pPr>
      <w:pStyle w:val="Header"/>
      <w:tabs>
        <w:tab w:val="clear" w:pos="4680"/>
        <w:tab w:val="clear" w:pos="9360"/>
        <w:tab w:val="left" w:pos="1644"/>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EF0F3" w14:textId="77777777" w:rsidR="00B57B0E" w:rsidRDefault="00B57B0E" w:rsidP="00A702D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203 - 214</w:t>
    </w:r>
  </w:p>
  <w:p w14:paraId="6A2E728A" w14:textId="77777777" w:rsidR="00B57B0E" w:rsidRDefault="00B57B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6FBEE" w14:textId="77777777" w:rsidR="00B57B0E" w:rsidRDefault="00B57B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9C9EF" w14:textId="77777777" w:rsidR="00487F62" w:rsidRDefault="006E79D9"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320 - 329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FDE29F" w14:textId="77777777" w:rsidR="00487F62" w:rsidRDefault="00851B4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19E45" w14:textId="77777777" w:rsidR="00487F62" w:rsidRDefault="00851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87083B"/>
    <w:multiLevelType w:val="hybridMultilevel"/>
    <w:tmpl w:val="C268CCA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2" w15:restartNumberingAfterBreak="0">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9A05FBC"/>
    <w:multiLevelType w:val="hybridMultilevel"/>
    <w:tmpl w:val="FDBE229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795E599D"/>
    <w:multiLevelType w:val="hybridMultilevel"/>
    <w:tmpl w:val="245A078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6"/>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E3"/>
    <w:rsid w:val="00095557"/>
    <w:rsid w:val="001573E3"/>
    <w:rsid w:val="00226372"/>
    <w:rsid w:val="002B425B"/>
    <w:rsid w:val="002F626B"/>
    <w:rsid w:val="00385369"/>
    <w:rsid w:val="003A1F80"/>
    <w:rsid w:val="0044292C"/>
    <w:rsid w:val="00460C95"/>
    <w:rsid w:val="00473CD4"/>
    <w:rsid w:val="00487993"/>
    <w:rsid w:val="005644C8"/>
    <w:rsid w:val="005F401D"/>
    <w:rsid w:val="006149E4"/>
    <w:rsid w:val="006E79D9"/>
    <w:rsid w:val="007761C2"/>
    <w:rsid w:val="007D0E7F"/>
    <w:rsid w:val="007F7EB3"/>
    <w:rsid w:val="00832F59"/>
    <w:rsid w:val="00834CDE"/>
    <w:rsid w:val="00851B44"/>
    <w:rsid w:val="00863F22"/>
    <w:rsid w:val="00900BAC"/>
    <w:rsid w:val="00975E1A"/>
    <w:rsid w:val="009A4A79"/>
    <w:rsid w:val="009A5A4D"/>
    <w:rsid w:val="00A23F0F"/>
    <w:rsid w:val="00AA706B"/>
    <w:rsid w:val="00AB4AE6"/>
    <w:rsid w:val="00AB5AEF"/>
    <w:rsid w:val="00AC72D0"/>
    <w:rsid w:val="00AD4549"/>
    <w:rsid w:val="00B40E61"/>
    <w:rsid w:val="00B57B0E"/>
    <w:rsid w:val="00B9022C"/>
    <w:rsid w:val="00BE5F5F"/>
    <w:rsid w:val="00C71438"/>
    <w:rsid w:val="00C72F3E"/>
    <w:rsid w:val="00C73A4A"/>
    <w:rsid w:val="00CE6DF3"/>
    <w:rsid w:val="00D04BC8"/>
    <w:rsid w:val="00D0718B"/>
    <w:rsid w:val="00D40B1F"/>
    <w:rsid w:val="00D414B9"/>
    <w:rsid w:val="00DE20A8"/>
    <w:rsid w:val="00E67FF6"/>
    <w:rsid w:val="00EA6DE5"/>
    <w:rsid w:val="00EC5D90"/>
    <w:rsid w:val="00FA1675"/>
    <w:rsid w:val="00FC0E69"/>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76E7EFD"/>
  <w15:docId w15:val="{46CB7B12-DDB7-4680-8437-01E10319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BalloonText">
    <w:name w:val="Balloon Text"/>
    <w:basedOn w:val="Normal"/>
    <w:link w:val="BalloonTextChar"/>
    <w:uiPriority w:val="99"/>
    <w:semiHidden/>
    <w:unhideWhenUsed/>
    <w:rsid w:val="0046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C95"/>
    <w:rPr>
      <w:rFonts w:ascii="Tahoma" w:hAnsi="Tahoma" w:cs="Tahoma"/>
      <w:sz w:val="16"/>
      <w:szCs w:val="16"/>
    </w:rPr>
  </w:style>
  <w:style w:type="paragraph" w:customStyle="1" w:styleId="msonospacing0">
    <w:name w:val="msonospacing"/>
    <w:rsid w:val="00473CD4"/>
    <w:pPr>
      <w:spacing w:after="160" w:line="256" w:lineRule="auto"/>
    </w:pPr>
    <w:rPr>
      <w:rFonts w:ascii="Calibri" w:eastAsia="Calibri" w:hAnsi="Calibri" w:cs="Times New Roman"/>
      <w:lang w:eastAsia="zh-CN"/>
    </w:rPr>
  </w:style>
  <w:style w:type="paragraph" w:styleId="Header">
    <w:name w:val="header"/>
    <w:basedOn w:val="Normal"/>
    <w:link w:val="Head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HeaderChar">
    <w:name w:val="Header Char"/>
    <w:basedOn w:val="DefaultParagraphFont"/>
    <w:link w:val="Header"/>
    <w:uiPriority w:val="99"/>
    <w:rsid w:val="006E79D9"/>
    <w:rPr>
      <w:rFonts w:ascii="Cambria" w:eastAsia="Times New Roman" w:hAnsi="Cambria" w:cs="Times New Roman"/>
      <w:sz w:val="20"/>
      <w:szCs w:val="20"/>
      <w:lang w:val="x-none" w:eastAsia="x-none" w:bidi="en-US"/>
    </w:rPr>
  </w:style>
  <w:style w:type="paragraph" w:styleId="Footer">
    <w:name w:val="footer"/>
    <w:basedOn w:val="Normal"/>
    <w:link w:val="Foot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FooterChar">
    <w:name w:val="Footer Char"/>
    <w:basedOn w:val="DefaultParagraphFont"/>
    <w:link w:val="Footer"/>
    <w:uiPriority w:val="99"/>
    <w:rsid w:val="006E79D9"/>
    <w:rPr>
      <w:rFonts w:ascii="Cambria" w:eastAsia="Times New Roman" w:hAnsi="Cambria" w:cs="Times New Roman"/>
      <w:sz w:val="20"/>
      <w:szCs w:val="20"/>
      <w:lang w:val="x-none" w:eastAsia="x-non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2019</Words>
  <Characters>11511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Abstract &amp; References Vol 25 No 1 (2021)</vt:lpstr>
    </vt:vector>
  </TitlesOfParts>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&amp; References Vol 25 No 2 (2021)</dc:title>
  <dc:creator>Harun Hamzah</dc:creator>
  <cp:lastModifiedBy>Harun Hamzah</cp:lastModifiedBy>
  <cp:revision>3</cp:revision>
  <cp:lastPrinted>2020-04-01T04:48:00Z</cp:lastPrinted>
  <dcterms:created xsi:type="dcterms:W3CDTF">2021-03-26T16:39:00Z</dcterms:created>
  <dcterms:modified xsi:type="dcterms:W3CDTF">2021-04-15T10:39:00Z</dcterms:modified>
</cp:coreProperties>
</file>