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FEF5BF" w14:textId="77777777" w:rsidR="00F676D9" w:rsidRDefault="00F676D9" w:rsidP="00F676D9">
      <w:pPr>
        <w:spacing w:after="0"/>
        <w:jc w:val="center"/>
        <w:rPr>
          <w:rFonts w:ascii="Times New Roman" w:hAnsi="Times New Roman"/>
          <w:sz w:val="28"/>
          <w:szCs w:val="28"/>
          <w:lang w:eastAsia="zh-CN" w:bidi="ar-SA"/>
        </w:rPr>
      </w:pPr>
      <w:r>
        <w:rPr>
          <w:rFonts w:ascii="Times New Roman" w:hAnsi="Times New Roman"/>
          <w:sz w:val="28"/>
          <w:szCs w:val="28"/>
        </w:rPr>
        <w:t>OPTIMIZATION PARAMETERS FOR ELECTROPOLYMERIZATION OF MELAMINE IN DEEP EUTECTIC SOLVENT</w:t>
      </w:r>
    </w:p>
    <w:p w14:paraId="31268504" w14:textId="77777777" w:rsidR="00F676D9" w:rsidRPr="00F676D9" w:rsidRDefault="00F676D9" w:rsidP="00F676D9">
      <w:pPr>
        <w:spacing w:after="0"/>
        <w:jc w:val="center"/>
        <w:rPr>
          <w:rFonts w:ascii="Times New Roman" w:hAnsi="Times New Roman"/>
          <w:sz w:val="24"/>
          <w:szCs w:val="24"/>
        </w:rPr>
      </w:pPr>
    </w:p>
    <w:p w14:paraId="2DC9C21F" w14:textId="77777777" w:rsidR="00F676D9" w:rsidRPr="00F676D9" w:rsidRDefault="00F676D9" w:rsidP="00F676D9">
      <w:pPr>
        <w:spacing w:after="0"/>
        <w:jc w:val="center"/>
        <w:rPr>
          <w:rFonts w:ascii="Times New Roman" w:hAnsi="Times New Roman"/>
          <w:noProof/>
          <w:sz w:val="24"/>
          <w:szCs w:val="24"/>
        </w:rPr>
      </w:pPr>
      <w:r w:rsidRPr="00F676D9">
        <w:rPr>
          <w:rFonts w:ascii="Times New Roman" w:hAnsi="Times New Roman"/>
          <w:noProof/>
          <w:sz w:val="24"/>
          <w:szCs w:val="24"/>
        </w:rPr>
        <w:t>(Pengoptimuman Parameter Elektropempolimeran Melamin Dalam Pelarut Eutektik Dalam)</w:t>
      </w:r>
    </w:p>
    <w:p w14:paraId="3028E6AB" w14:textId="77777777" w:rsidR="00F676D9" w:rsidRDefault="00F676D9" w:rsidP="00F676D9">
      <w:pPr>
        <w:spacing w:after="0"/>
        <w:jc w:val="center"/>
        <w:rPr>
          <w:rFonts w:ascii="Times New Roman" w:hAnsi="Times New Roman"/>
          <w:b/>
          <w:bCs/>
          <w:sz w:val="20"/>
          <w:szCs w:val="20"/>
        </w:rPr>
      </w:pPr>
    </w:p>
    <w:p w14:paraId="2C260BEF" w14:textId="77777777" w:rsidR="00F676D9" w:rsidRDefault="00F676D9" w:rsidP="00F676D9">
      <w:pPr>
        <w:shd w:val="clear" w:color="auto" w:fill="FFFFFF"/>
        <w:spacing w:after="0"/>
        <w:jc w:val="center"/>
        <w:rPr>
          <w:rFonts w:ascii="Times New Roman" w:hAnsi="Times New Roman"/>
          <w:iCs/>
          <w:color w:val="222222"/>
          <w:sz w:val="20"/>
          <w:szCs w:val="20"/>
          <w:vertAlign w:val="superscript"/>
        </w:rPr>
      </w:pPr>
      <w:r>
        <w:rPr>
          <w:rFonts w:ascii="Times New Roman" w:hAnsi="Times New Roman"/>
          <w:iCs/>
          <w:color w:val="222222"/>
          <w:sz w:val="20"/>
          <w:szCs w:val="20"/>
        </w:rPr>
        <w:t>Yeet Hoong Chang</w:t>
      </w:r>
      <w:r>
        <w:rPr>
          <w:rFonts w:ascii="Times New Roman" w:hAnsi="Times New Roman"/>
          <w:iCs/>
          <w:color w:val="222222"/>
          <w:sz w:val="20"/>
          <w:szCs w:val="20"/>
          <w:vertAlign w:val="superscript"/>
        </w:rPr>
        <w:t>1</w:t>
      </w:r>
      <w:r>
        <w:rPr>
          <w:rFonts w:ascii="Times New Roman" w:hAnsi="Times New Roman"/>
          <w:iCs/>
          <w:color w:val="222222"/>
          <w:sz w:val="20"/>
          <w:szCs w:val="20"/>
        </w:rPr>
        <w:t>, Pei Meng Woi</w:t>
      </w:r>
      <w:r>
        <w:rPr>
          <w:rFonts w:ascii="Times New Roman" w:hAnsi="Times New Roman"/>
          <w:iCs/>
          <w:color w:val="222222"/>
          <w:sz w:val="20"/>
          <w:szCs w:val="20"/>
          <w:vertAlign w:val="superscript"/>
        </w:rPr>
        <w:t>1,2</w:t>
      </w:r>
      <w:r w:rsidRPr="00F676D9">
        <w:rPr>
          <w:rFonts w:ascii="Times New Roman" w:hAnsi="Times New Roman"/>
          <w:iCs/>
          <w:color w:val="222222"/>
          <w:sz w:val="20"/>
          <w:szCs w:val="20"/>
        </w:rPr>
        <w:t>*</w:t>
      </w:r>
      <w:r>
        <w:rPr>
          <w:rFonts w:ascii="Times New Roman" w:hAnsi="Times New Roman"/>
          <w:iCs/>
          <w:color w:val="222222"/>
          <w:sz w:val="20"/>
          <w:szCs w:val="20"/>
        </w:rPr>
        <w:t>, Yatimah Alias</w:t>
      </w:r>
      <w:r>
        <w:rPr>
          <w:rFonts w:ascii="Times New Roman" w:hAnsi="Times New Roman"/>
          <w:iCs/>
          <w:color w:val="222222"/>
          <w:sz w:val="20"/>
          <w:szCs w:val="20"/>
          <w:vertAlign w:val="superscript"/>
        </w:rPr>
        <w:t>1,2</w:t>
      </w:r>
    </w:p>
    <w:p w14:paraId="4AA4932F" w14:textId="77777777" w:rsidR="00F676D9" w:rsidRDefault="00F676D9" w:rsidP="00F676D9">
      <w:pPr>
        <w:shd w:val="clear" w:color="auto" w:fill="FFFFFF"/>
        <w:spacing w:after="0"/>
        <w:jc w:val="center"/>
        <w:rPr>
          <w:rFonts w:ascii="Times New Roman" w:hAnsi="Times New Roman"/>
          <w:i/>
          <w:iCs/>
          <w:color w:val="222222"/>
          <w:sz w:val="18"/>
          <w:szCs w:val="18"/>
        </w:rPr>
      </w:pPr>
    </w:p>
    <w:p w14:paraId="2FB22E27" w14:textId="00E0D694" w:rsidR="00F676D9" w:rsidRDefault="00F676D9" w:rsidP="00F676D9">
      <w:pPr>
        <w:shd w:val="clear" w:color="auto" w:fill="FFFFFF"/>
        <w:spacing w:after="0"/>
        <w:jc w:val="center"/>
        <w:rPr>
          <w:rFonts w:ascii="Times New Roman" w:hAnsi="Times New Roman"/>
          <w:i/>
          <w:iCs/>
          <w:color w:val="222222"/>
          <w:sz w:val="18"/>
          <w:szCs w:val="18"/>
        </w:rPr>
      </w:pPr>
      <w:r>
        <w:rPr>
          <w:rFonts w:ascii="Times New Roman" w:hAnsi="Times New Roman"/>
          <w:i/>
          <w:iCs/>
          <w:color w:val="222222"/>
          <w:sz w:val="18"/>
          <w:szCs w:val="18"/>
          <w:vertAlign w:val="superscript"/>
        </w:rPr>
        <w:t>1</w:t>
      </w:r>
      <w:r>
        <w:rPr>
          <w:rFonts w:ascii="Times New Roman" w:hAnsi="Times New Roman"/>
          <w:i/>
          <w:iCs/>
          <w:color w:val="222222"/>
          <w:sz w:val="18"/>
          <w:szCs w:val="18"/>
        </w:rPr>
        <w:t xml:space="preserve">Department of Chemistry, Faculty of Science </w:t>
      </w:r>
    </w:p>
    <w:p w14:paraId="06C9D5CB" w14:textId="7A29FC2A" w:rsidR="00F676D9" w:rsidRDefault="00F676D9" w:rsidP="00F676D9">
      <w:pPr>
        <w:shd w:val="clear" w:color="auto" w:fill="FFFFFF"/>
        <w:spacing w:after="0"/>
        <w:jc w:val="center"/>
        <w:rPr>
          <w:rFonts w:ascii="Times New Roman" w:hAnsi="Times New Roman"/>
          <w:i/>
          <w:iCs/>
          <w:color w:val="222222"/>
          <w:sz w:val="18"/>
          <w:szCs w:val="18"/>
        </w:rPr>
      </w:pPr>
      <w:r>
        <w:rPr>
          <w:rFonts w:ascii="Times New Roman" w:hAnsi="Times New Roman"/>
          <w:i/>
          <w:iCs/>
          <w:color w:val="222222"/>
          <w:sz w:val="18"/>
          <w:szCs w:val="18"/>
          <w:vertAlign w:val="superscript"/>
        </w:rPr>
        <w:t>2</w:t>
      </w:r>
      <w:r>
        <w:rPr>
          <w:rFonts w:ascii="Times New Roman" w:hAnsi="Times New Roman"/>
          <w:i/>
          <w:iCs/>
          <w:color w:val="222222"/>
          <w:sz w:val="18"/>
          <w:szCs w:val="18"/>
        </w:rPr>
        <w:t>University Malaya Centre for Ionic Liquids (UMCiL)</w:t>
      </w:r>
    </w:p>
    <w:p w14:paraId="081B7775" w14:textId="77777777" w:rsidR="00F676D9" w:rsidRDefault="00F676D9" w:rsidP="00F676D9">
      <w:pPr>
        <w:shd w:val="clear" w:color="auto" w:fill="FFFFFF"/>
        <w:spacing w:after="0"/>
        <w:jc w:val="center"/>
        <w:rPr>
          <w:rFonts w:ascii="Times New Roman" w:hAnsi="Times New Roman"/>
          <w:i/>
          <w:iCs/>
          <w:color w:val="222222"/>
          <w:sz w:val="18"/>
          <w:szCs w:val="18"/>
        </w:rPr>
      </w:pPr>
      <w:r>
        <w:rPr>
          <w:rFonts w:ascii="Times New Roman" w:hAnsi="Times New Roman"/>
          <w:i/>
          <w:iCs/>
          <w:color w:val="222222"/>
          <w:sz w:val="18"/>
          <w:szCs w:val="18"/>
        </w:rPr>
        <w:t>University of Malaya, 50603 Kuala Lumpur, Malaysia</w:t>
      </w:r>
    </w:p>
    <w:p w14:paraId="20C28B83" w14:textId="77777777" w:rsidR="00F676D9" w:rsidRDefault="00F676D9" w:rsidP="00F676D9">
      <w:pPr>
        <w:shd w:val="clear" w:color="auto" w:fill="FFFFFF"/>
        <w:spacing w:after="0"/>
        <w:jc w:val="center"/>
        <w:rPr>
          <w:rFonts w:ascii="Times New Roman" w:hAnsi="Times New Roman"/>
          <w:color w:val="222222"/>
          <w:sz w:val="18"/>
          <w:szCs w:val="18"/>
        </w:rPr>
      </w:pPr>
    </w:p>
    <w:p w14:paraId="626EE96B" w14:textId="5859DBC9" w:rsidR="00F676D9" w:rsidRDefault="00F676D9" w:rsidP="00F676D9">
      <w:pPr>
        <w:shd w:val="clear" w:color="auto" w:fill="FFFFFF"/>
        <w:spacing w:after="0"/>
        <w:jc w:val="center"/>
        <w:rPr>
          <w:rFonts w:ascii="Times New Roman" w:hAnsi="Times New Roman"/>
          <w:i/>
          <w:color w:val="222222"/>
          <w:sz w:val="18"/>
          <w:szCs w:val="18"/>
        </w:rPr>
      </w:pPr>
      <w:r>
        <w:rPr>
          <w:rFonts w:ascii="Times New Roman" w:hAnsi="Times New Roman"/>
          <w:i/>
          <w:color w:val="222222"/>
          <w:sz w:val="18"/>
          <w:szCs w:val="18"/>
        </w:rPr>
        <w:t>*Corresponding author:  pmwoi@um.edu.my</w:t>
      </w:r>
    </w:p>
    <w:p w14:paraId="5FB2B71D" w14:textId="77777777" w:rsidR="00A37A74" w:rsidRPr="006E784D" w:rsidRDefault="00A37A74" w:rsidP="00A37A74">
      <w:pPr>
        <w:spacing w:after="0"/>
        <w:jc w:val="center"/>
        <w:rPr>
          <w:rFonts w:ascii="Times New Roman" w:hAnsi="Times New Roman"/>
          <w:noProof/>
          <w:sz w:val="18"/>
          <w:szCs w:val="18"/>
          <w:lang w:bidi="ar-SA"/>
        </w:rPr>
      </w:pPr>
    </w:p>
    <w:p w14:paraId="6627C101" w14:textId="77777777" w:rsidR="00A37A74" w:rsidRPr="006E784D" w:rsidRDefault="00A37A74" w:rsidP="00A37A74">
      <w:pPr>
        <w:spacing w:after="0"/>
        <w:jc w:val="center"/>
        <w:rPr>
          <w:rFonts w:ascii="Times New Roman" w:hAnsi="Times New Roman"/>
          <w:noProof/>
          <w:sz w:val="18"/>
          <w:szCs w:val="18"/>
          <w:lang w:bidi="ar-SA"/>
        </w:rPr>
      </w:pPr>
    </w:p>
    <w:p w14:paraId="44FFC42D" w14:textId="4D537CFD" w:rsidR="00BA1F7B" w:rsidRPr="00383C16" w:rsidRDefault="00A37A74" w:rsidP="00A37A74">
      <w:pPr>
        <w:spacing w:after="0"/>
        <w:jc w:val="center"/>
        <w:rPr>
          <w:rFonts w:ascii="Times New Roman" w:hAnsi="Times New Roman"/>
          <w:noProof/>
          <w:sz w:val="18"/>
          <w:szCs w:val="18"/>
          <w:lang w:bidi="ar-SA"/>
        </w:rPr>
      </w:pPr>
      <w:r w:rsidRPr="006E784D">
        <w:rPr>
          <w:rFonts w:ascii="Times New Roman" w:hAnsi="Times New Roman"/>
          <w:noProof/>
          <w:sz w:val="18"/>
          <w:szCs w:val="18"/>
          <w:lang w:bidi="ar-SA"/>
        </w:rPr>
        <w:t xml:space="preserve">Received: </w:t>
      </w:r>
      <w:r w:rsidR="00C23984">
        <w:rPr>
          <w:rFonts w:ascii="Times New Roman" w:hAnsi="Times New Roman"/>
          <w:noProof/>
          <w:sz w:val="18"/>
          <w:szCs w:val="18"/>
          <w:lang w:bidi="ar-SA"/>
        </w:rPr>
        <w:t>15 September 2021</w:t>
      </w:r>
      <w:r w:rsidRPr="006E784D">
        <w:rPr>
          <w:rFonts w:ascii="Times New Roman" w:hAnsi="Times New Roman"/>
          <w:noProof/>
          <w:sz w:val="18"/>
          <w:szCs w:val="18"/>
          <w:lang w:bidi="ar-SA"/>
        </w:rPr>
        <w:t xml:space="preserve">; Accepted: </w:t>
      </w:r>
      <w:r>
        <w:rPr>
          <w:rFonts w:ascii="Times New Roman" w:hAnsi="Times New Roman"/>
          <w:noProof/>
          <w:sz w:val="18"/>
          <w:szCs w:val="18"/>
          <w:lang w:bidi="ar-SA"/>
        </w:rPr>
        <w:t xml:space="preserve"> </w:t>
      </w:r>
      <w:r w:rsidR="00C23984">
        <w:rPr>
          <w:rFonts w:ascii="Times New Roman" w:hAnsi="Times New Roman"/>
          <w:noProof/>
          <w:sz w:val="18"/>
          <w:szCs w:val="18"/>
          <w:lang w:bidi="ar-SA"/>
        </w:rPr>
        <w:t>10 December 2021</w:t>
      </w:r>
      <w:r>
        <w:rPr>
          <w:rFonts w:ascii="Times New Roman" w:hAnsi="Times New Roman"/>
          <w:noProof/>
          <w:sz w:val="18"/>
          <w:szCs w:val="18"/>
          <w:lang w:bidi="ar-SA"/>
        </w:rPr>
        <w:t xml:space="preserve">; Published:  </w:t>
      </w:r>
      <w:r w:rsidR="00B36918">
        <w:rPr>
          <w:rFonts w:ascii="Times New Roman" w:hAnsi="Times New Roman"/>
          <w:noProof/>
          <w:sz w:val="18"/>
          <w:szCs w:val="18"/>
          <w:lang w:bidi="ar-SA"/>
        </w:rPr>
        <w:t>28</w:t>
      </w:r>
      <w:r>
        <w:rPr>
          <w:rFonts w:ascii="Times New Roman" w:hAnsi="Times New Roman"/>
          <w:noProof/>
          <w:sz w:val="18"/>
          <w:szCs w:val="18"/>
          <w:lang w:bidi="ar-SA"/>
        </w:rPr>
        <w:t xml:space="preserve"> April 2022</w:t>
      </w:r>
    </w:p>
    <w:p w14:paraId="2315D990" w14:textId="77777777" w:rsidR="00BA1F7B" w:rsidRPr="00383C16" w:rsidRDefault="00BA1F7B" w:rsidP="00383C16">
      <w:pPr>
        <w:spacing w:after="0"/>
        <w:jc w:val="center"/>
        <w:rPr>
          <w:rFonts w:ascii="Times New Roman" w:hAnsi="Times New Roman"/>
          <w:noProof/>
          <w:sz w:val="18"/>
          <w:szCs w:val="18"/>
          <w:lang w:bidi="ar-SA"/>
        </w:rPr>
      </w:pPr>
    </w:p>
    <w:p w14:paraId="184837FD" w14:textId="77777777" w:rsidR="00BA1F7B" w:rsidRPr="00383C16" w:rsidRDefault="00BA1F7B" w:rsidP="00383C16">
      <w:pPr>
        <w:spacing w:after="0"/>
        <w:jc w:val="center"/>
        <w:rPr>
          <w:rFonts w:ascii="Times New Roman" w:hAnsi="Times New Roman"/>
          <w:noProof/>
          <w:sz w:val="18"/>
          <w:szCs w:val="18"/>
          <w:lang w:bidi="ar-SA"/>
        </w:rPr>
      </w:pPr>
    </w:p>
    <w:p w14:paraId="2598B41C" w14:textId="77777777" w:rsidR="006768E9" w:rsidRPr="00383C16" w:rsidRDefault="006768E9" w:rsidP="00383C16">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5834FE1C" w14:textId="77777777" w:rsidR="00C42066" w:rsidRPr="00EB1E77" w:rsidRDefault="00C42066" w:rsidP="00C42066">
      <w:pPr>
        <w:spacing w:after="0"/>
        <w:jc w:val="both"/>
        <w:outlineLvl w:val="0"/>
        <w:rPr>
          <w:rFonts w:ascii="Times New Roman" w:hAnsi="Times New Roman"/>
          <w:sz w:val="18"/>
          <w:szCs w:val="18"/>
        </w:rPr>
      </w:pPr>
    </w:p>
    <w:p w14:paraId="7317BD4C" w14:textId="77777777" w:rsidR="00F676D9" w:rsidRDefault="00F676D9" w:rsidP="00F676D9">
      <w:pPr>
        <w:spacing w:after="0"/>
        <w:jc w:val="both"/>
        <w:rPr>
          <w:rFonts w:ascii="Times New Roman" w:hAnsi="Times New Roman"/>
          <w:bCs/>
          <w:sz w:val="18"/>
          <w:szCs w:val="18"/>
        </w:rPr>
      </w:pPr>
      <w:r>
        <w:rPr>
          <w:rFonts w:ascii="Times New Roman" w:hAnsi="Times New Roman"/>
          <w:sz w:val="18"/>
          <w:szCs w:val="18"/>
        </w:rPr>
        <w:t xml:space="preserve">Polymelamine is a new class of polymer that possess electrocatalytic behavior in dopamine (DA) detection. Our previous studies have </w:t>
      </w:r>
      <w:r>
        <w:rPr>
          <w:rFonts w:ascii="Times New Roman" w:hAnsi="Times New Roman"/>
          <w:bCs/>
          <w:sz w:val="18"/>
          <w:szCs w:val="18"/>
        </w:rPr>
        <w:t xml:space="preserve">successfully replaced the conventional acidic electrolyte to </w:t>
      </w:r>
      <w:r>
        <w:rPr>
          <w:rFonts w:ascii="Times New Roman" w:hAnsi="Times New Roman"/>
          <w:sz w:val="18"/>
          <w:szCs w:val="18"/>
        </w:rPr>
        <w:t>deep eutectic solvent (</w:t>
      </w:r>
      <w:r>
        <w:rPr>
          <w:rFonts w:ascii="Times New Roman" w:hAnsi="Times New Roman"/>
          <w:bCs/>
          <w:sz w:val="18"/>
          <w:szCs w:val="18"/>
        </w:rPr>
        <w:t xml:space="preserve">DES) has open the opportunity for a greener solvent in used. </w:t>
      </w:r>
      <w:r>
        <w:rPr>
          <w:rFonts w:ascii="Times New Roman" w:hAnsi="Times New Roman"/>
          <w:sz w:val="18"/>
          <w:szCs w:val="18"/>
        </w:rPr>
        <w:t xml:space="preserve">Herein we report the optimization process of melamine electropolymerize in DES- reline. Various electrochemical techniques have been employed to studies the ideal parameters. The optimum </w:t>
      </w:r>
      <w:r>
        <w:rPr>
          <w:rFonts w:ascii="Times New Roman" w:hAnsi="Times New Roman"/>
          <w:bCs/>
          <w:sz w:val="18"/>
          <w:szCs w:val="18"/>
        </w:rPr>
        <w:t xml:space="preserve">potential window, scan rate, and number of scan cycles were recorded as -0.20 V – 1.60 V,  </w:t>
      </w:r>
      <w:r>
        <w:rPr>
          <w:rFonts w:ascii="Times New Roman" w:eastAsia="SimSun" w:hAnsi="Times New Roman"/>
          <w:sz w:val="18"/>
          <w:szCs w:val="18"/>
        </w:rPr>
        <w:t>50 mV s</w:t>
      </w:r>
      <w:r>
        <w:rPr>
          <w:rFonts w:ascii="Times New Roman" w:eastAsia="SimSun" w:hAnsi="Times New Roman"/>
          <w:sz w:val="18"/>
          <w:szCs w:val="18"/>
          <w:vertAlign w:val="superscript"/>
        </w:rPr>
        <w:t xml:space="preserve">-1 </w:t>
      </w:r>
      <w:r>
        <w:rPr>
          <w:rFonts w:ascii="Times New Roman" w:eastAsia="SimSun" w:hAnsi="Times New Roman"/>
          <w:sz w:val="18"/>
          <w:szCs w:val="18"/>
        </w:rPr>
        <w:t xml:space="preserve">and five scan cycles, respectively. </w:t>
      </w:r>
      <w:r>
        <w:rPr>
          <w:rFonts w:ascii="Times New Roman" w:hAnsi="Times New Roman"/>
          <w:bCs/>
          <w:sz w:val="18"/>
          <w:szCs w:val="18"/>
        </w:rPr>
        <w:t>Cyclic voltammetry (CV) was employed in the electropolymerization of melamine to optimize the redox behavior of polymelamine film on electrode surface. The growing of polymer film which indicated by the increased of reduction current can be well-controlled by the slow scan rate and optimum scan cycles which leads to strong adhesion and uniform morphology. Amperometry sensing on DA was performed to study and compare the sensitivity and limit of detection for the polymers synthesized in varied parameters. A brief discussion on the principal polymerization factors that would affecting the electrocatalytic behavior of melamine is included.</w:t>
      </w:r>
    </w:p>
    <w:p w14:paraId="70C6149A" w14:textId="77777777" w:rsidR="00F676D9" w:rsidRDefault="00F676D9" w:rsidP="00F676D9">
      <w:pPr>
        <w:spacing w:after="0"/>
        <w:jc w:val="both"/>
        <w:rPr>
          <w:rFonts w:ascii="Times New Roman" w:hAnsi="Times New Roman"/>
          <w:sz w:val="18"/>
          <w:szCs w:val="18"/>
        </w:rPr>
      </w:pPr>
    </w:p>
    <w:p w14:paraId="7A114BDB" w14:textId="389D84E7" w:rsidR="00F676D9" w:rsidRDefault="00F676D9" w:rsidP="00F676D9">
      <w:pPr>
        <w:spacing w:after="0"/>
        <w:jc w:val="both"/>
        <w:rPr>
          <w:rFonts w:ascii="Times New Roman" w:hAnsi="Times New Roman"/>
          <w:sz w:val="18"/>
          <w:szCs w:val="18"/>
        </w:rPr>
      </w:pPr>
      <w:r>
        <w:rPr>
          <w:rFonts w:ascii="Times New Roman" w:hAnsi="Times New Roman"/>
          <w:b/>
          <w:bCs/>
          <w:sz w:val="18"/>
          <w:szCs w:val="18"/>
        </w:rPr>
        <w:t>Keywords:</w:t>
      </w:r>
      <w:r>
        <w:rPr>
          <w:rFonts w:ascii="Times New Roman" w:hAnsi="Times New Roman"/>
          <w:sz w:val="18"/>
          <w:szCs w:val="18"/>
        </w:rPr>
        <w:t xml:space="preserve">  deep eutectic solvent, electropolymerization, melamine, optimization</w:t>
      </w:r>
    </w:p>
    <w:p w14:paraId="049810C4" w14:textId="77777777" w:rsidR="00F676D9" w:rsidRDefault="00F676D9" w:rsidP="00F676D9">
      <w:pPr>
        <w:spacing w:after="0"/>
        <w:jc w:val="center"/>
        <w:rPr>
          <w:rFonts w:ascii="Times New Roman" w:hAnsi="Times New Roman"/>
          <w:sz w:val="18"/>
          <w:szCs w:val="18"/>
        </w:rPr>
      </w:pPr>
    </w:p>
    <w:p w14:paraId="58C7DA96" w14:textId="77777777" w:rsidR="00F676D9" w:rsidRDefault="00F676D9" w:rsidP="00F676D9">
      <w:pPr>
        <w:spacing w:after="0"/>
        <w:jc w:val="center"/>
        <w:rPr>
          <w:rFonts w:ascii="Times New Roman" w:hAnsi="Times New Roman"/>
          <w:b/>
          <w:bCs/>
          <w:noProof/>
          <w:sz w:val="18"/>
          <w:szCs w:val="18"/>
          <w:lang w:val="ms-MY"/>
        </w:rPr>
      </w:pPr>
      <w:r>
        <w:rPr>
          <w:rFonts w:ascii="Times New Roman" w:hAnsi="Times New Roman"/>
          <w:b/>
          <w:bCs/>
          <w:noProof/>
          <w:sz w:val="18"/>
          <w:szCs w:val="18"/>
          <w:lang w:val="ms-MY"/>
        </w:rPr>
        <w:t>Abstrak</w:t>
      </w:r>
    </w:p>
    <w:p w14:paraId="06198CDB" w14:textId="77777777" w:rsidR="00F676D9" w:rsidRDefault="00F676D9" w:rsidP="00F676D9">
      <w:pPr>
        <w:spacing w:after="0"/>
        <w:jc w:val="both"/>
        <w:rPr>
          <w:rFonts w:ascii="Times New Roman" w:hAnsi="Times New Roman"/>
          <w:noProof/>
          <w:sz w:val="18"/>
          <w:szCs w:val="18"/>
          <w:lang w:val="ms-MY"/>
        </w:rPr>
      </w:pPr>
      <w:r>
        <w:rPr>
          <w:rFonts w:ascii="Times New Roman" w:hAnsi="Times New Roman"/>
          <w:noProof/>
          <w:sz w:val="18"/>
          <w:szCs w:val="18"/>
          <w:lang w:val="ms-MY"/>
        </w:rPr>
        <w:t xml:space="preserve">Polimelamin adalah kelas polimer baharu yang mempunyai tingkah laku </w:t>
      </w:r>
      <w:r>
        <w:rPr>
          <w:rFonts w:ascii="Times New Roman" w:hAnsi="Times New Roman"/>
          <w:bCs/>
          <w:noProof/>
          <w:sz w:val="18"/>
          <w:szCs w:val="18"/>
          <w:lang w:val="ms-MY"/>
        </w:rPr>
        <w:t>elektromangkin</w:t>
      </w:r>
      <w:r>
        <w:rPr>
          <w:rFonts w:ascii="Times New Roman" w:hAnsi="Times New Roman"/>
          <w:noProof/>
          <w:sz w:val="18"/>
          <w:szCs w:val="18"/>
          <w:lang w:val="ms-MY"/>
        </w:rPr>
        <w:t xml:space="preserve"> dalam pengesanan dopamin (DA). Kajian yang dilaporkan terdahulu menujukkan kerjayaan penggantian elektrolit berasid konvensional kepada pelarut eutektik (DES). </w:t>
      </w:r>
      <w:bookmarkStart w:id="0" w:name="OLE_LINK3"/>
      <w:bookmarkStart w:id="1" w:name="OLE_LINK4"/>
      <w:r>
        <w:rPr>
          <w:rFonts w:ascii="Times New Roman" w:hAnsi="Times New Roman"/>
          <w:noProof/>
          <w:sz w:val="18"/>
          <w:szCs w:val="18"/>
          <w:lang w:val="ms-MY"/>
        </w:rPr>
        <w:t>Kerjayaan ini membuka peluang untuk pelarut yang lebih mesra alam digunaka</w:t>
      </w:r>
      <w:bookmarkEnd w:id="0"/>
      <w:bookmarkEnd w:id="1"/>
      <w:r>
        <w:rPr>
          <w:rFonts w:ascii="Times New Roman" w:hAnsi="Times New Roman"/>
          <w:noProof/>
          <w:sz w:val="18"/>
          <w:szCs w:val="18"/>
          <w:lang w:val="ms-MY"/>
        </w:rPr>
        <w:t xml:space="preserve">n. Dengan ini, kami melaporkan proses pengoptimum elektropolimerisasi melamin dalam DES-relin. Pelbagai teknik elektrokimia telah digunakan untuk mengkaji parameter yang terbaik. </w:t>
      </w:r>
      <w:r>
        <w:rPr>
          <w:rFonts w:ascii="Times New Roman" w:hAnsi="Times New Roman"/>
          <w:bCs/>
          <w:noProof/>
          <w:sz w:val="18"/>
          <w:szCs w:val="18"/>
          <w:lang w:val="ms-MY"/>
        </w:rPr>
        <w:t>Julat keupayaan</w:t>
      </w:r>
      <w:r>
        <w:rPr>
          <w:rFonts w:ascii="Times New Roman" w:hAnsi="Times New Roman"/>
          <w:noProof/>
          <w:sz w:val="18"/>
          <w:szCs w:val="18"/>
          <w:lang w:val="ms-MY"/>
        </w:rPr>
        <w:t>, kadar imbasan dan bilangan kitaran imbasan yang terbaik dicatat pada -0.20 V – 1.60 V, 50 mVs</w:t>
      </w:r>
      <w:r>
        <w:rPr>
          <w:rFonts w:ascii="Times New Roman" w:hAnsi="Times New Roman"/>
          <w:noProof/>
          <w:sz w:val="18"/>
          <w:szCs w:val="18"/>
          <w:vertAlign w:val="superscript"/>
          <w:lang w:val="ms-MY"/>
        </w:rPr>
        <w:t>-1</w:t>
      </w:r>
      <w:r>
        <w:rPr>
          <w:rFonts w:ascii="Times New Roman" w:hAnsi="Times New Roman"/>
          <w:noProof/>
          <w:sz w:val="18"/>
          <w:szCs w:val="18"/>
          <w:lang w:val="ms-MY"/>
        </w:rPr>
        <w:t xml:space="preserve"> dan lima kitaran imbasan. Siklik voltametri (CV) telah digunakan dalam elektropolimerisasi melamin untuk mengoptimumkan </w:t>
      </w:r>
      <w:r>
        <w:rPr>
          <w:rFonts w:ascii="Times New Roman" w:hAnsi="Times New Roman"/>
          <w:bCs/>
          <w:noProof/>
          <w:sz w:val="18"/>
          <w:szCs w:val="18"/>
          <w:lang w:val="ms-MY"/>
        </w:rPr>
        <w:t xml:space="preserve">tingkah laku elektropemangkinan </w:t>
      </w:r>
      <w:r>
        <w:rPr>
          <w:rFonts w:ascii="Times New Roman" w:hAnsi="Times New Roman"/>
          <w:noProof/>
          <w:sz w:val="18"/>
          <w:szCs w:val="18"/>
          <w:lang w:val="ms-MY"/>
        </w:rPr>
        <w:t xml:space="preserve">lapisan polimelamin pada permukaan elektrod. Pertumbuhan lapisan polimer yang ditunjukkan dalam penainkkan arus penurunan boleh dikawal baik dengan kadar imbasan yang perlahan dan kitaran imbasan optimum untuk mencapai lekatan yang kuat dan morfologi yang seragam. Penderiaan amperometri pada DA telah dijalankan untuk mengkaji dan membandingkan kepekaan dan </w:t>
      </w:r>
      <w:r>
        <w:rPr>
          <w:rFonts w:ascii="Times New Roman" w:hAnsi="Times New Roman"/>
          <w:bCs/>
          <w:noProof/>
          <w:sz w:val="18"/>
          <w:szCs w:val="18"/>
          <w:lang w:val="ms-MY"/>
        </w:rPr>
        <w:t xml:space="preserve">had pengesanan rendah </w:t>
      </w:r>
      <w:r>
        <w:rPr>
          <w:rFonts w:ascii="Times New Roman" w:hAnsi="Times New Roman"/>
          <w:noProof/>
          <w:sz w:val="18"/>
          <w:szCs w:val="18"/>
          <w:lang w:val="ms-MY"/>
        </w:rPr>
        <w:t xml:space="preserve">untuk polimer yang disintesis dalam </w:t>
      </w:r>
      <w:r>
        <w:rPr>
          <w:rFonts w:ascii="Times New Roman" w:hAnsi="Times New Roman"/>
          <w:noProof/>
          <w:sz w:val="18"/>
          <w:szCs w:val="18"/>
          <w:lang w:val="ms-MY"/>
        </w:rPr>
        <w:lastRenderedPageBreak/>
        <w:t xml:space="preserve">parameter yang berbeza-beza. Perbincangan ringkas tentang faktor-faktor elektropolimerisasi yang mempengaruhi tingkah laku </w:t>
      </w:r>
      <w:r>
        <w:rPr>
          <w:rFonts w:ascii="Times New Roman" w:hAnsi="Times New Roman"/>
          <w:bCs/>
          <w:noProof/>
          <w:sz w:val="18"/>
          <w:szCs w:val="18"/>
          <w:lang w:val="ms-MY"/>
        </w:rPr>
        <w:t>elektromangkin</w:t>
      </w:r>
      <w:r>
        <w:rPr>
          <w:rFonts w:ascii="Times New Roman" w:hAnsi="Times New Roman"/>
          <w:noProof/>
          <w:sz w:val="18"/>
          <w:szCs w:val="18"/>
          <w:lang w:val="ms-MY"/>
        </w:rPr>
        <w:t xml:space="preserve"> melamin telah disertakan.</w:t>
      </w:r>
    </w:p>
    <w:p w14:paraId="1D3D514D" w14:textId="77777777" w:rsidR="00F676D9" w:rsidRDefault="00F676D9" w:rsidP="00F676D9">
      <w:pPr>
        <w:spacing w:after="0"/>
        <w:jc w:val="both"/>
        <w:rPr>
          <w:rFonts w:ascii="Times New Roman" w:hAnsi="Times New Roman"/>
          <w:noProof/>
          <w:sz w:val="18"/>
          <w:szCs w:val="18"/>
          <w:lang w:val="ms-MY"/>
        </w:rPr>
      </w:pPr>
    </w:p>
    <w:p w14:paraId="5464C319" w14:textId="0E005E33" w:rsidR="00F676D9" w:rsidRDefault="00F676D9" w:rsidP="00F676D9">
      <w:pPr>
        <w:spacing w:after="0"/>
        <w:jc w:val="both"/>
        <w:rPr>
          <w:rFonts w:ascii="Times New Roman" w:hAnsi="Times New Roman"/>
          <w:b/>
          <w:bCs/>
          <w:noProof/>
          <w:sz w:val="18"/>
          <w:szCs w:val="18"/>
          <w:lang w:val="ms-MY"/>
        </w:rPr>
      </w:pPr>
      <w:r>
        <w:rPr>
          <w:rFonts w:ascii="Times New Roman" w:hAnsi="Times New Roman"/>
          <w:b/>
          <w:bCs/>
          <w:noProof/>
          <w:sz w:val="18"/>
          <w:szCs w:val="18"/>
          <w:lang w:val="ms-MY"/>
        </w:rPr>
        <w:t>Kata Kunci:</w:t>
      </w:r>
      <w:r>
        <w:rPr>
          <w:noProof/>
          <w:lang w:val="ms-MY"/>
        </w:rPr>
        <w:t xml:space="preserve">  </w:t>
      </w:r>
      <w:r>
        <w:rPr>
          <w:rFonts w:ascii="Times New Roman" w:hAnsi="Times New Roman"/>
          <w:noProof/>
          <w:sz w:val="18"/>
          <w:szCs w:val="18"/>
          <w:lang w:val="ms-MY"/>
        </w:rPr>
        <w:t>pelarut eutektik dalam, elektropempolimeran, melamin, pengoptimuman</w:t>
      </w:r>
    </w:p>
    <w:p w14:paraId="545ECD12" w14:textId="77777777" w:rsidR="006768E9" w:rsidRPr="00383C16" w:rsidRDefault="006768E9" w:rsidP="00383C16">
      <w:pPr>
        <w:spacing w:after="0"/>
        <w:jc w:val="center"/>
        <w:rPr>
          <w:rFonts w:ascii="Times New Roman" w:hAnsi="Times New Roman"/>
          <w:noProof/>
          <w:sz w:val="20"/>
          <w:szCs w:val="20"/>
          <w:lang w:bidi="ar-SA"/>
        </w:rPr>
      </w:pPr>
    </w:p>
    <w:p w14:paraId="53EE15A3" w14:textId="77777777" w:rsidR="00494C46" w:rsidRPr="00383C16" w:rsidRDefault="00494C46" w:rsidP="00383C16">
      <w:pPr>
        <w:spacing w:after="0"/>
        <w:jc w:val="center"/>
        <w:rPr>
          <w:rFonts w:ascii="Times New Roman" w:hAnsi="Times New Roman"/>
          <w:noProof/>
          <w:sz w:val="20"/>
          <w:szCs w:val="20"/>
          <w:lang w:bidi="ar-SA"/>
        </w:rPr>
      </w:pPr>
    </w:p>
    <w:p w14:paraId="5042BFCE" w14:textId="77777777" w:rsidR="001D1A16" w:rsidRDefault="001D1A16" w:rsidP="00383C16">
      <w:pPr>
        <w:spacing w:after="0"/>
        <w:jc w:val="center"/>
        <w:rPr>
          <w:rFonts w:ascii="Times New Roman" w:hAnsi="Times New Roman"/>
          <w:b/>
          <w:noProof/>
          <w:sz w:val="20"/>
          <w:szCs w:val="20"/>
          <w:lang w:bidi="ar-SA"/>
        </w:rPr>
        <w:sectPr w:rsidR="001D1A16"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023031B1" w14:textId="77777777" w:rsidR="00F676D9" w:rsidRDefault="00F676D9" w:rsidP="00F676D9">
      <w:pPr>
        <w:pStyle w:val="ListParagraph"/>
        <w:spacing w:after="0"/>
        <w:ind w:left="0"/>
        <w:contextualSpacing w:val="0"/>
        <w:jc w:val="both"/>
        <w:rPr>
          <w:rFonts w:ascii="Times New Roman" w:hAnsi="Times New Roman"/>
          <w:sz w:val="20"/>
          <w:szCs w:val="20"/>
        </w:rPr>
      </w:pPr>
      <w:r>
        <w:rPr>
          <w:rFonts w:ascii="Times New Roman" w:hAnsi="Times New Roman"/>
          <w:sz w:val="20"/>
          <w:szCs w:val="20"/>
        </w:rPr>
        <w:t xml:space="preserve">Heretofore, the polymers such as polyisoprene, polystyrene, polythiophene, polyaniline, polypyrrole, formaldehyde resin and their by-products have been examined extensively as promising candidates in sensor development. A novel class of conducting polymer - polymelamine (PME) was proposed. PME is made from the nitrogen-rich melamine (1,3,5-Triazine-2,4,6-triamine) which is a heterocyclic organic compound. The synthesis methods of PME included chemical, electrochemical, photo-initiating, biocatalytic, and plasma polymerization. Among all, electropolymerization is commonly employed due to its advantages in facile engineer the morphology, thickness, density, and growing rate of the polymer. PME can be synthesized easily using electropolymerization technique by oxidize the amino groups found in melamine. In the discipline of electrochemistry, PME has been employed as a stable matrix to enhance the effective immobilization of nanomaterials on it. It is also employed as electrochemical sensor owing to the existence of numerous active groups such as nitrogen and amine. PME and its offshoots were soon utilized extensively in sensing of different neurotransmitters, pharmaceutic particles, and toxic heavy metals </w:t>
      </w:r>
      <w:r>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{"citationItems":[{"id":"ITEM-1","itemData":{"DOI":"10.1016/j.talanta.2013.11.075","ISSN":"00399140","abstract":"A sensitive and novel electrochemical method has been developed for the determination of an important neurotransmitter, serotonin, using a polymelamine modified edge plane pyrolytic graphite sensor (EPPGS). Melamine was used for the modification of sensor by electropolymerizing it at the surface of EPPGS in acidic medium to form a layer of conducting polymer. Field emission scanning electron microscopy (FE-SEM) and electrochemical impedance spectroscopy (EIS) were used for the characterization of the surface of polymer modified sensor. The electrochemical measurements were carried out using square wave voltammetry and cyclic voltammetry. The polymelamine modified sensor exhibited excellent electrocatalytic activity towards the electrochemical oxidation of serotonin, exhibiting a larger peak current and shift of peak potential to less positive potentials as compared to the unmodified sensor. The dynamic range for the serotonin determination was found between 1-100 μm and 0.1-100 μm with detection limit of 492 nM and 30 nM for unmodified and polymer modified sensors, respectively. The determination of serotonin in human blood serum and urine has been carried out. The common metabolites such as ascorbic acid, dopamine, xanthine and hypoxanthine do not interfere in the determination up to 10-fold concentration, revealing good selectivity of the proposed sensor. © 2013 Elsevier B.V.","author":[{"dropping-particle":"","family":"Gupta","given":"Pankaj","non-dropping-particle":"","parse-names":false,"suffix":""},{"dropping-particle":"","family":"Goyal","given":"Rajendra N.","non-dropping-particle":"","parse-names":false,"suffix":""}],"container-title":"Talanta","id":"ITEM-1","issued":{"date-parts":[["2014"]]},"title":"Polymelamine modified edge plane pyrolytic graphite sensor for the electrochemical assay of serotonin","type":"article-journal"},"uris":["http://www.mendeley.com/documents/?uuid=c26b671b-2f91-449f-86c6-66449c3d5a7c"]}],"mendeley":{"formattedCitation":"[1]","plainTextFormattedCitation":"[1]","previouslyFormattedCitation":"(Gupta and Goyal, 2014)"},"properties":{"noteIndex":0},"schema":"https://github.com/citation-style-language/schema/raw/master/csl-citation.json"}</w:instrText>
      </w:r>
      <w:r>
        <w:rPr>
          <w:rFonts w:ascii="Times New Roman" w:hAnsi="Times New Roman"/>
          <w:sz w:val="20"/>
          <w:szCs w:val="20"/>
        </w:rPr>
        <w:fldChar w:fldCharType="separate"/>
      </w:r>
      <w:r>
        <w:rPr>
          <w:rFonts w:ascii="Times New Roman" w:hAnsi="Times New Roman"/>
          <w:noProof/>
          <w:sz w:val="20"/>
          <w:szCs w:val="20"/>
        </w:rPr>
        <w:t>[1-3]</w:t>
      </w:r>
      <w:r>
        <w:rPr>
          <w:rFonts w:ascii="Times New Roman" w:hAnsi="Times New Roman"/>
          <w:sz w:val="20"/>
          <w:szCs w:val="20"/>
        </w:rPr>
        <w:fldChar w:fldCharType="end"/>
      </w:r>
      <w:r>
        <w:rPr>
          <w:rFonts w:ascii="Times New Roman" w:hAnsi="Times New Roman"/>
          <w:sz w:val="20"/>
          <w:szCs w:val="20"/>
          <w:lang w:val="en-MY"/>
        </w:rPr>
        <w:t xml:space="preserve">. </w:t>
      </w:r>
      <w:r>
        <w:rPr>
          <w:rFonts w:ascii="Times New Roman" w:hAnsi="Times New Roman"/>
          <w:sz w:val="20"/>
          <w:szCs w:val="20"/>
        </w:rPr>
        <w:t xml:space="preserve">Moreover, PME composited with nanocarbon demonstrated high specificity and exhibited exceptional catalytic reaction over broad extent of molarity </w:t>
      </w:r>
      <w:r>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{"citationItems":[{"id":"ITEM-1","itemData":{"DOI":"10.1088/1755-1315/217/1/012004","ISSN":"17551315","abstract":"Polymelamine/gold nanoparticle modified carbon paste electrode (PM/AuNPs/CPE) has been developed for voltammetric study of ascorbic acid (AA). The PM/CPE was prepared onto carbon paste electrode surface via electropolymerization, then it has been deposited gold nanoparticle (AuNPs) via electrodeposition for PM/AuNPs/CPE. In pH 7.0 phosphate buffer, PM/AuNPs/CPE was oxidized during the cyclic potential sweep between 0.0 V and 1.5 V, forming polymer and gold nanoparticle at the carbon paste electrode (CPE) surface. The electrochemical behavior of ascorbic acid at the bare CPE, PM/CPE, AuNPs/CPE and PM/AuNPs/CPE were investigated. The oxidation peak potential of ascorbic acid shifts to more negative potential at PM/AuNPs/CPE Moreover, the oxidation peak current significantly increases at PM/AuNPs/CPE. The PM/AuNPs/CPE electrode exhibits a quasi-reversible electron with a peak separation 130 mV. These fenomena indicate that PM/AuNPs/CPE shows highly-efficient catalytic activity to the oxidation of ascorbic acid.","author":[{"dropping-particle":"","family":"Farida","given":"A. N.","non-dropping-particle":"","parse-names":false,"suffix":""},{"dropping-particle":"","family":"Fitriany","given":"E.","non-dropping-particle":"","parse-names":false,"suffix":""},{"dropping-particle":"","family":"Baktir","given":"A.","non-dropping-particle":"","parse-names":false,"suffix":""},{"dropping-particle":"","family":"Kurniawan","given":"F.","non-dropping-particle":"","parse-names":false,"suffix":""},{"dropping-particle":"","family":"Harsini","given":"M.","non-dropping-particle":"","parse-names":false,"suffix":""}],"container-title":"IOP Conference Series: Earth and Environmental Science","id":"ITEM-1","issued":{"date-parts":[["2019"]]},"title":"Voltammetric Study of Ascorbic Acid Using Polymelamine/Gold Nanoparticle Modified Carbon Paste Electrode","type":"paper-conference"},"uris":["http://www.mendeley.com/documents/?uuid=697a7086-0c10-4521-a480-3f4595546e02"]}],"mendeley":{"formattedCitation":"[4]","plainTextFormattedCitation":"[4]","previouslyFormattedCitation":"(Farida &lt;i&gt;et al.&lt;/i&gt;, 2019)"},"properties":{"noteIndex":0},"schema":"https://github.com/citation-style-language/schema/raw/master/csl-citation.json"}</w:instrText>
      </w:r>
      <w:r>
        <w:rPr>
          <w:rFonts w:ascii="Times New Roman" w:hAnsi="Times New Roman"/>
          <w:sz w:val="20"/>
          <w:szCs w:val="20"/>
        </w:rPr>
        <w:fldChar w:fldCharType="separate"/>
      </w:r>
      <w:r>
        <w:rPr>
          <w:rFonts w:ascii="Times New Roman" w:hAnsi="Times New Roman"/>
          <w:noProof/>
          <w:sz w:val="20"/>
          <w:szCs w:val="20"/>
        </w:rPr>
        <w:t>[4]</w:t>
      </w:r>
      <w:r>
        <w:rPr>
          <w:rFonts w:ascii="Times New Roman" w:hAnsi="Times New Roman"/>
          <w:sz w:val="20"/>
          <w:szCs w:val="20"/>
        </w:rPr>
        <w:fldChar w:fldCharType="end"/>
      </w:r>
      <w:r>
        <w:rPr>
          <w:rFonts w:ascii="Times New Roman" w:hAnsi="Times New Roman"/>
          <w:sz w:val="20"/>
          <w:szCs w:val="20"/>
        </w:rPr>
        <w:t>.</w:t>
      </w:r>
    </w:p>
    <w:p w14:paraId="0DEEF5D9" w14:textId="77777777" w:rsidR="00F676D9" w:rsidRDefault="00F676D9" w:rsidP="00F676D9">
      <w:pPr>
        <w:pStyle w:val="ListParagraph"/>
        <w:spacing w:after="0"/>
        <w:ind w:left="0"/>
        <w:contextualSpacing w:val="0"/>
        <w:jc w:val="both"/>
        <w:rPr>
          <w:rFonts w:ascii="Times New Roman" w:hAnsi="Times New Roman"/>
          <w:sz w:val="20"/>
          <w:szCs w:val="20"/>
        </w:rPr>
      </w:pPr>
    </w:p>
    <w:p w14:paraId="235A2F32" w14:textId="77777777" w:rsidR="00F676D9" w:rsidRDefault="00F676D9" w:rsidP="00F676D9">
      <w:pPr>
        <w:pStyle w:val="ListParagraph"/>
        <w:spacing w:after="0"/>
        <w:ind w:left="0"/>
        <w:contextualSpacing w:val="0"/>
        <w:jc w:val="both"/>
        <w:rPr>
          <w:rFonts w:ascii="Times New Roman" w:hAnsi="Times New Roman"/>
          <w:sz w:val="20"/>
          <w:szCs w:val="20"/>
        </w:rPr>
      </w:pPr>
      <w:r>
        <w:rPr>
          <w:rFonts w:ascii="Times New Roman" w:hAnsi="Times New Roman"/>
          <w:sz w:val="20"/>
          <w:szCs w:val="20"/>
        </w:rPr>
        <w:t xml:space="preserve">Deep eutectic solvent (DES) draws great attention lately owing to their solvation potential, conductivity, simple synthesis method, cost effective and many are biodegradable </w:t>
      </w:r>
      <w:r>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{"citationItems":[{"id":"ITEM-1","itemData":{"DOI":"10.1016/j.gee.2019.03.002","ISSN":"24680257","abstract":"This review divides the acidic deep eutectic solvents (ADES) into Brønsted and Lewis DES according to their diversity of acidic character. The hydrogen bond donors and halide salts for formulating an ADES are classified, the synthesis methods are described, and the physicochemical properties including freezing point, acidity, density, viscosity and conductivity are presented. Furthermore, the applications of Brønsted acidic deep eutectic solvents (BADES) and Lewis acidic deep eutectic solvents (LADES) are overviewed, respectively, covering the fields in dissolution, extraction, organic reaction and metal electrodeposition. It is expected that the ADES has great potential to replace the pollutional mineral acid, expensive and unstable solid acid, and costly ionic liquid in many acid-employed chemical processes, thus meeting the demands of green chemistry.","author":[{"dropping-particle":"","family":"Qin","given":"Hao","non-dropping-particle":"","parse-names":false,"suffix":""},{"dropping-particle":"","family":"Hu","given":"Xutao","non-dropping-particle":"","parse-names":false,"suffix":""},{"dropping-particle":"","family":"Wang","given":"Jingwen","non-dropping-particle":"","parse-names":false,"suffix":""},{"dropping-particle":"","family":"Cheng","given":"Hongye","non-dropping-particle":"","parse-names":false,"suffix":""},{"dropping-particle":"","family":"Chen","given":"Lifang","non-dropping-particle":"","parse-names":false,"suffix":""},{"dropping-particle":"","family":"Qi","given":"Zhiwen","non-dropping-particle":"","parse-names":false,"suffix":""}],"container-title":"Green Energy and Environment","id":"ITEM-1","issued":{"date-parts":[["2020"]]},"title":"Overview of acidic deep eutectic solvents on synthesis, properties and applications","type":"article"},"uris":["http://www.mendeley.com/documents/?uuid=417f1324-38ec-42ae-9cfa-c54c9b996215"]}],"mendeley":{"formattedCitation":"[5]","plainTextFormattedCitation":"[5]","previouslyFormattedCitation":"(Qin &lt;i&gt;et al.&lt;/i&gt;, 2020)"},"properties":{"noteIndex":0},"schema":"https://github.com/citation-style-language/schema/raw/master/csl-citation.json"}</w:instrText>
      </w:r>
      <w:r>
        <w:rPr>
          <w:rFonts w:ascii="Times New Roman" w:hAnsi="Times New Roman"/>
          <w:sz w:val="20"/>
          <w:szCs w:val="20"/>
        </w:rPr>
        <w:fldChar w:fldCharType="separate"/>
      </w:r>
      <w:r>
        <w:rPr>
          <w:rFonts w:ascii="Times New Roman" w:hAnsi="Times New Roman"/>
          <w:noProof/>
          <w:sz w:val="20"/>
          <w:szCs w:val="20"/>
        </w:rPr>
        <w:t>[5]</w:t>
      </w:r>
      <w:r>
        <w:rPr>
          <w:rFonts w:ascii="Times New Roman" w:hAnsi="Times New Roman"/>
          <w:sz w:val="20"/>
          <w:szCs w:val="20"/>
        </w:rPr>
        <w:fldChar w:fldCharType="end"/>
      </w:r>
      <w:r>
        <w:rPr>
          <w:rFonts w:ascii="Times New Roman" w:hAnsi="Times New Roman"/>
          <w:sz w:val="20"/>
          <w:szCs w:val="20"/>
        </w:rPr>
        <w:t xml:space="preserve">. DES are commonly applied in two principal fields: metal processing (metal electropolishing, metal dissolution, metal deposition) and as synthesis solvent </w:t>
      </w:r>
      <w:r>
        <w:rPr>
          <w:rFonts w:ascii="Times New Roman" w:hAnsi="Times New Roman"/>
          <w:sz w:val="20"/>
          <w:szCs w:val="20"/>
        </w:rPr>
        <w:fldChar w:fldCharType="begin" w:fldLock="1"/>
      </w:r>
      <w:r>
        <w:rPr>
          <w:rFonts w:ascii="Times New Roman" w:hAnsi="Times New Roman"/>
          <w:sz w:val="20"/>
          <w:szCs w:val="20"/>
        </w:rPr>
        <w:instrText>ADDIN CSL_CITATION {"citationItems":[{"id":"ITEM-1","itemData":{"DOI":"10.3390/suschem1030016","abstract":"Deep eutectic solvents (DESs) appeared recently as a new class of green designer solvents. The recovery of metals using hydrometallurgy is of major importance with the growth in metal demand. Several authors used these solvents for the hydrometallurgical recovery of metals from primary and secondary resources, and these studies are reviewed in the present work. Hydrophilic DESs can be used for the leaching of metals and have great potential to replace mineral acids, and even to reduce water consumption. Efficient and selective leaching of metals from minerals or wastes is feasible by using DESs. However, the kinetics of leaching as well as the physicochemical properties of DESs are still limiting their large-scale application. Electrochemical recovery from DES is also possible but deserves further investigation. Finally, the recovery of metals from aqueous solutions using hydrophobic DESs was studied in several works. For the solvent extraction of metals, hydrophobic DESs constitute credible alternative ionic liquids.","author":[{"dropping-particle":"","family":"Zante","given":"Guillaume","non-dropping-particle":"","parse-names":false,"suffix":""},{"dropping-particle":"","family":"Boltoeva","given":"Maria","non-dropping-particle":"","parse-names":false,"suffix":""}],"container-title":"Sustainable Chemistry","id":"ITEM-1","issued":{"date-parts":[["2020"]]},"title":"Review on Hydrometallurgical Recovery of Metals with Deep Eutectic Solvents","type":"article-journal"},"uris":["http://www.mendeley.com/documents/?uuid=939eb0ef-37e3-4e95-9065-d906ab4689a9","http://www.mendeley.com/documents/?uuid=b599037a-1653-4d4c-8b85-3cd152327690"]}],"mendeley":{"formattedCitation":"[6]","plainTextFormattedCitation":"[6]","previouslyFormattedCitation":"(Zante and Boltoeva, 2020)"},"properties":{"noteIndex":0},"schema":"https://github.com/citation-style-language/schema/raw/master/csl-citation.json"}</w:instrText>
      </w:r>
      <w:r>
        <w:rPr>
          <w:rFonts w:ascii="Times New Roman" w:hAnsi="Times New Roman"/>
          <w:sz w:val="20"/>
          <w:szCs w:val="20"/>
        </w:rPr>
        <w:fldChar w:fldCharType="separate"/>
      </w:r>
      <w:r>
        <w:rPr>
          <w:rFonts w:ascii="Times New Roman" w:hAnsi="Times New Roman"/>
          <w:noProof/>
          <w:sz w:val="20"/>
          <w:szCs w:val="20"/>
        </w:rPr>
        <w:t>[6-8]</w:t>
      </w:r>
      <w:r>
        <w:rPr>
          <w:rFonts w:ascii="Times New Roman" w:hAnsi="Times New Roman"/>
          <w:sz w:val="20"/>
          <w:szCs w:val="20"/>
        </w:rPr>
        <w:fldChar w:fldCharType="end"/>
      </w:r>
      <w:r>
        <w:rPr>
          <w:rFonts w:ascii="Times New Roman" w:hAnsi="Times New Roman"/>
          <w:sz w:val="20"/>
          <w:szCs w:val="20"/>
        </w:rPr>
        <w:t xml:space="preserve">. Reline (a Type III DES) was employed as stimulant and reducing mediator for polymerization of hydrophilic monomer at temperature close to ambient </w:t>
      </w:r>
      <w:r>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{"citationItems":[{"id":"ITEM-1","itemData":{"DOI":"10.1016/j.polymer.2017.10.060","ISSN":"00323861","abstract":"An eco-friendly type III deep eutectic solvent (reline: choline chloride/urea) was used for the supplemental activator and reducing agent atom transfer radical polymerization (SARA ATRP) of different biorelevant hydrophilic monomers (HEA: 2-hydroxyethyl acrylate, HEMA: 2-hydroxyethyl methacrylate and AMPTMA: (3-acrylamidopropyl)trimethylammonium chloride) near room temperature (30 °C). The polymerization of HEA mediated by a safe and inexpensive SARA agent (Na2S2O4) revealed controlled features, with polymers exhibiting low dispersity (Đ ≈ 1.3) throughout the course of the polymerization. Results also showed that typically, a slow and continuous feeding of the SARA agent to the reaction mixture afforded PHEA-Br with higher chain-end functionality and lower dispersity (Đ ≈ 1.1), in comparison to the one obtained without Na2S2O4 feeding. As proof-of-concept, purified PHEA-Br macroinitiators were used for the preparation of different well-defined block copolymers (PHEA-b-PAMPTMA and PHEA-b-PMA).","author":[{"dropping-particle":"V.","family":"Mendonça","given":"Patrícia","non-dropping-particle":"","parse-names":false,"suffix":""},{"dropping-particle":"","family":"Lima","given":"Mafalda S.","non-dropping-particle":"","parse-names":false,"suffix":""},{"dropping-particle":"","family":"Guliashvili","given":"Tamaz","non-dropping-particle":"","parse-names":false,"suffix":""},{"dropping-particle":"","family":"Serra","given":"Arménio C.","non-dropping-particle":"","parse-names":false,"suffix":""},{"dropping-particle":"","family":"Coelho","given":"Jorge F.J.","non-dropping-particle":"","parse-names":false,"suffix":""}],"container-title":"Polymer","id":"ITEM-1","issued":{"date-parts":[["2017"]]},"title":"Deep eutectic solvents (DES): Excellent green solvents for rapid SARA ATRP of biorelevant hydrophilic monomers at ambient temperature","type":"article-journal"},"uris":["http://www.mendeley.com/documents/?uuid=f2485bc2-cae7-4b4e-a092-8c3c4fb7baec"]}],"mendeley":{"formattedCitation":"[9]","plainTextFormattedCitation":"[9]","previouslyFormattedCitation":"(Mendonça &lt;i&gt;et al.&lt;/i&gt;, 2017)"},"properties":{"noteIndex":0},"schema":"https://github.com/citation-style-language/schema/raw/master/csl-citation.json"}</w:instrText>
      </w:r>
      <w:r>
        <w:rPr>
          <w:rFonts w:ascii="Times New Roman" w:hAnsi="Times New Roman"/>
          <w:sz w:val="20"/>
          <w:szCs w:val="20"/>
        </w:rPr>
        <w:fldChar w:fldCharType="separate"/>
      </w:r>
      <w:r>
        <w:rPr>
          <w:rFonts w:ascii="Times New Roman" w:hAnsi="Times New Roman"/>
          <w:noProof/>
          <w:sz w:val="20"/>
          <w:szCs w:val="20"/>
        </w:rPr>
        <w:t>[9]</w:t>
      </w:r>
      <w:r>
        <w:rPr>
          <w:rFonts w:ascii="Times New Roman" w:hAnsi="Times New Roman"/>
          <w:sz w:val="20"/>
          <w:szCs w:val="20"/>
        </w:rPr>
        <w:fldChar w:fldCharType="end"/>
      </w:r>
      <w:r>
        <w:rPr>
          <w:rFonts w:ascii="Times New Roman" w:hAnsi="Times New Roman"/>
          <w:sz w:val="20"/>
          <w:szCs w:val="20"/>
        </w:rPr>
        <w:t xml:space="preserve">. Reline and glyceline (a Type III DES) were proposed to substitute typical aqueous </w:t>
      </w:r>
      <w:r>
        <w:rPr>
          <w:rFonts w:ascii="Times New Roman" w:hAnsi="Times New Roman"/>
          <w:sz w:val="20"/>
          <w:szCs w:val="20"/>
        </w:rPr>
        <w:t xml:space="preserve">solution in free-radical polymerization of acrylamide </w:t>
      </w:r>
      <w:r>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{"citationItems":[{"id":"ITEM-1","itemData":{"DOI":"10.1039/c5ra27468k","ISSN":"20462069","abstract":"Deep eutectic solvents (DES) have attracted considerable attention as reaction media in biocatalysis due to their particular solvent properties. It has been demonstrated that some enzymes do not denature in these solvents and that under certain conditions, enzyme-catalyzed reactions in DES can result in higher conversions and reaction rates than those obtained in conventional media. In this work we report the enzyme-mediated free radical polymerization of acrylamide in nearly non-aqueous choline chloride-urea (CCl-U) and choline chloride-glycerol (CCl-Gly) DES. The catalytic activity of the enzyme, horseradish peroxidase (HRP), was observed to be lower at high DES concentrations than in phosphate buffer solution, whereas the thermal stability was enhanced. According to fluorescence and UV-vis spectroscopy studies, the drop in the enzyme activity could be a consequence of the partial denaturation of HRP in the \"hydrated\" DES. Despite this significant loss in activity, HRP was still able to initiate the free radical polymerization of acrylamide with full monomer conversions. For the CCl-U system, polymers with similar average molecular weight and slightly narrower polydispersities compared to those synthesized in a totally aqueous environment were obtained. Furthermore, taking advantage of the low freezing point of CCl-Gly, it was possible to synthesize polyacrylamide at 4 °C, while no polymer was obtained using water at the same temperature. These results illustrate the potential of DES to enable biotransformations in a wide range of temperatures, leading for instance to new strategies in materials synthesis, such as enzymatic cryo-polymerization.","author":[{"dropping-particle":"","family":"Sánchez-Leija","given":"R. J.","non-dropping-particle":"","parse-names":false,"suffix":""},{"dropping-particle":"","family":"Torres-Lubián","given":"J. R.","non-dropping-particle":"","parse-names":false,"suffix":""},{"dropping-particle":"","family":"Reséndiz-Rubio","given":"A.","non-dropping-particle":"","parse-names":false,"suffix":""},{"dropping-particle":"","family":"Luna-Bárcenas","given":"G.","non-dropping-particle":"","parse-names":false,"suffix":""},{"dropping-particle":"","family":"Mota-Morales","given":"J. D.","non-dropping-particle":"","parse-names":false,"suffix":""}],"container-title":"RSC Advances","id":"ITEM-1","issued":{"date-parts":[["2016"]]},"title":"Enzyme-mediated free radical polymerization of acrylamide in deep eutectic solvents","type":"article-journal"},"uris":["http://www.mendeley.com/documents/?uuid=d96dcaae-1050-4565-8788-be475466b2df"]}],"mendeley":{"formattedCitation":"[10]","plainTextFormattedCitation":"[10]","previouslyFormattedCitation":"(Sánchez-Leija &lt;i&gt;et al.&lt;/i&gt;, 2016)"},"properties":{"noteIndex":0},"schema":"https://github.com/citation-style-language/schema/raw/master/csl-citation.json"}</w:instrText>
      </w:r>
      <w:r>
        <w:rPr>
          <w:rFonts w:ascii="Times New Roman" w:hAnsi="Times New Roman"/>
          <w:sz w:val="20"/>
          <w:szCs w:val="20"/>
        </w:rPr>
        <w:fldChar w:fldCharType="separate"/>
      </w:r>
      <w:r>
        <w:rPr>
          <w:rFonts w:ascii="Times New Roman" w:hAnsi="Times New Roman"/>
          <w:noProof/>
          <w:sz w:val="20"/>
          <w:szCs w:val="20"/>
        </w:rPr>
        <w:t>[10]</w:t>
      </w:r>
      <w:r>
        <w:rPr>
          <w:rFonts w:ascii="Times New Roman" w:hAnsi="Times New Roman"/>
          <w:sz w:val="20"/>
          <w:szCs w:val="20"/>
        </w:rPr>
        <w:fldChar w:fldCharType="end"/>
      </w:r>
      <w:r>
        <w:rPr>
          <w:rFonts w:ascii="Times New Roman" w:hAnsi="Times New Roman"/>
          <w:sz w:val="20"/>
          <w:szCs w:val="20"/>
        </w:rPr>
        <w:t>. The outcome shows the polymer synthesized has similar molecular mass compared to the polymer synthesized in aqueous solution. Moreover, polyaniline synthesized in DES demonstrated exceptional conductivity reported at 50 S cm</w:t>
      </w:r>
      <w:r>
        <w:rPr>
          <w:rFonts w:ascii="Times New Roman" w:hAnsi="Times New Roman"/>
          <w:sz w:val="20"/>
          <w:szCs w:val="20"/>
          <w:vertAlign w:val="superscript"/>
        </w:rPr>
        <w:t>-1</w:t>
      </w:r>
      <w:r>
        <w:rPr>
          <w:rFonts w:ascii="Times New Roman" w:hAnsi="Times New Roman"/>
          <w:sz w:val="20"/>
          <w:szCs w:val="20"/>
        </w:rPr>
        <w:t xml:space="preserve"> </w:t>
      </w:r>
      <w:r>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{"citationItems":[{"id":"ITEM-1","itemData":{"DOI":"10.1007/s10800-012-0474-5","ISSN":"0021891X","abstract":"The use of inexpensive and biodegradable deep-eutectic ionic mixtures as solvents for the electrochemical synthesis of conducting polymers could potentially improve the sustainability of these processes and reduce their economic cost. Such an unexplored approach was investigated in this communication by growing a model polymer such as polyaniline from a 1:2 mixture of choline chloride and 1,2-ethanediol (the so-called Propeline) using potentiodynamic and potentiostatic electrochemical procedures. Beyond a preparation method, cyclic voltammetry was also used to characterize the growth of the polymers. The morphology of the films, and their optical properties, were assessed ex-situ by means of scanning electron microscopy and spectroscopic measurements in the UV-vis. The polyanilines thus prepared exhibited nanoparticulated morphology and high reversibility to doping/dedoping which evidences fast charge transport across the films. Excellent conductivities higher than 50 S cm-1 were found under this approach. © Springer Science+Business Media B.V. 2012.","author":[{"dropping-particle":"","family":"Fernandes","given":"Paula M.V.","non-dropping-particle":"","parse-names":false,"suffix":""},{"dropping-particle":"","family":"Campiña","given":"José M.","non-dropping-particle":"","parse-names":false,"suffix":""},{"dropping-particle":"","family":"Pereira","given":"Nuno M.","non-dropping-particle":"","parse-names":false,"suffix":""},{"dropping-particle":"","family":"Pereira","given":"Carlos M.","non-dropping-particle":"","parse-names":false,"suffix":""},{"dropping-particle":"","family":"Silva","given":"Fernando","non-dropping-particle":"","parse-names":false,"suffix":""}],"container-title":"Journal of Applied Electrochemistry","id":"ITEM-1","issued":{"date-parts":[["2012"]]},"title":"Biodegradable deep-eutectic mixtures as electrolytes for the electrochemical synthesis of conducting polymers","type":"article-journal"},"uris":["http://www.mendeley.com/documents/?uuid=8563e3e2-1216-4591-a6c7-840d7d4808d3","http://www.mendeley.com/documents/?uuid=f6349924-49ac-4366-b107-2d9242611869"]}],"mendeley":{"formattedCitation":"[11]","plainTextFormattedCitation":"[11]","previouslyFormattedCitation":"(Fernandes &lt;i&gt;et al.&lt;/i&gt;, 2012)"},"properties":{"noteIndex":0},"schema":"https://github.com/citation-style-language/schema/raw/master/csl-citation.json"}</w:instrText>
      </w:r>
      <w:r>
        <w:rPr>
          <w:rFonts w:ascii="Times New Roman" w:hAnsi="Times New Roman"/>
          <w:sz w:val="20"/>
          <w:szCs w:val="20"/>
        </w:rPr>
        <w:fldChar w:fldCharType="separate"/>
      </w:r>
      <w:r>
        <w:rPr>
          <w:rFonts w:ascii="Times New Roman" w:hAnsi="Times New Roman"/>
          <w:noProof/>
          <w:sz w:val="20"/>
          <w:szCs w:val="20"/>
        </w:rPr>
        <w:t>[11]</w:t>
      </w:r>
      <w:r>
        <w:rPr>
          <w:rFonts w:ascii="Times New Roman" w:hAnsi="Times New Roman"/>
          <w:sz w:val="20"/>
          <w:szCs w:val="20"/>
        </w:rPr>
        <w:fldChar w:fldCharType="end"/>
      </w:r>
      <w:r>
        <w:rPr>
          <w:rFonts w:ascii="Times New Roman" w:hAnsi="Times New Roman"/>
          <w:sz w:val="20"/>
          <w:szCs w:val="20"/>
        </w:rPr>
        <w:t xml:space="preserve">. The polyaniline shows excellent reversibility to doping/dedoping mechanisms which indicated rapid charge transfer. Furthermore, Type I DES has effectively utilized as a cationic catalyst for epoxy resin curing </w:t>
      </w:r>
      <w:r>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{"citationItems":[{"id":"ITEM-1","itemData":{"DOI":"10.1039/c5ra12664a","ISSN":"20462069","abstract":"The curing process of epoxy resin with deep eutectic solvents (DES), composed of choline chloride and ZnCl2 or SnCl2, as cationic catalysts has been investigated using rheometry, DSC and FTIR techniques. The differences between two DES types in the catalytic activity towards epoxy resin were discussed based on the pot life at room temperature evaluation, as well as onset temperatures and temperatures at maximum of DSC exotherms, as a function of DES/epoxy resin weight ratio. Moreover, a curing mechanism was proposed. Thermomechanical properties (glass transition temperature, tan δ), crosslink density, thermal resistance as well as the flammability of cured epoxy materials were determined.","author":[{"dropping-particle":"","family":"Maka","given":"Honorata","non-dropping-particle":"","parse-names":false,"suffix":""},{"dropping-particle":"","family":"Spychaj","given":"Tadeusz","non-dropping-particle":"","parse-names":false,"suffix":""},{"dropping-particle":"","family":"Adamus","given":"Jakub","non-dropping-particle":"","parse-names":false,"suffix":""}],"container-title":"RSC Advances","id":"ITEM-1","issued":{"date-parts":[["2015"]]},"title":"Lewis acid type deep eutectic solvents as catalysts for epoxy resin crosslinking","type":"article-journal"},"uris":["http://www.mendeley.com/documents/?uuid=370e4730-5cf9-464e-a865-455c8e407478","http://www.mendeley.com/documents/?uuid=18fd5994-519c-41c8-bd83-c1d9491e220c"]}],"mendeley":{"formattedCitation":"[12]","plainTextFormattedCitation":"[12]","previouslyFormattedCitation":"(Maka &lt;i&gt;et al.&lt;/i&gt;, 2015)"},"properties":{"noteIndex":0},"schema":"https://github.com/citation-style-language/schema/raw/master/csl-citation.json"}</w:instrText>
      </w:r>
      <w:r>
        <w:rPr>
          <w:rFonts w:ascii="Times New Roman" w:hAnsi="Times New Roman"/>
          <w:sz w:val="20"/>
          <w:szCs w:val="20"/>
        </w:rPr>
        <w:fldChar w:fldCharType="separate"/>
      </w:r>
      <w:r>
        <w:rPr>
          <w:rFonts w:ascii="Times New Roman" w:hAnsi="Times New Roman"/>
          <w:noProof/>
          <w:sz w:val="20"/>
          <w:szCs w:val="20"/>
        </w:rPr>
        <w:t>[12]</w:t>
      </w:r>
      <w:r>
        <w:rPr>
          <w:rFonts w:ascii="Times New Roman" w:hAnsi="Times New Roman"/>
          <w:sz w:val="20"/>
          <w:szCs w:val="20"/>
        </w:rPr>
        <w:fldChar w:fldCharType="end"/>
      </w:r>
      <w:r>
        <w:rPr>
          <w:rFonts w:ascii="Times New Roman" w:hAnsi="Times New Roman"/>
          <w:sz w:val="20"/>
          <w:szCs w:val="20"/>
        </w:rPr>
        <w:t xml:space="preserve">. </w:t>
      </w:r>
    </w:p>
    <w:p w14:paraId="55D165D5" w14:textId="77777777" w:rsidR="00F676D9" w:rsidRDefault="00F676D9" w:rsidP="00F676D9">
      <w:pPr>
        <w:pStyle w:val="ListParagraph"/>
        <w:spacing w:after="0"/>
        <w:ind w:left="0"/>
        <w:contextualSpacing w:val="0"/>
        <w:jc w:val="both"/>
        <w:rPr>
          <w:rFonts w:ascii="Times New Roman" w:hAnsi="Times New Roman"/>
          <w:sz w:val="20"/>
          <w:szCs w:val="20"/>
        </w:rPr>
      </w:pPr>
    </w:p>
    <w:p w14:paraId="5D3C7FF5" w14:textId="77777777" w:rsidR="00F676D9" w:rsidRDefault="00F676D9" w:rsidP="00F676D9">
      <w:pPr>
        <w:pStyle w:val="ListParagraph"/>
        <w:spacing w:after="0"/>
        <w:ind w:left="0"/>
        <w:contextualSpacing w:val="0"/>
        <w:jc w:val="both"/>
        <w:rPr>
          <w:rFonts w:ascii="Times New Roman" w:hAnsi="Times New Roman"/>
          <w:sz w:val="20"/>
          <w:szCs w:val="20"/>
        </w:rPr>
      </w:pPr>
      <w:r>
        <w:rPr>
          <w:rFonts w:ascii="Times New Roman" w:hAnsi="Times New Roman"/>
          <w:sz w:val="20"/>
          <w:szCs w:val="20"/>
        </w:rPr>
        <w:t xml:space="preserve">Despite that, DES being the synthesis solvent particularly in the formation of polymers are rarely examined in terms of polymerization parameters. Conventionally, electropolymerization of melamine was conducted in acidic electrolyte </w:t>
      </w:r>
      <w:r>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{"citationItems":[{"id":"ITEM-1","itemData":{"DOI":"10.1016/j.talanta.2013.11.075","ISSN":"00399140","abstract":"A sensitive and novel electrochemical method has been developed for the determination of an important neurotransmitter, serotonin, using a polymelamine modified edge plane pyrolytic graphite sensor (EPPGS). Melamine was used for the modification of sensor by electropolymerizing it at the surface of EPPGS in acidic medium to form a layer of conducting polymer. Field emission scanning electron microscopy (FE-SEM) and electrochemical impedance spectroscopy (EIS) were used for the characterization of the surface of polymer modified sensor. The electrochemical measurements were carried out using square wave voltammetry and cyclic voltammetry. The polymelamine modified sensor exhibited excellent electrocatalytic activity towards the electrochemical oxidation of serotonin, exhibiting a larger peak current and shift of peak potential to less positive potentials as compared to the unmodified sensor. The dynamic range for the serotonin determination was found between 1-100 μm and 0.1-100 μm with detection limit of 492 nM and 30 nM for unmodified and polymer modified sensors, respectively. The determination of serotonin in human blood serum and urine has been carried out. The common metabolites such as ascorbic acid, dopamine, xanthine and hypoxanthine do not interfere in the determination up to 10-fold concentration, revealing good selectivity of the proposed sensor. © 2013 Elsevier B.V.","author":[{"dropping-particle":"","family":"Gupta","given":"Pankaj","non-dropping-particle":"","parse-names":false,"suffix":""},{"dropping-particle":"","family":"Goyal","given":"Rajendra N.","non-dropping-particle":"","parse-names":false,"suffix":""}],"container-title":"Talanta","id":"ITEM-1","issued":{"date-parts":[["2014"]]},"title":"Polymelamine modified edge plane pyrolytic graphite sensor for the electrochemical assay of serotonin","type":"article-journal"},"uris":["http://www.mendeley.com/documents/?uuid=c26b671b-2f91-449f-86c6-66449c3d5a7c"]}],"mendeley":{"formattedCitation":"[1]","plainTextFormattedCitation":"[1]","previouslyFormattedCitation":"(Gupta and Goyal, 2014)"},"properties":{"noteIndex":0},"schema":"https://github.com/citation-style-language/schema/raw/master/csl-citation.json"}</w:instrText>
      </w:r>
      <w:r>
        <w:rPr>
          <w:rFonts w:ascii="Times New Roman" w:hAnsi="Times New Roman"/>
          <w:sz w:val="20"/>
          <w:szCs w:val="20"/>
        </w:rPr>
        <w:fldChar w:fldCharType="separate"/>
      </w:r>
      <w:r>
        <w:rPr>
          <w:rFonts w:ascii="Times New Roman" w:hAnsi="Times New Roman"/>
          <w:noProof/>
          <w:sz w:val="20"/>
          <w:szCs w:val="20"/>
        </w:rPr>
        <w:t>[1]</w:t>
      </w:r>
      <w:r>
        <w:rPr>
          <w:rFonts w:ascii="Times New Roman" w:hAnsi="Times New Roman"/>
          <w:sz w:val="20"/>
          <w:szCs w:val="20"/>
        </w:rPr>
        <w:fldChar w:fldCharType="end"/>
      </w:r>
      <w:r>
        <w:rPr>
          <w:rFonts w:ascii="Times New Roman" w:hAnsi="Times New Roman"/>
          <w:sz w:val="20"/>
          <w:szCs w:val="20"/>
        </w:rPr>
        <w:t xml:space="preserve">. Acidic electrolyte with pH less than two is the key for the growth and establishment of radical cations that required in rate-limiting step during the electropolymerization of melamine. In accordance with our published work, we have successfully superseded the conventional acidic electrolyte with DES. PME synthesized in DES manifests excellent sensitivity, specificity, and stability </w:t>
      </w:r>
      <w:r>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{"citationItems":[{"id":"ITEM-1","itemData":{"DOI":"10.1007/s12678-021-00648-9","ISSN":"18685994","abstract":"We report here for the first time the polymerization of melamine in three different type III deep eutectic solvents (DESs), namely ethaline, glyceline and reline. The novel DESs functionalized polymelamine (PME-DESs) modified glassy carbon electrode was compared with conventional electrolytes including sulphuric acid and neutral Cl− aqueous solution. The key effect of the potential window, the acidity of the electrolyte, concentration of melamine and Cl− and the temperature of electrolyte on the polymerization of melamine have been further studied to choose the best PME-DESs. The selected PME(ethaline) was further incorporated with hydroxyl functionalized multi-walled carbon nanotube (f-WMCNTs) and applied in selective sensing of dopamine. PME(ethaline)/f-MWCNTs/GCE demonstrated excellent electrocatalytic activity towards dopamine oxidation. The observed linear range for the detection of dopamine concentration, without interferences through differential pulse voltammetry (DPV), was from 1.0 μM to 1.0 mM (R2 = 0.9924), with a detection limit of 288 nM (S/N = 3). Studies proved that the modified electrode can be successfully applied for the quantitative determination of dopamine both with and without interferences. Graphical abstract: Electrochemical characterization of melamine electropolymerized in deep eutectic solvents for selective detection of dopamine[Figure not available: see fulltext.]","author":[{"dropping-particle":"","family":"Chang","given":"Yeet Hoong","non-dropping-particle":"","parse-names":false,"suffix":""},{"dropping-particle":"","family":"Woi","given":"Pei Meng","non-dropping-particle":"","parse-names":false,"suffix":""},{"dropping-particle":"","family":"Alias","given":"Yatimah Binti","non-dropping-particle":"","parse-names":false,"suffix":""}],"container-title":"Electrocatalysis","id":"ITEM-1","issued":{"date-parts":[["2021"]]},"title":"Electrochemical Characterization of Melamine Electropolymerized in Deep Eutectic Solvents for Selective Detection of Dopamine","type":"article-journal"},"uris":["http://www.mendeley.com/documents/?uuid=a092522f-2371-4ff4-a953-ae0b117422d7","http://www.mendeley.com/documents/?uuid=80e12474-791a-4f62-889c-6513eb00dcaa"]}],"mendeley":{"formattedCitation":"[13]","plainTextFormattedCitation":"[13]","previouslyFormattedCitation":"(Chang &lt;i&gt;et al.&lt;/i&gt;, 2021)"},"properties":{"noteIndex":0},"schema":"https://github.com/citation-style-language/schema/raw/master/csl-citation.json"}</w:instrText>
      </w:r>
      <w:r>
        <w:rPr>
          <w:rFonts w:ascii="Times New Roman" w:hAnsi="Times New Roman"/>
          <w:sz w:val="20"/>
          <w:szCs w:val="20"/>
        </w:rPr>
        <w:fldChar w:fldCharType="separate"/>
      </w:r>
      <w:r>
        <w:rPr>
          <w:rFonts w:ascii="Times New Roman" w:hAnsi="Times New Roman"/>
          <w:noProof/>
          <w:sz w:val="20"/>
          <w:szCs w:val="20"/>
        </w:rPr>
        <w:t>[13]</w:t>
      </w:r>
      <w:r>
        <w:rPr>
          <w:rFonts w:ascii="Times New Roman" w:hAnsi="Times New Roman"/>
          <w:sz w:val="20"/>
          <w:szCs w:val="20"/>
        </w:rPr>
        <w:fldChar w:fldCharType="end"/>
      </w:r>
      <w:r>
        <w:rPr>
          <w:rFonts w:ascii="Times New Roman" w:hAnsi="Times New Roman"/>
          <w:sz w:val="20"/>
          <w:szCs w:val="20"/>
        </w:rPr>
        <w:t>. In this work, we focus on the optimization of polymerization parameters, and discuss the effect of these parameters in polymerization of melamine. Reline is selected as study target due to the enlightenment of the novel perception asserted that chloride ion (Cl</w:t>
      </w:r>
      <w:r>
        <w:rPr>
          <w:rFonts w:ascii="Times New Roman" w:hAnsi="Times New Roman"/>
          <w:sz w:val="20"/>
          <w:szCs w:val="20"/>
          <w:vertAlign w:val="superscript"/>
        </w:rPr>
        <w:t>-</w:t>
      </w:r>
      <w:r>
        <w:rPr>
          <w:rFonts w:ascii="Times New Roman" w:hAnsi="Times New Roman"/>
          <w:sz w:val="20"/>
          <w:szCs w:val="20"/>
        </w:rPr>
        <w:t xml:space="preserve">) is the vital factor for PME formation </w:t>
      </w:r>
      <w:r>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{"citationItems":[{"id":"ITEM-1","itemData":{"DOI":"10.1016/j.electacta.2018.03.146","ISSN":"00134686","abstract":"Electropolymerization of melamine, 1,3,5-triazine-2,4,6-triamine, has been investigated here in aqueous solutions in a very wide pH range, which formerly was believed to be confined only in an acidic medium. We report here for the first time the polymerization can take place in neutral and alkaline besides acidic solution in presence of Cl − ions. The key effects of the acidity of solution, potential window and concentration of Cl − ions and melamine monomer on the polymelamine (pMel) deposition have been further confirmed one by one, respectively. We proved that presence of Cl − ions is the necessary condition rather than H + . The electropolymerization of melamine is very sensitive to Cl − (even in 1 mM), and in situ electrogeneration of active chlorine effectively promote the growth of pMel film in separate solutions with different pH. Based on the relevant reactions during the process of electropolymerization, a tentative mechanism is given here. With this knowledge, a better control of the electrochemical synthesis can be envisioned, thus making pMel film suitable for the construction of multifunctional platforms.","author":[{"dropping-particle":"","family":"Chen","given":"Shu","non-dropping-particle":"","parse-names":false,"suffix":""},{"dropping-particle":"","family":"Liu","given":"Siyuan","non-dropping-particle":"","parse-names":false,"suffix":""},{"dropping-particle":"","family":"Wen","given":"Aoli","non-dropping-particle":"","parse-names":false,"suffix":""},{"dropping-particle":"","family":"Zhang","given":"Jie","non-dropping-particle":"","parse-names":false,"suffix":""},{"dropping-particle":"","family":"Nie","given":"Huidong","non-dropping-particle":"","parse-names":false,"suffix":""},{"dropping-particle":"","family":"Chen","given":"Jian","non-dropping-particle":"","parse-names":false,"suffix":""},{"dropping-particle":"","family":"Zeng","given":"Rongjin","non-dropping-particle":"","parse-names":false,"suffix":""},{"dropping-particle":"","family":"Long","given":"Yunfei","non-dropping-particle":"","parse-names":false,"suffix":""},{"dropping-particle":"","family":"Jin","given":"Yongxi","non-dropping-particle":"","parse-names":false,"suffix":""},{"dropping-particle":"","family":"Mai","given":"Ruimin","non-dropping-particle":"","parse-names":false,"suffix":""}],"container-title":"Electrochimica Acta","id":"ITEM-1","issued":{"date-parts":[["2018"]]},"title":"New insight into electropolymerization of melamine. I: Chloride promoted growth of polymelamine in different pH medium","type":"article-journal"},"uris":["http://www.mendeley.com/documents/?uuid=2b283bf1-b401-41cf-8924-b003404ad42a"]}],"mendeley":{"formattedCitation":"[14]","plainTextFormattedCitation":"[14]","previouslyFormattedCitation":"(Chen &lt;i&gt;et al.&lt;/i&gt;, 2018)"},"properties":{"noteIndex":0},"schema":"https://github.com/citation-style-language/schema/raw/master/csl-citation.json"}</w:instrText>
      </w:r>
      <w:r>
        <w:rPr>
          <w:rFonts w:ascii="Times New Roman" w:hAnsi="Times New Roman"/>
          <w:sz w:val="20"/>
          <w:szCs w:val="20"/>
        </w:rPr>
        <w:fldChar w:fldCharType="separate"/>
      </w:r>
      <w:r>
        <w:rPr>
          <w:rFonts w:ascii="Times New Roman" w:hAnsi="Times New Roman"/>
          <w:noProof/>
          <w:sz w:val="20"/>
          <w:szCs w:val="20"/>
        </w:rPr>
        <w:t>[14]</w:t>
      </w:r>
      <w:r>
        <w:rPr>
          <w:rFonts w:ascii="Times New Roman" w:hAnsi="Times New Roman"/>
          <w:sz w:val="20"/>
          <w:szCs w:val="20"/>
        </w:rPr>
        <w:fldChar w:fldCharType="end"/>
      </w:r>
      <w:r>
        <w:rPr>
          <w:rFonts w:ascii="Times New Roman" w:hAnsi="Times New Roman"/>
          <w:sz w:val="20"/>
          <w:szCs w:val="20"/>
        </w:rPr>
        <w:t>. Reline is a mixture of choline chloride and urea in 1:2 ratio, urea molecules offer plentiful positive hydrogen bonding spot to adopt the Cl</w:t>
      </w:r>
      <w:r>
        <w:rPr>
          <w:rFonts w:ascii="Times New Roman" w:hAnsi="Times New Roman"/>
          <w:sz w:val="20"/>
          <w:szCs w:val="20"/>
          <w:vertAlign w:val="superscript"/>
        </w:rPr>
        <w:t>-</w:t>
      </w:r>
      <w:r>
        <w:rPr>
          <w:rFonts w:ascii="Times New Roman" w:hAnsi="Times New Roman"/>
          <w:sz w:val="20"/>
          <w:szCs w:val="20"/>
        </w:rPr>
        <w:t xml:space="preserve"> negative ion into their polar matrix </w:t>
      </w:r>
      <w:r>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{"citationItems":[{"id":"ITEM-1","itemData":{"DOI":"10.1016/j.cpletx.2018.100001","ISSN":"25901419","abstract":"The structural properties of two different deep eutectic solvents (DESs), namely a 1:2 mixture of choline chloride and urea and a 1:2 mixture of butyltrimethylammonium chloride and urea, have been investigated by means of Molecular Dynamics simulations. The presence or not of a hydroxyl group on the organic cation has been found to strongly affect the DES hydrogen bond network, giving rise to a different three dimensional arrangement of all the species present in the mixtures. These findings can have important implications in the future development of DESs for specific applications.","author":[{"dropping-particle":"","family":"Migliorati","given":"Valentina","non-dropping-particle":"","parse-names":false,"suffix":""},{"dropping-particle":"","family":"Sessa","given":"Francesco","non-dropping-particle":"","parse-names":false,"suffix":""},{"dropping-particle":"","family":"D'Angelo","given":"Paola","non-dropping-particle":"","parse-names":false,"suffix":""}],"container-title":"Chemical Physics Letters: X","id":"ITEM-1","issued":{"date-parts":[["2019"]]},"title":"Deep eutectic solvents: A structural point of view on the role of the cation","type":"article-journal"},"uris":["http://www.mendeley.com/documents/?uuid=ed8440e8-8119-48b9-a5e9-806b8349efdc","http://www.mendeley.com/documents/?uuid=170f2776-6461-4ea0-9777-05996d1747b4"]}],"mendeley":{"formattedCitation":"[15]","plainTextFormattedCitation":"[15]","previouslyFormattedCitation":"(Migliorati &lt;i&gt;et al.&lt;/i&gt;, 2019)"},"properties":{"noteIndex":0},"schema":"https://github.com/citation-style-language/schema/raw/master/csl-citation.json"}</w:instrText>
      </w:r>
      <w:r>
        <w:rPr>
          <w:rFonts w:ascii="Times New Roman" w:hAnsi="Times New Roman"/>
          <w:sz w:val="20"/>
          <w:szCs w:val="20"/>
        </w:rPr>
        <w:fldChar w:fldCharType="separate"/>
      </w:r>
      <w:r>
        <w:rPr>
          <w:rFonts w:ascii="Times New Roman" w:hAnsi="Times New Roman"/>
          <w:noProof/>
          <w:sz w:val="20"/>
          <w:szCs w:val="20"/>
        </w:rPr>
        <w:t>[15]</w:t>
      </w:r>
      <w:r>
        <w:rPr>
          <w:rFonts w:ascii="Times New Roman" w:hAnsi="Times New Roman"/>
          <w:sz w:val="20"/>
          <w:szCs w:val="20"/>
        </w:rPr>
        <w:fldChar w:fldCharType="end"/>
      </w:r>
      <w:r>
        <w:rPr>
          <w:rFonts w:ascii="Times New Roman" w:hAnsi="Times New Roman"/>
          <w:sz w:val="20"/>
          <w:szCs w:val="20"/>
        </w:rPr>
        <w:t xml:space="preserve">. PME synthesized in reline is then applied in electrochemical qualification and quantification of dopamine (DA). </w:t>
      </w:r>
    </w:p>
    <w:p w14:paraId="7505C333" w14:textId="77777777" w:rsidR="00F676D9" w:rsidRDefault="00F676D9" w:rsidP="00F676D9">
      <w:pPr>
        <w:pStyle w:val="ListParagraph"/>
        <w:spacing w:after="0"/>
        <w:ind w:left="0"/>
        <w:contextualSpacing w:val="0"/>
        <w:jc w:val="center"/>
        <w:rPr>
          <w:rFonts w:ascii="Times New Roman" w:hAnsi="Times New Roman"/>
          <w:sz w:val="20"/>
          <w:szCs w:val="20"/>
        </w:rPr>
      </w:pPr>
    </w:p>
    <w:p w14:paraId="791E7CA0" w14:textId="77777777" w:rsidR="00F676D9" w:rsidRDefault="00F676D9" w:rsidP="00F676D9">
      <w:pPr>
        <w:pStyle w:val="ListParagraph"/>
        <w:spacing w:after="0"/>
        <w:ind w:left="0"/>
        <w:contextualSpacing w:val="0"/>
        <w:jc w:val="center"/>
        <w:rPr>
          <w:rFonts w:ascii="Times New Roman" w:hAnsi="Times New Roman"/>
          <w:b/>
          <w:bCs/>
          <w:sz w:val="20"/>
          <w:szCs w:val="20"/>
        </w:rPr>
      </w:pPr>
      <w:r>
        <w:rPr>
          <w:rFonts w:ascii="Times New Roman" w:hAnsi="Times New Roman"/>
          <w:b/>
          <w:bCs/>
          <w:sz w:val="20"/>
          <w:szCs w:val="20"/>
        </w:rPr>
        <w:t>Materials and Methods</w:t>
      </w:r>
    </w:p>
    <w:p w14:paraId="21A00521" w14:textId="77777777" w:rsidR="00F676D9" w:rsidRDefault="00F676D9" w:rsidP="00F676D9">
      <w:pPr>
        <w:pStyle w:val="ListParagraph"/>
        <w:spacing w:after="0"/>
        <w:ind w:left="0"/>
        <w:contextualSpacing w:val="0"/>
        <w:jc w:val="both"/>
        <w:rPr>
          <w:rFonts w:ascii="Times New Roman" w:hAnsi="Times New Roman"/>
          <w:b/>
          <w:bCs/>
          <w:sz w:val="20"/>
          <w:szCs w:val="20"/>
        </w:rPr>
      </w:pPr>
      <w:r>
        <w:rPr>
          <w:rFonts w:ascii="Times New Roman" w:hAnsi="Times New Roman"/>
          <w:b/>
          <w:bCs/>
          <w:sz w:val="20"/>
          <w:szCs w:val="20"/>
        </w:rPr>
        <w:t>Materials</w:t>
      </w:r>
    </w:p>
    <w:p w14:paraId="12F19856" w14:textId="77777777" w:rsidR="00F676D9" w:rsidRDefault="00F676D9" w:rsidP="00F676D9">
      <w:pPr>
        <w:spacing w:after="0"/>
        <w:jc w:val="both"/>
        <w:rPr>
          <w:rFonts w:ascii="Times New Roman" w:hAnsi="Times New Roman"/>
          <w:sz w:val="20"/>
          <w:szCs w:val="20"/>
        </w:rPr>
      </w:pPr>
      <w:r>
        <w:rPr>
          <w:rFonts w:ascii="Times New Roman" w:hAnsi="Times New Roman"/>
          <w:sz w:val="20"/>
          <w:szCs w:val="20"/>
        </w:rPr>
        <w:t xml:space="preserve">Melamine monomer, choline chloride, ethylene glycol, urea, glycerol, dopamine (DA), potassium dihydrogen </w:t>
      </w:r>
      <w:r>
        <w:rPr>
          <w:rFonts w:ascii="Times New Roman" w:hAnsi="Times New Roman"/>
          <w:sz w:val="20"/>
          <w:szCs w:val="20"/>
        </w:rPr>
        <w:lastRenderedPageBreak/>
        <w:t>phosphate (KH</w:t>
      </w:r>
      <w:r>
        <w:rPr>
          <w:rFonts w:ascii="Times New Roman" w:hAnsi="Times New Roman"/>
          <w:sz w:val="20"/>
          <w:szCs w:val="20"/>
          <w:vertAlign w:val="subscript"/>
        </w:rPr>
        <w:t>2</w:t>
      </w:r>
      <w:r>
        <w:rPr>
          <w:rFonts w:ascii="Times New Roman" w:hAnsi="Times New Roman"/>
          <w:sz w:val="20"/>
          <w:szCs w:val="20"/>
        </w:rPr>
        <w:t>PO</w:t>
      </w:r>
      <w:r>
        <w:rPr>
          <w:rFonts w:ascii="Times New Roman" w:hAnsi="Times New Roman"/>
          <w:sz w:val="20"/>
          <w:szCs w:val="20"/>
          <w:vertAlign w:val="subscript"/>
        </w:rPr>
        <w:t>4</w:t>
      </w:r>
      <w:r>
        <w:rPr>
          <w:rFonts w:ascii="Times New Roman" w:hAnsi="Times New Roman"/>
          <w:sz w:val="20"/>
          <w:szCs w:val="20"/>
        </w:rPr>
        <w:t>) and potassium hydrogen phosphate (K</w:t>
      </w:r>
      <w:r>
        <w:rPr>
          <w:rFonts w:ascii="Times New Roman" w:hAnsi="Times New Roman"/>
          <w:sz w:val="20"/>
          <w:szCs w:val="20"/>
          <w:vertAlign w:val="subscript"/>
        </w:rPr>
        <w:t>2</w:t>
      </w:r>
      <w:r>
        <w:rPr>
          <w:rFonts w:ascii="Times New Roman" w:hAnsi="Times New Roman"/>
          <w:sz w:val="20"/>
          <w:szCs w:val="20"/>
        </w:rPr>
        <w:t>HPO</w:t>
      </w:r>
      <w:r>
        <w:rPr>
          <w:rFonts w:ascii="Times New Roman" w:hAnsi="Times New Roman"/>
          <w:sz w:val="20"/>
          <w:szCs w:val="20"/>
          <w:vertAlign w:val="subscript"/>
        </w:rPr>
        <w:t>4</w:t>
      </w:r>
      <w:r>
        <w:rPr>
          <w:rFonts w:ascii="Times New Roman" w:hAnsi="Times New Roman"/>
          <w:sz w:val="20"/>
          <w:szCs w:val="20"/>
        </w:rPr>
        <w:t>) were purchased from Sigma Aldrich. Ultra-pure deionized (DI) water with a resistance of 18.3 MΩcm (Merck Synergy) was used in all sample preparations. All the chemical reagents were of analytical grade and were used without further purification.</w:t>
      </w:r>
    </w:p>
    <w:p w14:paraId="596DCA72" w14:textId="77777777" w:rsidR="00F676D9" w:rsidRDefault="00F676D9" w:rsidP="00F676D9">
      <w:pPr>
        <w:spacing w:after="0"/>
        <w:jc w:val="both"/>
        <w:rPr>
          <w:rFonts w:ascii="Times New Roman" w:hAnsi="Times New Roman"/>
          <w:sz w:val="20"/>
          <w:szCs w:val="20"/>
        </w:rPr>
      </w:pPr>
    </w:p>
    <w:p w14:paraId="63FC61E3" w14:textId="77777777" w:rsidR="00F676D9" w:rsidRDefault="00F676D9" w:rsidP="00F676D9">
      <w:pPr>
        <w:spacing w:after="0"/>
        <w:jc w:val="both"/>
        <w:rPr>
          <w:rFonts w:ascii="Times New Roman" w:hAnsi="Times New Roman"/>
          <w:b/>
          <w:sz w:val="20"/>
          <w:szCs w:val="20"/>
        </w:rPr>
      </w:pPr>
      <w:r>
        <w:rPr>
          <w:rFonts w:ascii="Times New Roman" w:hAnsi="Times New Roman"/>
          <w:b/>
          <w:sz w:val="20"/>
          <w:szCs w:val="20"/>
        </w:rPr>
        <w:t>Instrumentation</w:t>
      </w:r>
    </w:p>
    <w:p w14:paraId="64441F93" w14:textId="77777777" w:rsidR="00F676D9" w:rsidRDefault="00F676D9" w:rsidP="00F676D9">
      <w:pPr>
        <w:spacing w:after="0"/>
        <w:jc w:val="both"/>
        <w:rPr>
          <w:rFonts w:ascii="Times New Roman" w:hAnsi="Times New Roman"/>
          <w:sz w:val="20"/>
          <w:szCs w:val="20"/>
          <w:lang w:val="en-MY"/>
        </w:rPr>
      </w:pPr>
      <w:r>
        <w:rPr>
          <w:rFonts w:ascii="Times New Roman" w:hAnsi="Times New Roman"/>
          <w:color w:val="000000"/>
          <w:sz w:val="20"/>
          <w:szCs w:val="20"/>
        </w:rPr>
        <w:t xml:space="preserve">The surface morphology of the bare and modiﬁed sensor was studied by using Horizontal Attenuated Total Reﬂectance-infrared spectroscopy (HATR-IR, PerkinElmer, Inc). </w:t>
      </w:r>
      <w:r>
        <w:rPr>
          <w:rFonts w:ascii="Times New Roman" w:hAnsi="Times New Roman"/>
          <w:sz w:val="20"/>
          <w:szCs w:val="20"/>
        </w:rPr>
        <w:t>All electrochemical experiments were carried out by Autolab potentiostat/galvanostat PGSTAT-302N with an ordinary three electrodes system, containing glassy carbon electrode (GCE) (ALS-Japan, diameter = 3.0 mm, surface area = 0.071 cm</w:t>
      </w:r>
      <w:r>
        <w:rPr>
          <w:rFonts w:ascii="Times New Roman" w:hAnsi="Times New Roman"/>
          <w:sz w:val="20"/>
          <w:szCs w:val="20"/>
          <w:vertAlign w:val="superscript"/>
        </w:rPr>
        <w:t>2</w:t>
      </w:r>
      <w:r>
        <w:rPr>
          <w:rFonts w:ascii="Times New Roman" w:hAnsi="Times New Roman"/>
          <w:sz w:val="20"/>
          <w:szCs w:val="20"/>
        </w:rPr>
        <w:t xml:space="preserve"> ) as working electrode, a platinum braid wire (BASi, diameter = 1.0 mm, surface area = 0.008 cm</w:t>
      </w:r>
      <w:r>
        <w:rPr>
          <w:rFonts w:ascii="Times New Roman" w:hAnsi="Times New Roman"/>
          <w:sz w:val="20"/>
          <w:szCs w:val="20"/>
          <w:vertAlign w:val="superscript"/>
        </w:rPr>
        <w:t>2</w:t>
      </w:r>
      <w:r>
        <w:rPr>
          <w:rFonts w:ascii="Times New Roman" w:hAnsi="Times New Roman"/>
          <w:sz w:val="20"/>
          <w:szCs w:val="20"/>
        </w:rPr>
        <w:t>)</w:t>
      </w:r>
      <w:r>
        <w:rPr>
          <w:rFonts w:ascii="Times New Roman" w:hAnsi="Times New Roman"/>
          <w:sz w:val="20"/>
          <w:szCs w:val="20"/>
          <w:lang w:val="en-MY"/>
        </w:rPr>
        <w:t xml:space="preserve"> </w:t>
      </w:r>
      <w:r>
        <w:rPr>
          <w:rFonts w:ascii="Times New Roman" w:hAnsi="Times New Roman"/>
          <w:sz w:val="20"/>
          <w:szCs w:val="20"/>
        </w:rPr>
        <w:t>as counter electrode and sodium chloride (KCl) saturated Ag/AgCl (BASi) as the reference electrode. All the potential readings were referred to Ag/AgCl unless stated elsewhere. A pseudo reference electrode (Ag wire, BASi, diameter = 1.0 mm, surface area = 0.008 cm</w:t>
      </w:r>
      <w:r>
        <w:rPr>
          <w:rFonts w:ascii="Times New Roman" w:hAnsi="Times New Roman"/>
          <w:sz w:val="20"/>
          <w:szCs w:val="20"/>
          <w:vertAlign w:val="superscript"/>
        </w:rPr>
        <w:t>2</w:t>
      </w:r>
      <w:r>
        <w:rPr>
          <w:rFonts w:ascii="Times New Roman" w:hAnsi="Times New Roman"/>
          <w:sz w:val="20"/>
          <w:szCs w:val="20"/>
        </w:rPr>
        <w:t xml:space="preserve">) was employed for electrochemical polymerization of polymer in DES or mixtures. The referred reading of the pseudo wire with respect to the Ag/AgCl electrode was at + 90 mV. Amperometry analysis of DA was conducted at constant potential (0.20 V) in PBS (0.10 M, pH 7.0). </w:t>
      </w:r>
    </w:p>
    <w:p w14:paraId="247C29A3" w14:textId="77777777" w:rsidR="00F676D9" w:rsidRDefault="00F676D9" w:rsidP="00F676D9">
      <w:pPr>
        <w:spacing w:after="0"/>
        <w:jc w:val="both"/>
        <w:rPr>
          <w:rFonts w:ascii="Times New Roman" w:eastAsiaTheme="minorEastAsia" w:hAnsi="Times New Roman"/>
          <w:sz w:val="20"/>
          <w:szCs w:val="20"/>
        </w:rPr>
      </w:pPr>
    </w:p>
    <w:p w14:paraId="4A5626E2" w14:textId="77777777" w:rsidR="00F676D9" w:rsidRDefault="00F676D9" w:rsidP="00F676D9">
      <w:pPr>
        <w:pStyle w:val="ListParagraph"/>
        <w:spacing w:after="0"/>
        <w:ind w:left="0"/>
        <w:contextualSpacing w:val="0"/>
        <w:jc w:val="both"/>
        <w:rPr>
          <w:rFonts w:ascii="Times New Roman" w:hAnsi="Times New Roman"/>
          <w:b/>
          <w:bCs/>
          <w:sz w:val="20"/>
          <w:szCs w:val="20"/>
        </w:rPr>
      </w:pPr>
      <w:r>
        <w:rPr>
          <w:rFonts w:ascii="Times New Roman" w:hAnsi="Times New Roman"/>
          <w:b/>
          <w:bCs/>
          <w:sz w:val="20"/>
          <w:szCs w:val="20"/>
        </w:rPr>
        <w:t>Preparation of deep eutectic solvent</w:t>
      </w:r>
    </w:p>
    <w:p w14:paraId="661E8FAE" w14:textId="77777777" w:rsidR="00F676D9" w:rsidRDefault="00F676D9" w:rsidP="00F676D9">
      <w:pPr>
        <w:spacing w:after="0"/>
        <w:jc w:val="both"/>
        <w:rPr>
          <w:rFonts w:ascii="Times New Roman" w:hAnsi="Times New Roman"/>
          <w:sz w:val="20"/>
          <w:szCs w:val="20"/>
        </w:rPr>
      </w:pPr>
      <w:r>
        <w:rPr>
          <w:rFonts w:ascii="Times New Roman" w:hAnsi="Times New Roman"/>
          <w:sz w:val="20"/>
          <w:szCs w:val="20"/>
        </w:rPr>
        <w:t>Type III DES - reline was prepared by mixing choline chloride into urea, in 1:2 molar ratio. The mixture was heat under oil bath with control temperature from 55ºC to 60ºC until a clear solution was obtained. Reline was then set aside to cool down to ambient temperature prior served as supporting electrolyte for the electropolymerization of melamine.</w:t>
      </w:r>
    </w:p>
    <w:p w14:paraId="3D7AEF69" w14:textId="77777777" w:rsidR="00F676D9" w:rsidRDefault="00F676D9" w:rsidP="00F676D9">
      <w:pPr>
        <w:spacing w:after="0"/>
        <w:jc w:val="both"/>
        <w:rPr>
          <w:rFonts w:ascii="Times New Roman" w:hAnsi="Times New Roman"/>
          <w:sz w:val="20"/>
          <w:szCs w:val="20"/>
        </w:rPr>
      </w:pPr>
    </w:p>
    <w:p w14:paraId="303F69E2" w14:textId="77777777" w:rsidR="00F676D9" w:rsidRPr="001D1A16" w:rsidRDefault="00F676D9" w:rsidP="00F676D9">
      <w:pPr>
        <w:pStyle w:val="Heading1"/>
        <w:spacing w:before="0"/>
        <w:contextualSpacing w:val="0"/>
        <w:jc w:val="both"/>
        <w:rPr>
          <w:rFonts w:ascii="Times New Roman" w:hAnsi="Times New Roman"/>
          <w:b/>
          <w:bCs/>
          <w:smallCaps w:val="0"/>
          <w:color w:val="000000" w:themeColor="text1"/>
          <w:sz w:val="20"/>
          <w:szCs w:val="20"/>
        </w:rPr>
      </w:pPr>
      <w:r w:rsidRPr="001D1A16">
        <w:rPr>
          <w:rFonts w:ascii="Times New Roman" w:hAnsi="Times New Roman"/>
          <w:b/>
          <w:bCs/>
          <w:smallCaps w:val="0"/>
          <w:color w:val="000000" w:themeColor="text1"/>
          <w:sz w:val="20"/>
          <w:szCs w:val="20"/>
        </w:rPr>
        <w:t>Preparation of 0.10 mM melamine(reline) solution</w:t>
      </w:r>
    </w:p>
    <w:p w14:paraId="0BCDDBAC" w14:textId="77777777" w:rsidR="00F676D9" w:rsidRDefault="00F676D9" w:rsidP="00F676D9">
      <w:pPr>
        <w:spacing w:after="0"/>
        <w:jc w:val="both"/>
        <w:rPr>
          <w:rFonts w:ascii="Times New Roman" w:hAnsi="Times New Roman"/>
          <w:sz w:val="20"/>
          <w:szCs w:val="20"/>
        </w:rPr>
      </w:pPr>
      <w:r>
        <w:rPr>
          <w:rFonts w:ascii="Times New Roman" w:hAnsi="Times New Roman"/>
          <w:sz w:val="20"/>
          <w:szCs w:val="20"/>
        </w:rPr>
        <w:t xml:space="preserve">A 10.0 mM of melamine was prepared by mixing 5.0 mg of melamine into 4.0 mL reline followed by ultrasonication for 30 minutes until a homogeneous </w:t>
      </w:r>
      <w:r>
        <w:rPr>
          <w:rFonts w:ascii="Times New Roman" w:hAnsi="Times New Roman"/>
          <w:sz w:val="20"/>
          <w:szCs w:val="20"/>
        </w:rPr>
        <w:t>solution is achieved. The as-prepared melamine solution was named as melamine(reline).</w:t>
      </w:r>
    </w:p>
    <w:p w14:paraId="7370FD6B" w14:textId="77777777" w:rsidR="00F676D9" w:rsidRDefault="00F676D9" w:rsidP="00F676D9">
      <w:pPr>
        <w:spacing w:after="0"/>
        <w:ind w:firstLine="284"/>
        <w:jc w:val="both"/>
        <w:rPr>
          <w:rFonts w:ascii="Times New Roman" w:hAnsi="Times New Roman"/>
          <w:sz w:val="20"/>
          <w:szCs w:val="20"/>
        </w:rPr>
      </w:pPr>
    </w:p>
    <w:p w14:paraId="50B6EAF4" w14:textId="77777777" w:rsidR="00F676D9" w:rsidRDefault="00F676D9" w:rsidP="00F676D9">
      <w:pPr>
        <w:spacing w:after="0"/>
        <w:jc w:val="both"/>
        <w:rPr>
          <w:rFonts w:ascii="Times New Roman" w:hAnsi="Times New Roman"/>
          <w:b/>
          <w:bCs/>
          <w:color w:val="FF0000"/>
          <w:sz w:val="20"/>
          <w:szCs w:val="20"/>
        </w:rPr>
      </w:pPr>
      <w:r>
        <w:rPr>
          <w:rFonts w:ascii="Times New Roman" w:hAnsi="Times New Roman"/>
          <w:b/>
          <w:bCs/>
          <w:sz w:val="20"/>
          <w:szCs w:val="20"/>
        </w:rPr>
        <w:t>Synthesis of PME(reline)/GCE</w:t>
      </w:r>
      <w:r>
        <w:rPr>
          <w:sz w:val="20"/>
          <w:szCs w:val="20"/>
        </w:rPr>
        <w:t xml:space="preserve"> </w:t>
      </w:r>
    </w:p>
    <w:p w14:paraId="146080DD" w14:textId="77777777" w:rsidR="00F676D9" w:rsidRDefault="00F676D9" w:rsidP="00F676D9">
      <w:pPr>
        <w:spacing w:after="0"/>
        <w:jc w:val="both"/>
        <w:rPr>
          <w:rFonts w:ascii="Times New Roman" w:hAnsi="Times New Roman"/>
          <w:sz w:val="20"/>
          <w:szCs w:val="20"/>
        </w:rPr>
      </w:pPr>
      <w:r>
        <w:rPr>
          <w:rFonts w:ascii="Times New Roman" w:hAnsi="Times New Roman"/>
          <w:color w:val="000000" w:themeColor="text1"/>
          <w:sz w:val="20"/>
          <w:szCs w:val="20"/>
        </w:rPr>
        <w:t>GCE w</w:t>
      </w:r>
      <w:r>
        <w:rPr>
          <w:rFonts w:ascii="Times New Roman" w:hAnsi="Times New Roman"/>
          <w:sz w:val="20"/>
          <w:szCs w:val="20"/>
        </w:rPr>
        <w:t>as gently polished with 0.05 μM alumina slurry and then rinsed with DI water and ethanol a few times until a clean mirror-like surface was obtained.</w:t>
      </w:r>
      <w:r>
        <w:rPr>
          <w:sz w:val="20"/>
          <w:szCs w:val="20"/>
        </w:rPr>
        <w:t xml:space="preserve"> </w:t>
      </w:r>
      <w:r>
        <w:rPr>
          <w:rFonts w:ascii="Times New Roman" w:hAnsi="Times New Roman"/>
          <w:sz w:val="20"/>
          <w:szCs w:val="20"/>
        </w:rPr>
        <w:t xml:space="preserve">A clean GCE was then immersed into melamine(reline) solution and CV was scanned from the studied potential window at various scan rates for different number of cycles as part of the optimization studies. The fabricated PME(reline)/GCE was gently rinsed with DI to wash off the monomer residue and then set to dry in ambient condition before used. </w:t>
      </w:r>
    </w:p>
    <w:p w14:paraId="3F45A928" w14:textId="77777777" w:rsidR="00F676D9" w:rsidRDefault="00F676D9" w:rsidP="00F676D9">
      <w:pPr>
        <w:spacing w:after="0"/>
        <w:jc w:val="both"/>
        <w:rPr>
          <w:rFonts w:ascii="Times New Roman" w:hAnsi="Times New Roman"/>
          <w:sz w:val="20"/>
          <w:szCs w:val="20"/>
        </w:rPr>
      </w:pPr>
    </w:p>
    <w:p w14:paraId="6E77307B" w14:textId="77777777" w:rsidR="00F676D9" w:rsidRDefault="00F676D9" w:rsidP="00F676D9">
      <w:pPr>
        <w:spacing w:after="0"/>
        <w:jc w:val="both"/>
        <w:rPr>
          <w:rFonts w:ascii="Times New Roman" w:hAnsi="Times New Roman"/>
          <w:sz w:val="20"/>
          <w:szCs w:val="20"/>
        </w:rPr>
      </w:pPr>
      <w:r>
        <w:rPr>
          <w:rFonts w:ascii="Times New Roman" w:hAnsi="Times New Roman"/>
          <w:b/>
          <w:bCs/>
          <w:sz w:val="20"/>
          <w:szCs w:val="20"/>
        </w:rPr>
        <w:t>Preparation of phosphate buffer solution</w:t>
      </w:r>
    </w:p>
    <w:p w14:paraId="6D8BCD6D" w14:textId="77777777" w:rsidR="00F676D9" w:rsidRDefault="00F676D9" w:rsidP="00F676D9">
      <w:pPr>
        <w:spacing w:after="0"/>
        <w:jc w:val="both"/>
        <w:rPr>
          <w:rFonts w:ascii="Times New Roman" w:hAnsi="Times New Roman"/>
          <w:sz w:val="20"/>
          <w:szCs w:val="20"/>
        </w:rPr>
      </w:pPr>
      <w:r>
        <w:rPr>
          <w:rFonts w:ascii="Times New Roman" w:hAnsi="Times New Roman"/>
          <w:sz w:val="20"/>
          <w:szCs w:val="20"/>
        </w:rPr>
        <w:t>Phosphate buffer solution (PBS) was used as supporting electrolyte in amperometry sensing of DA. 27.2 g of KH</w:t>
      </w:r>
      <w:r>
        <w:rPr>
          <w:rFonts w:ascii="Times New Roman" w:hAnsi="Times New Roman"/>
          <w:sz w:val="20"/>
          <w:szCs w:val="20"/>
          <w:vertAlign w:val="subscript"/>
        </w:rPr>
        <w:t>2</w:t>
      </w:r>
      <w:r>
        <w:rPr>
          <w:rFonts w:ascii="Times New Roman" w:hAnsi="Times New Roman"/>
          <w:sz w:val="20"/>
          <w:szCs w:val="20"/>
        </w:rPr>
        <w:t>PO</w:t>
      </w:r>
      <w:r>
        <w:rPr>
          <w:rFonts w:ascii="Times New Roman" w:hAnsi="Times New Roman"/>
          <w:sz w:val="20"/>
          <w:szCs w:val="20"/>
          <w:vertAlign w:val="subscript"/>
        </w:rPr>
        <w:t>4</w:t>
      </w:r>
      <w:r>
        <w:rPr>
          <w:rFonts w:ascii="Times New Roman" w:hAnsi="Times New Roman"/>
          <w:sz w:val="20"/>
          <w:szCs w:val="20"/>
        </w:rPr>
        <w:t xml:space="preserve"> and 34.8 g of K</w:t>
      </w:r>
      <w:r>
        <w:rPr>
          <w:rFonts w:ascii="Times New Roman" w:hAnsi="Times New Roman"/>
          <w:sz w:val="20"/>
          <w:szCs w:val="20"/>
          <w:vertAlign w:val="subscript"/>
        </w:rPr>
        <w:t>2</w:t>
      </w:r>
      <w:r>
        <w:rPr>
          <w:rFonts w:ascii="Times New Roman" w:hAnsi="Times New Roman"/>
          <w:sz w:val="20"/>
          <w:szCs w:val="20"/>
        </w:rPr>
        <w:t>HPO</w:t>
      </w:r>
      <w:r>
        <w:rPr>
          <w:rFonts w:ascii="Times New Roman" w:hAnsi="Times New Roman"/>
          <w:sz w:val="20"/>
          <w:szCs w:val="20"/>
          <w:vertAlign w:val="subscript"/>
        </w:rPr>
        <w:t>4</w:t>
      </w:r>
      <w:r>
        <w:rPr>
          <w:rFonts w:ascii="Times New Roman" w:hAnsi="Times New Roman"/>
          <w:sz w:val="20"/>
          <w:szCs w:val="20"/>
        </w:rPr>
        <w:t xml:space="preserve"> were individually poured into 1.0 L volumetric flask and added with DI until meniscus line forming solution A (0.20 M) and B (0.20 M), respectively. PBS (0.10 M, pH 7.0) was prepared by mixing 39.0 mL solution A and 61.0 mL solution B follow diluted with DI to 200 mL. The pH value of the buffer solution was confirmed with pH meter (model pH 700, Eutech Instruments).</w:t>
      </w:r>
    </w:p>
    <w:p w14:paraId="2754BA6C" w14:textId="77777777" w:rsidR="00F676D9" w:rsidRDefault="00F676D9" w:rsidP="00F676D9">
      <w:pPr>
        <w:spacing w:after="0"/>
        <w:jc w:val="both"/>
        <w:rPr>
          <w:rFonts w:ascii="Times New Roman" w:hAnsi="Times New Roman"/>
          <w:sz w:val="20"/>
          <w:szCs w:val="20"/>
        </w:rPr>
      </w:pPr>
    </w:p>
    <w:p w14:paraId="78808365" w14:textId="77777777" w:rsidR="00F676D9" w:rsidRDefault="00F676D9" w:rsidP="00F676D9">
      <w:pPr>
        <w:spacing w:after="0"/>
        <w:jc w:val="both"/>
        <w:rPr>
          <w:rFonts w:ascii="Times New Roman" w:hAnsi="Times New Roman"/>
          <w:b/>
          <w:bCs/>
          <w:sz w:val="20"/>
          <w:szCs w:val="20"/>
        </w:rPr>
      </w:pPr>
      <w:r>
        <w:rPr>
          <w:rFonts w:ascii="Times New Roman" w:hAnsi="Times New Roman"/>
          <w:b/>
          <w:bCs/>
          <w:sz w:val="20"/>
          <w:szCs w:val="20"/>
        </w:rPr>
        <w:t>Preparation of DA stock solution</w:t>
      </w:r>
    </w:p>
    <w:p w14:paraId="753DA270" w14:textId="77777777" w:rsidR="00F676D9" w:rsidRDefault="00F676D9" w:rsidP="00F676D9">
      <w:pPr>
        <w:spacing w:after="0"/>
        <w:jc w:val="both"/>
        <w:rPr>
          <w:rFonts w:ascii="Times New Roman" w:hAnsi="Times New Roman"/>
          <w:sz w:val="20"/>
          <w:szCs w:val="20"/>
        </w:rPr>
      </w:pPr>
      <w:r>
        <w:rPr>
          <w:rFonts w:ascii="Times New Roman" w:hAnsi="Times New Roman"/>
          <w:sz w:val="20"/>
          <w:szCs w:val="20"/>
        </w:rPr>
        <w:t>1000 μM of DA stock solution was prepared by adding 0.015 g DA into 100 mL volumetric flask and added DI until meniscus. DA solution was freshly prepared daily and kept in refrigerator at 4ºC before used for not more than 12 hours. A layer of aluminum foil was used to cover the stock solution to avoid contact with light.</w:t>
      </w:r>
    </w:p>
    <w:p w14:paraId="53E1F345" w14:textId="77777777" w:rsidR="001D1A16" w:rsidRDefault="001D1A16" w:rsidP="001D1A16">
      <w:pPr>
        <w:spacing w:after="0"/>
        <w:rPr>
          <w:rFonts w:ascii="Times New Roman" w:hAnsi="Times New Roman"/>
          <w:b/>
          <w:noProof/>
          <w:sz w:val="20"/>
          <w:szCs w:val="20"/>
          <w:lang w:bidi="ar-SA"/>
        </w:rPr>
      </w:pPr>
    </w:p>
    <w:p w14:paraId="1E3E8339" w14:textId="77777777" w:rsidR="001D1A16" w:rsidRPr="00383C16" w:rsidRDefault="001D1A16" w:rsidP="001D1A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5F3CDD6C" w14:textId="77777777" w:rsidR="001D1A16" w:rsidRPr="00EE2CC4" w:rsidRDefault="001D1A16" w:rsidP="001D1A16">
      <w:pPr>
        <w:spacing w:after="0"/>
        <w:jc w:val="both"/>
        <w:rPr>
          <w:rFonts w:ascii="Times New Roman" w:hAnsi="Times New Roman"/>
          <w:b/>
          <w:bCs/>
          <w:sz w:val="20"/>
          <w:szCs w:val="20"/>
        </w:rPr>
      </w:pPr>
      <w:r w:rsidRPr="00EE2CC4">
        <w:rPr>
          <w:rFonts w:ascii="Times New Roman" w:hAnsi="Times New Roman"/>
          <w:b/>
          <w:bCs/>
          <w:sz w:val="20"/>
          <w:szCs w:val="20"/>
        </w:rPr>
        <w:t>Optimization of potential window for melamine electropolymerization</w:t>
      </w:r>
    </w:p>
    <w:p w14:paraId="5C460130" w14:textId="77777777" w:rsidR="001D1A16" w:rsidRDefault="001D1A16" w:rsidP="001D1A16">
      <w:pPr>
        <w:spacing w:after="0"/>
        <w:jc w:val="both"/>
        <w:rPr>
          <w:rFonts w:ascii="Times New Roman" w:hAnsi="Times New Roman"/>
          <w:color w:val="000000"/>
          <w:sz w:val="20"/>
          <w:szCs w:val="20"/>
          <w:lang w:val="en-MY"/>
        </w:rPr>
      </w:pPr>
      <w:r w:rsidRPr="00EE2CC4">
        <w:rPr>
          <w:rFonts w:ascii="Times New Roman" w:hAnsi="Times New Roman"/>
          <w:sz w:val="20"/>
          <w:szCs w:val="20"/>
        </w:rPr>
        <w:t xml:space="preserve">To understand the effect of applied potential window on the melamine electropolymerization process, repeated CV cycling tests were carried out on melamine dissolved in reline. </w:t>
      </w:r>
      <w:r w:rsidRPr="00EE2CC4">
        <w:rPr>
          <w:rFonts w:ascii="Times New Roman" w:eastAsia="SimSun" w:hAnsi="Times New Roman"/>
          <w:sz w:val="20"/>
          <w:szCs w:val="20"/>
        </w:rPr>
        <w:t>To begin with the potential window investigation, parameters of melamine concentration, scan rate, scan cycles, and temperature were fixed at 10.0 mM, 50 mV s</w:t>
      </w:r>
      <w:r w:rsidRPr="00EE2CC4">
        <w:rPr>
          <w:rFonts w:ascii="Times New Roman" w:eastAsia="SimSun" w:hAnsi="Times New Roman"/>
          <w:sz w:val="20"/>
          <w:szCs w:val="20"/>
          <w:vertAlign w:val="superscript"/>
        </w:rPr>
        <w:t>-1</w:t>
      </w:r>
      <w:r w:rsidRPr="00EE2CC4">
        <w:rPr>
          <w:rFonts w:ascii="Times New Roman" w:eastAsia="SimSun" w:hAnsi="Times New Roman"/>
          <w:sz w:val="20"/>
          <w:szCs w:val="20"/>
        </w:rPr>
        <w:t xml:space="preserve">, five scan cycles and 25°C, respectively. </w:t>
      </w:r>
      <w:r w:rsidRPr="00EE2CC4">
        <w:rPr>
          <w:rFonts w:ascii="Times New Roman" w:hAnsi="Times New Roman"/>
          <w:sz w:val="20"/>
          <w:szCs w:val="20"/>
        </w:rPr>
        <w:t xml:space="preserve">Figure 1 shows the </w:t>
      </w:r>
      <w:r w:rsidRPr="00EE2CC4">
        <w:rPr>
          <w:rFonts w:ascii="Times New Roman" w:hAnsi="Times New Roman"/>
          <w:sz w:val="20"/>
          <w:szCs w:val="20"/>
        </w:rPr>
        <w:lastRenderedPageBreak/>
        <w:t xml:space="preserve">electropolymerization of melamine at fixed starting potential (-0.20 V) and ended with varied potentials: 1.20 V, 1.40 V, 1.60 V, and 1.80 V. </w:t>
      </w:r>
      <w:r w:rsidRPr="00EE2CC4">
        <w:rPr>
          <w:rFonts w:ascii="Times New Roman" w:eastAsia="SimSun" w:hAnsi="Times New Roman"/>
          <w:sz w:val="20"/>
          <w:szCs w:val="20"/>
        </w:rPr>
        <w:t>The electropolymerization behavior of melamine in reline was different from the conventional electrolyte - H</w:t>
      </w:r>
      <w:r w:rsidRPr="00EE2CC4">
        <w:rPr>
          <w:rFonts w:ascii="Times New Roman" w:eastAsia="SimSun" w:hAnsi="Times New Roman"/>
          <w:sz w:val="20"/>
          <w:szCs w:val="20"/>
          <w:vertAlign w:val="subscript"/>
        </w:rPr>
        <w:t>2</w:t>
      </w:r>
      <w:r w:rsidRPr="00EE2CC4">
        <w:rPr>
          <w:rFonts w:ascii="Times New Roman" w:eastAsia="SimSun" w:hAnsi="Times New Roman"/>
          <w:sz w:val="20"/>
          <w:szCs w:val="20"/>
        </w:rPr>
        <w:t>SO</w:t>
      </w:r>
      <w:r w:rsidRPr="00EE2CC4">
        <w:rPr>
          <w:rFonts w:ascii="Times New Roman" w:eastAsia="SimSun" w:hAnsi="Times New Roman"/>
          <w:sz w:val="20"/>
          <w:szCs w:val="20"/>
          <w:vertAlign w:val="subscript"/>
        </w:rPr>
        <w:t>4</w:t>
      </w:r>
      <w:r w:rsidRPr="00EE2CC4">
        <w:rPr>
          <w:rFonts w:ascii="Times New Roman" w:eastAsia="SimSun" w:hAnsi="Times New Roman"/>
          <w:sz w:val="20"/>
          <w:szCs w:val="20"/>
        </w:rPr>
        <w:t xml:space="preserve"> as in previous literature </w:t>
      </w:r>
      <w:r w:rsidRPr="00EE2CC4">
        <w:rPr>
          <w:rFonts w:ascii="Times New Roman" w:eastAsia="SimSun" w:hAnsi="Times New Roman"/>
          <w:sz w:val="20"/>
          <w:szCs w:val="20"/>
        </w:rPr>
        <w:fldChar w:fldCharType="begin" w:fldLock="1"/>
      </w:r>
      <w:r w:rsidRPr="00EE2CC4">
        <w:rPr>
          <w:rFonts w:ascii="Times New Roman" w:eastAsia="SimSun" w:hAnsi="Times New Roman"/>
          <w:sz w:val="20"/>
          <w:szCs w:val="20"/>
        </w:rPr>
        <w:instrText>ADDIN CSL_CITATION {"citationItems":[{"id":"ITEM-1","itemData":{"DOI":"10.1016/j.electacta.2018.03.146","ISSN":"00134686","abstract":"Electropolymerization of melamine, 1,3,5-triazine-2,4,6-triamine, has been investigated here in aqueous solutions in a very wide pH range, which formerly was believed to be confined only in an acidic medium. We report here for the first time the polymerization can take place in neutral and alkaline besides acidic solution in presence of Cl − ions. The key effects of the acidity of solution, potential window and concentration of Cl − ions and melamine monomer on the polymelamine (pMel) deposition have been further confirmed one by one, respectively. We proved that presence of Cl − ions is the necessary condition rather than H + . The electropolymerization of melamine is very sensitive to Cl − (even in 1 mM), and in situ electrogeneration of active chlorine effectively promote the growth of pMel film in separate solutions with different pH. Based on the relevant reactions during the process of electropolymerization, a tentative mechanism is given here. With this knowledge, a better control of the electrochemical synthesis can be envisioned, thus making pMel film suitable for the construction of multifunctional platforms.","author":[{"dropping-particle":"","family":"Chen","given":"Shu","non-dropping-particle":"","parse-names":false,"suffix":""},{"dropping-particle":"","family":"Liu","given":"Siyuan","non-dropping-particle":"","parse-names":false,"suffix":""},{"dropping-particle":"","family":"Wen","given":"Aoli","non-dropping-particle":"","parse-names":false,"suffix":""},{"dropping-particle":"","family":"Zhang","given":"Jie","non-dropping-particle":"","parse-names":false,"suffix":""},{"dropping-particle":"","family":"Nie","given":"Huidong","non-dropping-particle":"","parse-names":false,"suffix":""},{"dropping-particle":"","family":"Chen","given":"Jian","non-dropping-particle":"","parse-names":false,"suffix":""},{"dropping-particle":"","family":"Zeng","given":"Rongjin","non-dropping-particle":"","parse-names":false,"suffix":""},{"dropping-particle":"","family":"Long","given":"Yunfei","non-dropping-particle":"","parse-names":false,"suffix":""},{"dropping-particle":"","family":"Jin","given":"Yongxi","non-dropping-particle":"","parse-names":false,"suffix":""},{"dropping-particle":"","family":"Mai","given":"Ruimin","non-dropping-particle":"","parse-names":false,"suffix":""}],"container-title":"Electrochimica Acta","id":"ITEM-1","issued":{"date-parts":[["2018"]]},"title":"New insight into electropolymerization of melamine. I: Chloride promoted growth of polymelamine in different pH medium","type":"article-journal"},"uris":["http://www.mendeley.com/documents/?uuid=2b283bf1-b401-41cf-8924-b003404ad42a"]}],"mendeley":{"formattedCitation":"[14]","plainTextFormattedCitation":"[14]","previouslyFormattedCitation":"(Chen &lt;i&gt;et al.&lt;/i&gt;, 2018)"},"properties":{"noteIndex":0},"schema":"https://github.com/citation-style-language/schema/raw/master/csl-citation.json"}</w:instrText>
      </w:r>
      <w:r w:rsidRPr="00EE2CC4">
        <w:rPr>
          <w:rFonts w:ascii="Times New Roman" w:eastAsia="SimSun" w:hAnsi="Times New Roman"/>
          <w:sz w:val="20"/>
          <w:szCs w:val="20"/>
        </w:rPr>
        <w:fldChar w:fldCharType="separate"/>
      </w:r>
      <w:r w:rsidRPr="00EE2CC4">
        <w:rPr>
          <w:rFonts w:ascii="Times New Roman" w:eastAsia="SimSun" w:hAnsi="Times New Roman"/>
          <w:noProof/>
          <w:sz w:val="20"/>
          <w:szCs w:val="20"/>
        </w:rPr>
        <w:t>[14]</w:t>
      </w:r>
      <w:r w:rsidRPr="00EE2CC4">
        <w:rPr>
          <w:rFonts w:ascii="Times New Roman" w:eastAsia="SimSun" w:hAnsi="Times New Roman"/>
          <w:sz w:val="20"/>
          <w:szCs w:val="20"/>
        </w:rPr>
        <w:fldChar w:fldCharType="end"/>
      </w:r>
      <w:r w:rsidRPr="00EE2CC4">
        <w:rPr>
          <w:rFonts w:ascii="Times New Roman" w:eastAsia="SimSun" w:hAnsi="Times New Roman"/>
          <w:sz w:val="20"/>
          <w:szCs w:val="20"/>
        </w:rPr>
        <w:t xml:space="preserve">. In conventional electrolyte, a cathodic peak at around + 0.85 V was noticed owing to the coupling among the melamine molecules and carbonyl groups (C=O and/or C-O) from the DES instead of head-to-head linking of amine groups betwixt the melamine molecules </w:t>
      </w:r>
      <w:r w:rsidRPr="00EE2CC4">
        <w:rPr>
          <w:rFonts w:ascii="Times New Roman" w:hAnsi="Times New Roman"/>
          <w:sz w:val="20"/>
          <w:szCs w:val="20"/>
        </w:rPr>
        <w:fldChar w:fldCharType="begin" w:fldLock="1"/>
      </w:r>
      <w:r w:rsidRPr="00EE2CC4">
        <w:rPr>
          <w:rFonts w:ascii="Times New Roman" w:hAnsi="Times New Roman"/>
          <w:sz w:val="20"/>
          <w:szCs w:val="20"/>
        </w:rPr>
        <w:instrText>ADDIN CSL_CITATION {"citationItems":[{"id":"ITEM-1","itemData":{"DOI":"10.1007/s12678-021-00648-9","ISSN":"18685994","abstract":"We report here for the first time the polymerization of melamine in three different type III deep eutectic solvents (DESs), namely ethaline, glyceline and reline. The novel DESs functionalized polymelamine (PME-DESs) modified glassy carbon electrode was compared with conventional electrolytes including sulphuric acid and neutral Cl− aqueous solution. The key effect of the potential window, the acidity of the electrolyte, concentration of melamine and Cl− and the temperature of electrolyte on the polymerization of melamine have been further studied to choose the best PME-DESs. The selected PME(ethaline) was further incorporated with hydroxyl functionalized multi-walled carbon nanotube (f-WMCNTs) and applied in selective sensing of dopamine. PME(ethaline)/f-MWCNTs/GCE demonstrated excellent electrocatalytic activity towards dopamine oxidation. The observed linear range for the detection of dopamine concentration, without interferences through differential pulse voltammetry (DPV), was from 1.0 μM to 1.0 mM (R2 = 0.9924), with a detection limit of 288 nM (S/N = 3). Studies proved that the modified electrode can be successfully applied for the quantitative determination of dopamine both with and without interferences. Graphical abstract: Electrochemical characterization of melamine electropolymerized in deep eutectic solvents for selective detection of dopamine[Figure not available: see fulltext.]","author":[{"dropping-particle":"","family":"Chang","given":"Yeet Hoong","non-dropping-particle":"","parse-names":false,"suffix":""},{"dropping-particle":"","family":"Woi","given":"Pei Meng","non-dropping-particle":"","parse-names":false,"suffix":""},{"dropping-particle":"","family":"Alias","given":"Yatimah Binti","non-dropping-particle":"","parse-names":false,"suffix":""}],"container-title":"Electrocatalysis","id":"ITEM-1","issued":{"date-parts":[["2021"]]},"title":"Electrochemical Characterization of Melamine Electropolymerized in Deep Eutectic Solvents for Selective Detection of Dopamine","type":"article-journal"},"uris":["http://www.mendeley.com/documents/?uuid=a092522f-2371-4ff4-a953-ae0b117422d7","http://www.mendeley.com/documents/?uuid=80e12474-791a-4f62-889c-6513eb00dcaa"]}],"mendeley":{"formattedCitation":"[13]","plainTextFormattedCitation":"[13]","previouslyFormattedCitation":"(Chang &lt;i&gt;et al.&lt;/i&gt;, 2021)"},"properties":{"noteIndex":0},"schema":"https://github.com/citation-style-language/schema/raw/master/csl-citation.json"}</w:instrText>
      </w:r>
      <w:r w:rsidRPr="00EE2CC4">
        <w:rPr>
          <w:rFonts w:ascii="Times New Roman" w:hAnsi="Times New Roman"/>
          <w:sz w:val="20"/>
          <w:szCs w:val="20"/>
        </w:rPr>
        <w:fldChar w:fldCharType="separate"/>
      </w:r>
      <w:r w:rsidRPr="00EE2CC4">
        <w:rPr>
          <w:rFonts w:ascii="Times New Roman" w:hAnsi="Times New Roman"/>
          <w:noProof/>
          <w:sz w:val="20"/>
          <w:szCs w:val="20"/>
        </w:rPr>
        <w:t>[13]</w:t>
      </w:r>
      <w:r w:rsidRPr="00EE2CC4">
        <w:rPr>
          <w:rFonts w:ascii="Times New Roman" w:hAnsi="Times New Roman"/>
          <w:sz w:val="20"/>
          <w:szCs w:val="20"/>
        </w:rPr>
        <w:fldChar w:fldCharType="end"/>
      </w:r>
      <w:r w:rsidRPr="00EE2CC4">
        <w:rPr>
          <w:rFonts w:ascii="Times New Roman" w:eastAsia="SimSun" w:hAnsi="Times New Roman"/>
          <w:sz w:val="20"/>
          <w:szCs w:val="20"/>
        </w:rPr>
        <w:t xml:space="preserve">. Figure 1(c) illustrated an anodic peak at 1.20 V was observed for the electropolymerization of melamine from -0.20 to 1.60 V. The anodic peak was due to functionalization of melamine monomers with carbonyl groups (C=O) attributed from the reline and forming an electroactive PME functionalized DES. Likewise, an anodic peak at about 1.20 V was observed in Figure 1(b) for applied potential window -0.20 - 1.40 V, indicating the formation of PME. However, it noticed that the peak current was lower as compared to the electropolymerization of melamine at -0.20 to 1.60 V, indicating the limit of charge depository of polymer formed at -0.20 - 1.40 V. Noted that in Figure 1(a) and Figure 1(d), no anodic peak was observed with the applied potential. This is probably due to a narrow potential window restricts the charge depository ability of monomer during polymerization, while a wide potential window will lead to overoxidation of polymer, causing breakage of polymer chain </w:t>
      </w:r>
      <w:r w:rsidRPr="00EE2CC4">
        <w:rPr>
          <w:rFonts w:ascii="Times New Roman" w:eastAsia="SimSun" w:hAnsi="Times New Roman"/>
          <w:sz w:val="20"/>
          <w:szCs w:val="20"/>
        </w:rPr>
        <w:fldChar w:fldCharType="begin" w:fldLock="1"/>
      </w:r>
      <w:r w:rsidRPr="00EE2CC4">
        <w:rPr>
          <w:rFonts w:ascii="Times New Roman" w:eastAsia="SimSun" w:hAnsi="Times New Roman"/>
          <w:sz w:val="20"/>
          <w:szCs w:val="20"/>
        </w:rPr>
        <w:instrText>ADDIN CSL_CITATION {"citationItems":[{"id":"ITEM-1","itemData":{"DOI":"10.3390/polym8110401","ISSN":"20734360","abstract":"By combining electrochemical experiments with mass spectrometric analysis, it is found that using short chain oligomers to improve the cycling stability of conducting polymers in supercapacitors is still problematic. Cycling tests via cyclic voltammetry over a potential window of 0 to 1.0 V or 0 to 1.2 V in a two-electrode device configuration resulted in solid-state electropolymerization and chain scission. Electropolymerization of the aniline tetramer to generate long chain oligomers is shown to be possible despite the suggested decrease in reactivity and increase in intermediate stability with longer oligomers. Because aniline oligomers are more stable towards reductive cycling when compared to oxidative cycling, future conducting polymer/oligomer-based pseudocapacitors should consider using an asymmetric electrode configuration.","author":[{"dropping-particle":"","family":"Li","given":"Rebecca L.","non-dropping-particle":"","parse-names":false,"suffix":""},{"dropping-particle":"","family":"Lin","given":"Cheng Wei","non-dropping-particle":"","parse-names":false,"suffix":""},{"dropping-particle":"","family":"Shao","given":"Yuanlong","non-dropping-particle":"","parse-names":false,"suffix":""},{"dropping-particle":"","family":"Chang","given":"Che Wei","non-dropping-particle":"","parse-names":false,"suffix":""},{"dropping-particle":"","family":"Yao","given":"Fu Kai","non-dropping-particle":"","parse-names":false,"suffix":""},{"dropping-particle":"","family":"Kowal","given":"Matthew D.","non-dropping-particle":"","parse-names":false,"suffix":""},{"dropping-particle":"","family":"Wang","given":"Haosen","non-dropping-particle":"","parse-names":false,"suffix":""},{"dropping-particle":"","family":"Yeung","given":"Michael T.","non-dropping-particle":"","parse-names":false,"suffix":""},{"dropping-particle":"","family":"Huang","given":"Shu Chuan","non-dropping-particle":"","parse-names":false,"suffix":""},{"dropping-particle":"","family":"Kaner","given":"Richard B.","non-dropping-particle":"","parse-names":false,"suffix":""}],"container-title":"Polymers","id":"ITEM-1","issued":{"date-parts":[["2016"]]},"title":"Characterization of aniline tetramer by MALDI TOF mass spectrometry upon oxidative and reductive cycling","type":"article-journal"},"uris":["http://www.mendeley.com/documents/?uuid=5d54ee8c-865b-4e82-9b99-504051ec221f","http://www.mendeley.com/documents/?uuid=478feba7-93dd-433d-a279-c6e8d9cef8ac"]}],"mendeley":{"formattedCitation":"[16]","plainTextFormattedCitation":"[16]","previouslyFormattedCitation":"(Li &lt;i&gt;et al.&lt;/i&gt;, 2016)"},"properties":{"noteIndex":0},"schema":"https://github.com/citation-style-language/schema/raw/master/csl-citation.json"}</w:instrText>
      </w:r>
      <w:r w:rsidRPr="00EE2CC4">
        <w:rPr>
          <w:rFonts w:ascii="Times New Roman" w:eastAsia="SimSun" w:hAnsi="Times New Roman"/>
          <w:sz w:val="20"/>
          <w:szCs w:val="20"/>
        </w:rPr>
        <w:fldChar w:fldCharType="separate"/>
      </w:r>
      <w:r w:rsidRPr="00EE2CC4">
        <w:rPr>
          <w:rFonts w:ascii="Times New Roman" w:eastAsia="SimSun" w:hAnsi="Times New Roman"/>
          <w:noProof/>
          <w:sz w:val="20"/>
          <w:szCs w:val="20"/>
        </w:rPr>
        <w:t>[16]</w:t>
      </w:r>
      <w:r w:rsidRPr="00EE2CC4">
        <w:rPr>
          <w:rFonts w:ascii="Times New Roman" w:eastAsia="SimSun" w:hAnsi="Times New Roman"/>
          <w:sz w:val="20"/>
          <w:szCs w:val="20"/>
        </w:rPr>
        <w:fldChar w:fldCharType="end"/>
      </w:r>
      <w:r w:rsidRPr="00EE2CC4">
        <w:rPr>
          <w:rFonts w:ascii="Times New Roman" w:eastAsia="SimSun" w:hAnsi="Times New Roman"/>
          <w:sz w:val="20"/>
          <w:szCs w:val="20"/>
        </w:rPr>
        <w:t xml:space="preserve">. </w:t>
      </w:r>
      <w:r w:rsidRPr="00EE2CC4">
        <w:rPr>
          <w:rFonts w:ascii="Times New Roman" w:hAnsi="Times New Roman"/>
          <w:color w:val="000000"/>
          <w:sz w:val="20"/>
          <w:szCs w:val="20"/>
          <w:lang w:val="en-MY"/>
        </w:rPr>
        <w:t xml:space="preserve">From these, it was concluded that potential range from -0.20 V to 1.60 V is well suited to carry out the melamine electropolymerization for the PME formation. </w:t>
      </w:r>
    </w:p>
    <w:p w14:paraId="4F755245" w14:textId="77777777" w:rsidR="001D1A16" w:rsidRDefault="001D1A16" w:rsidP="001D1A16">
      <w:pPr>
        <w:spacing w:after="0"/>
        <w:jc w:val="both"/>
        <w:rPr>
          <w:rFonts w:ascii="Times New Roman" w:hAnsi="Times New Roman"/>
          <w:color w:val="000000"/>
          <w:sz w:val="20"/>
          <w:szCs w:val="20"/>
          <w:lang w:val="en-MY"/>
        </w:rPr>
      </w:pPr>
    </w:p>
    <w:p w14:paraId="62E1FF19" w14:textId="4AF49AC4" w:rsidR="001D1A16" w:rsidRPr="00EE2CC4" w:rsidRDefault="001D1A16" w:rsidP="001D1A16">
      <w:pPr>
        <w:spacing w:after="0"/>
        <w:jc w:val="both"/>
        <w:rPr>
          <w:rFonts w:ascii="Times New Roman" w:eastAsia="SimSun" w:hAnsi="Times New Roman"/>
          <w:sz w:val="20"/>
          <w:szCs w:val="20"/>
        </w:rPr>
      </w:pPr>
      <w:r w:rsidRPr="00EE2CC4">
        <w:rPr>
          <w:rFonts w:ascii="Times New Roman" w:hAnsi="Times New Roman"/>
          <w:sz w:val="20"/>
          <w:szCs w:val="20"/>
        </w:rPr>
        <w:t xml:space="preserve">To further verify how the tuning of potential window affecting the performance of PME in </w:t>
      </w:r>
      <w:r w:rsidRPr="00EE2CC4">
        <w:rPr>
          <w:rFonts w:ascii="Times New Roman" w:eastAsia="SimSun" w:hAnsi="Times New Roman"/>
          <w:sz w:val="20"/>
          <w:szCs w:val="20"/>
        </w:rPr>
        <w:t xml:space="preserve">dopamine (DA) </w:t>
      </w:r>
      <w:r w:rsidRPr="00EE2CC4">
        <w:rPr>
          <w:rFonts w:ascii="Times New Roman" w:eastAsia="SimSun" w:hAnsi="Times New Roman"/>
          <w:sz w:val="20"/>
          <w:szCs w:val="20"/>
        </w:rPr>
        <w:t xml:space="preserve">sensing, all the PME/GCE electrodes synthesized in varied potential window were further tested in two aspects: sensitivity and limit of detection (LOD). In amperometry setting, DA is oxidised at potential 0.20 V </w:t>
      </w:r>
      <w:r w:rsidRPr="00EE2CC4">
        <w:rPr>
          <w:rFonts w:ascii="Times New Roman" w:hAnsi="Times New Roman"/>
          <w:sz w:val="20"/>
          <w:szCs w:val="20"/>
        </w:rPr>
        <w:fldChar w:fldCharType="begin" w:fldLock="1"/>
      </w:r>
      <w:r w:rsidRPr="00EE2CC4">
        <w:rPr>
          <w:rFonts w:ascii="Times New Roman" w:hAnsi="Times New Roman"/>
          <w:sz w:val="20"/>
          <w:szCs w:val="20"/>
        </w:rPr>
        <w:instrText>ADDIN CSL_CITATION {"citationItems":[{"id":"ITEM-1","itemData":{"DOI":"10.1007/s12678-021-00648-9","ISSN":"18685994","abstract":"We report here for the first time the polymerization of melamine in three different type III deep eutectic solvents (DESs), namely ethaline, glyceline and reline. The novel DESs functionalized polymelamine (PME-DESs) modified glassy carbon electrode was compared with conventional electrolytes including sulphuric acid and neutral Cl− aqueous solution. The key effect of the potential window, the acidity of the electrolyte, concentration of melamine and Cl− and the temperature of electrolyte on the polymerization of melamine have been further studied to choose the best PME-DESs. The selected PME(ethaline) was further incorporated with hydroxyl functionalized multi-walled carbon nanotube (f-WMCNTs) and applied in selective sensing of dopamine. PME(ethaline)/f-MWCNTs/GCE demonstrated excellent electrocatalytic activity towards dopamine oxidation. The observed linear range for the detection of dopamine concentration, without interferences through differential pulse voltammetry (DPV), was from 1.0 μM to 1.0 mM (R2 = 0.9924), with a detection limit of 288 nM (S/N = 3). Studies proved that the modified electrode can be successfully applied for the quantitative determination of dopamine both with and without interferences. Graphical abstract: Electrochemical characterization of melamine electropolymerized in deep eutectic solvents for selective detection of dopamine[Figure not available: see fulltext.]","author":[{"dropping-particle":"","family":"Chang","given":"Yeet Hoong","non-dropping-particle":"","parse-names":false,"suffix":""},{"dropping-particle":"","family":"Woi","given":"Pei Meng","non-dropping-particle":"","parse-names":false,"suffix":""},{"dropping-particle":"","family":"Alias","given":"Yatimah Binti","non-dropping-particle":"","parse-names":false,"suffix":""}],"container-title":"Electrocatalysis","id":"ITEM-1","issued":{"date-parts":[["2021"]]},"title":"Electrochemical Characterization of Melamine Electropolymerized in Deep Eutectic Solvents for Selective Detection of Dopamine","type":"article-journal"},"uris":["http://www.mendeley.com/documents/?uuid=a092522f-2371-4ff4-a953-ae0b117422d7","http://www.mendeley.com/documents/?uuid=80e12474-791a-4f62-889c-6513eb00dcaa"]}],"mendeley":{"formattedCitation":"[13]","plainTextFormattedCitation":"[13]","previouslyFormattedCitation":"(Chang &lt;i&gt;et al.&lt;/i&gt;, 2021)"},"properties":{"noteIndex":0},"schema":"https://github.com/citation-style-language/schema/raw/master/csl-citation.json"}</w:instrText>
      </w:r>
      <w:r w:rsidRPr="00EE2CC4">
        <w:rPr>
          <w:rFonts w:ascii="Times New Roman" w:hAnsi="Times New Roman"/>
          <w:sz w:val="20"/>
          <w:szCs w:val="20"/>
        </w:rPr>
        <w:fldChar w:fldCharType="separate"/>
      </w:r>
      <w:r w:rsidRPr="00EE2CC4">
        <w:rPr>
          <w:rFonts w:ascii="Times New Roman" w:hAnsi="Times New Roman"/>
          <w:noProof/>
          <w:sz w:val="20"/>
          <w:szCs w:val="20"/>
        </w:rPr>
        <w:t>[13]</w:t>
      </w:r>
      <w:r w:rsidRPr="00EE2CC4">
        <w:rPr>
          <w:rFonts w:ascii="Times New Roman" w:hAnsi="Times New Roman"/>
          <w:sz w:val="20"/>
          <w:szCs w:val="20"/>
        </w:rPr>
        <w:fldChar w:fldCharType="end"/>
      </w:r>
      <w:r w:rsidRPr="00EE2CC4">
        <w:rPr>
          <w:rFonts w:ascii="Times New Roman" w:hAnsi="Times New Roman"/>
          <w:sz w:val="20"/>
          <w:szCs w:val="20"/>
        </w:rPr>
        <w:t xml:space="preserve">. </w:t>
      </w:r>
      <w:r w:rsidRPr="00EE2CC4">
        <w:rPr>
          <w:rFonts w:ascii="Times New Roman" w:eastAsia="SimSun" w:hAnsi="Times New Roman"/>
          <w:sz w:val="20"/>
          <w:szCs w:val="20"/>
        </w:rPr>
        <w:t xml:space="preserve">Therefore, amperometry was scanning at fixed potential (0.20 V) with additional of DA with concentration ranging from 100 - 1200 </w:t>
      </w:r>
      <w:r w:rsidRPr="00EE2CC4">
        <w:rPr>
          <w:rFonts w:ascii="Times New Roman" w:eastAsia="SimSun" w:hAnsi="Times New Roman"/>
          <w:i/>
          <w:iCs/>
          <w:sz w:val="20"/>
          <w:szCs w:val="20"/>
        </w:rPr>
        <w:t>μ</w:t>
      </w:r>
      <w:r w:rsidRPr="00EE2CC4">
        <w:rPr>
          <w:rFonts w:ascii="Times New Roman" w:eastAsia="SimSun" w:hAnsi="Times New Roman"/>
          <w:sz w:val="20"/>
          <w:szCs w:val="20"/>
        </w:rPr>
        <w:t>M in PBS (0.10 M, pH 7.0) as shown in Figure 2. Sensitivity and LOD were then calculated based on the amperometric results and summarized in Figure 3 and Table 1. Naming of PME was based on the maximum applied potential e.g., PME synthesized in reline with potential window applied at -0.20 - 1.20 V is named as PME(reline +1.20 V). Based on Figure 2, it was noticed that the amperometry result of PME(reline +1.60 V) recorded the highest current response as compared to the other PME. Figure 3(A) and (B) illustrated the calculated sensing sensitivity and LOD of DA at PME(reline), respectively. Noted that the sensing of DA at PME(reline +1.60 V) recorded the highest sensitivity and lowest LOD recorded at 0.044 μA μM</w:t>
      </w:r>
      <w:r w:rsidRPr="00EE2CC4">
        <w:rPr>
          <w:rFonts w:ascii="Times New Roman" w:eastAsia="SimSun" w:hAnsi="Times New Roman"/>
          <w:sz w:val="20"/>
          <w:szCs w:val="20"/>
          <w:vertAlign w:val="superscript"/>
        </w:rPr>
        <w:t xml:space="preserve">-1 </w:t>
      </w:r>
      <w:r w:rsidRPr="00EE2CC4">
        <w:rPr>
          <w:rFonts w:ascii="Times New Roman" w:eastAsia="SimSun" w:hAnsi="Times New Roman"/>
          <w:sz w:val="20"/>
          <w:szCs w:val="20"/>
        </w:rPr>
        <w:t>cm</w:t>
      </w:r>
      <w:r w:rsidRPr="00EE2CC4">
        <w:rPr>
          <w:rFonts w:ascii="Times New Roman" w:eastAsia="SimSun" w:hAnsi="Times New Roman"/>
          <w:sz w:val="20"/>
          <w:szCs w:val="20"/>
          <w:vertAlign w:val="superscript"/>
        </w:rPr>
        <w:t>-2</w:t>
      </w:r>
      <w:r w:rsidRPr="00EE2CC4">
        <w:rPr>
          <w:rFonts w:ascii="Times New Roman" w:eastAsia="SimSun" w:hAnsi="Times New Roman"/>
          <w:sz w:val="20"/>
          <w:szCs w:val="20"/>
        </w:rPr>
        <w:t xml:space="preserve"> and 0.198 </w:t>
      </w:r>
      <m:oMath>
        <m:r>
          <m:rPr>
            <m:sty m:val="p"/>
          </m:rPr>
          <w:rPr>
            <w:rFonts w:ascii="Cambria Math" w:hAnsi="Cambria Math"/>
            <w:sz w:val="20"/>
            <w:szCs w:val="20"/>
          </w:rPr>
          <m:t>μ</m:t>
        </m:r>
      </m:oMath>
      <w:r w:rsidRPr="00EE2CC4">
        <w:rPr>
          <w:rFonts w:ascii="Times New Roman" w:hAnsi="Times New Roman"/>
          <w:sz w:val="20"/>
          <w:szCs w:val="20"/>
        </w:rPr>
        <w:t>M</w:t>
      </w:r>
      <w:r w:rsidRPr="00EE2CC4">
        <w:rPr>
          <w:rFonts w:ascii="Times New Roman" w:eastAsia="SimSun" w:hAnsi="Times New Roman"/>
          <w:sz w:val="20"/>
          <w:szCs w:val="20"/>
        </w:rPr>
        <w:t xml:space="preserve">, respectively which are in line with amperometry result shown in Figure 2. The sensitivity line graph of over-potential showed increment from +1.20 V and reached maximum at +1.60 V. At the same time, LOD obey the opposite relationship and reaching the minimum LOD at +1.60 V. In case, further widen the potential window of PME(reline) to +1.80 V, the electrode sensing capability has reduced drastically where the LOD did not showed any improvement and has been increased 10-fold recorded at 2.070 </w:t>
      </w:r>
      <m:oMath>
        <m:r>
          <m:rPr>
            <m:sty m:val="p"/>
          </m:rPr>
          <w:rPr>
            <w:rFonts w:ascii="Cambria Math" w:hAnsi="Cambria Math"/>
            <w:sz w:val="20"/>
            <w:szCs w:val="20"/>
          </w:rPr>
          <m:t>μ</m:t>
        </m:r>
      </m:oMath>
      <w:r w:rsidRPr="00EE2CC4">
        <w:rPr>
          <w:rFonts w:ascii="Times New Roman" w:hAnsi="Times New Roman"/>
          <w:sz w:val="20"/>
          <w:szCs w:val="20"/>
        </w:rPr>
        <w:t>M</w:t>
      </w:r>
      <w:r w:rsidRPr="00EE2CC4">
        <w:rPr>
          <w:rFonts w:ascii="Times New Roman" w:eastAsia="SimSun" w:hAnsi="Times New Roman"/>
          <w:sz w:val="20"/>
          <w:szCs w:val="20"/>
        </w:rPr>
        <w:t xml:space="preserve"> compared to +1.60 V. The </w:t>
      </w:r>
      <w:r>
        <w:rPr>
          <w:rFonts w:ascii="Times New Roman" w:eastAsia="SimSun" w:hAnsi="Times New Roman"/>
          <w:sz w:val="20"/>
          <w:szCs w:val="20"/>
        </w:rPr>
        <w:t xml:space="preserve"> </w:t>
      </w:r>
      <w:r w:rsidRPr="00EE2CC4">
        <w:rPr>
          <w:rFonts w:ascii="Times New Roman" w:eastAsia="SimSun" w:hAnsi="Times New Roman"/>
          <w:sz w:val="20"/>
          <w:szCs w:val="20"/>
        </w:rPr>
        <w:t xml:space="preserve">result </w:t>
      </w:r>
      <w:r>
        <w:rPr>
          <w:rFonts w:ascii="Times New Roman" w:eastAsia="SimSun" w:hAnsi="Times New Roman"/>
          <w:sz w:val="20"/>
          <w:szCs w:val="20"/>
        </w:rPr>
        <w:t xml:space="preserve"> </w:t>
      </w:r>
      <w:r w:rsidRPr="00EE2CC4">
        <w:rPr>
          <w:rFonts w:ascii="Times New Roman" w:eastAsia="SimSun" w:hAnsi="Times New Roman"/>
          <w:sz w:val="20"/>
          <w:szCs w:val="20"/>
        </w:rPr>
        <w:t>justified the optimized potential window for electropolymerization of melamine is -0.20 V to +1.60 V.</w:t>
      </w:r>
    </w:p>
    <w:p w14:paraId="29FEFEE9" w14:textId="77777777" w:rsidR="001D1A16" w:rsidRDefault="001D1A16" w:rsidP="001D1A16">
      <w:pPr>
        <w:spacing w:after="0"/>
        <w:jc w:val="both"/>
        <w:rPr>
          <w:rFonts w:ascii="Times New Roman" w:hAnsi="Times New Roman"/>
          <w:color w:val="000000"/>
          <w:sz w:val="20"/>
          <w:szCs w:val="20"/>
          <w:lang w:val="en-MY"/>
        </w:rPr>
      </w:pPr>
    </w:p>
    <w:p w14:paraId="2BC52AAA" w14:textId="130460B7" w:rsidR="001D1A16" w:rsidRPr="001D1A16" w:rsidRDefault="001D1A16" w:rsidP="001D1A16">
      <w:pPr>
        <w:spacing w:after="0"/>
        <w:jc w:val="both"/>
        <w:rPr>
          <w:rFonts w:ascii="Times New Roman" w:hAnsi="Times New Roman"/>
          <w:color w:val="000000"/>
          <w:sz w:val="20"/>
          <w:szCs w:val="20"/>
          <w:lang w:val="en-MY"/>
        </w:rPr>
        <w:sectPr w:rsidR="001D1A16" w:rsidRPr="001D1A16" w:rsidSect="001D1A16">
          <w:footerReference w:type="even" r:id="rId13"/>
          <w:footerReference w:type="default" r:id="rId14"/>
          <w:type w:val="continuous"/>
          <w:pgSz w:w="12240" w:h="15840" w:code="1"/>
          <w:pgMar w:top="1800" w:right="1469" w:bottom="1699" w:left="1440" w:header="706" w:footer="706" w:gutter="0"/>
          <w:pgNumType w:start="0"/>
          <w:cols w:num="2" w:space="403"/>
          <w:docGrid w:linePitch="360"/>
        </w:sectPr>
      </w:pPr>
    </w:p>
    <w:p w14:paraId="59FAA28B" w14:textId="77777777" w:rsidR="002F0EDB" w:rsidRDefault="002F0EDB" w:rsidP="00383C16">
      <w:pPr>
        <w:spacing w:after="0"/>
        <w:jc w:val="center"/>
        <w:rPr>
          <w:rFonts w:ascii="Times New Roman" w:hAnsi="Times New Roman"/>
          <w:b/>
          <w:noProof/>
          <w:sz w:val="20"/>
          <w:szCs w:val="20"/>
          <w:lang w:bidi="ar-SA"/>
        </w:rPr>
      </w:pPr>
    </w:p>
    <w:p w14:paraId="49BE7A7A" w14:textId="2DEE9833" w:rsidR="00EE2CC4" w:rsidRDefault="00EE2CC4" w:rsidP="00EE2CC4">
      <w:pPr>
        <w:spacing w:after="0"/>
        <w:jc w:val="both"/>
        <w:rPr>
          <w:rFonts w:ascii="Times New Roman" w:hAnsi="Times New Roman"/>
          <w:color w:val="000000"/>
          <w:sz w:val="20"/>
          <w:szCs w:val="20"/>
          <w:lang w:val="en-MY"/>
        </w:rPr>
      </w:pPr>
    </w:p>
    <w:p w14:paraId="355197CC" w14:textId="77777777" w:rsidR="00EE2CC4" w:rsidRPr="00EE2CC4" w:rsidRDefault="00EE2CC4" w:rsidP="00EE2CC4">
      <w:pPr>
        <w:spacing w:after="0"/>
        <w:jc w:val="both"/>
        <w:rPr>
          <w:rFonts w:ascii="Times New Roman" w:hAnsi="Times New Roman"/>
          <w:color w:val="000000"/>
          <w:sz w:val="20"/>
          <w:szCs w:val="20"/>
          <w:lang w:val="en-MY"/>
        </w:rPr>
      </w:pPr>
    </w:p>
    <w:p w14:paraId="21309904" w14:textId="614E21BF" w:rsidR="00EE2CC4" w:rsidRPr="001D1A16" w:rsidRDefault="00EE2CC4" w:rsidP="001D1A16">
      <w:pPr>
        <w:spacing w:after="120"/>
        <w:jc w:val="center"/>
        <w:rPr>
          <w:rFonts w:ascii="Times New Roman" w:eastAsiaTheme="minorEastAsia" w:hAnsi="Times New Roman"/>
          <w:b/>
          <w:bCs/>
          <w:sz w:val="20"/>
          <w:szCs w:val="20"/>
        </w:rPr>
      </w:pPr>
      <w:r w:rsidRPr="00EE2CC4">
        <w:rPr>
          <w:rFonts w:ascii="Times New Roman" w:hAnsi="Times New Roman"/>
          <w:noProof/>
          <w:sz w:val="20"/>
          <w:szCs w:val="20"/>
        </w:rPr>
        <w:lastRenderedPageBreak/>
        <w:drawing>
          <wp:inline distT="0" distB="0" distL="0" distR="0" wp14:anchorId="18BB3ADD" wp14:editId="1A46FBB5">
            <wp:extent cx="4791456" cy="3712464"/>
            <wp:effectExtent l="19050" t="19050" r="28575" b="215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lum bright="-40000" contrast="-40000"/>
                      <a:extLst>
                        <a:ext uri="{28A0092B-C50C-407E-A947-70E740481C1C}">
                          <a14:useLocalDpi xmlns:a14="http://schemas.microsoft.com/office/drawing/2010/main" val="0"/>
                        </a:ext>
                      </a:extLst>
                    </a:blip>
                    <a:srcRect l="2382" t="5161" r="5930" b="2464"/>
                    <a:stretch>
                      <a:fillRect/>
                    </a:stretch>
                  </pic:blipFill>
                  <pic:spPr bwMode="auto">
                    <a:xfrm>
                      <a:off x="0" y="0"/>
                      <a:ext cx="4791456" cy="3712464"/>
                    </a:xfrm>
                    <a:prstGeom prst="rect">
                      <a:avLst/>
                    </a:prstGeom>
                    <a:noFill/>
                    <a:ln w="9525" cmpd="sng">
                      <a:solidFill>
                        <a:srgbClr val="000000"/>
                      </a:solidFill>
                      <a:miter lim="800000"/>
                      <a:headEnd/>
                      <a:tailEnd/>
                    </a:ln>
                    <a:effectLst/>
                  </pic:spPr>
                </pic:pic>
              </a:graphicData>
            </a:graphic>
          </wp:inline>
        </w:drawing>
      </w:r>
    </w:p>
    <w:p w14:paraId="34A7BDD7" w14:textId="24E2408C" w:rsidR="00EE2CC4" w:rsidRPr="001D1A16" w:rsidRDefault="00EE2CC4" w:rsidP="001D1A16">
      <w:pPr>
        <w:spacing w:after="0"/>
        <w:ind w:left="851" w:hanging="851"/>
        <w:jc w:val="both"/>
        <w:rPr>
          <w:rFonts w:ascii="Times New Roman" w:hAnsi="Times New Roman"/>
          <w:sz w:val="20"/>
          <w:szCs w:val="20"/>
        </w:rPr>
      </w:pPr>
      <w:r w:rsidRPr="00EE2CC4">
        <w:rPr>
          <w:rFonts w:ascii="Times New Roman" w:hAnsi="Times New Roman"/>
          <w:sz w:val="20"/>
          <w:szCs w:val="20"/>
        </w:rPr>
        <w:t xml:space="preserve">Figure 1. </w:t>
      </w:r>
      <w:r w:rsidR="001D1A16">
        <w:rPr>
          <w:rFonts w:ascii="Times New Roman" w:hAnsi="Times New Roman"/>
          <w:sz w:val="20"/>
          <w:szCs w:val="20"/>
        </w:rPr>
        <w:tab/>
      </w:r>
      <w:r w:rsidRPr="00EE2CC4">
        <w:rPr>
          <w:rFonts w:ascii="Times New Roman" w:hAnsi="Times New Roman"/>
          <w:sz w:val="20"/>
          <w:szCs w:val="20"/>
        </w:rPr>
        <w:t>Electropolymerization of melamine (10.0 mM) in reline scanning with varied potential window a) -0.20 to 1.20 V, b) -0.20 to 1.40 V, c) -0.20 to 1.60 V, and d) -0.20 to 1.80 V at 50 mV s</w:t>
      </w:r>
      <w:r w:rsidRPr="00EE2CC4">
        <w:rPr>
          <w:rFonts w:ascii="Times New Roman" w:hAnsi="Times New Roman"/>
          <w:sz w:val="20"/>
          <w:szCs w:val="20"/>
          <w:vertAlign w:val="superscript"/>
        </w:rPr>
        <w:t>-1</w:t>
      </w:r>
      <w:r w:rsidRPr="00EE2CC4">
        <w:rPr>
          <w:rFonts w:ascii="Times New Roman" w:hAnsi="Times New Roman"/>
          <w:sz w:val="20"/>
          <w:szCs w:val="20"/>
        </w:rPr>
        <w:t xml:space="preserve"> with five scan cycles</w:t>
      </w:r>
    </w:p>
    <w:p w14:paraId="222AB21B" w14:textId="77777777" w:rsidR="00EE2CC4" w:rsidRPr="00EE2CC4" w:rsidRDefault="00EE2CC4" w:rsidP="00EE2CC4">
      <w:pPr>
        <w:spacing w:after="0"/>
        <w:jc w:val="both"/>
        <w:rPr>
          <w:rFonts w:ascii="Times New Roman" w:eastAsia="SimSun" w:hAnsi="Times New Roman"/>
          <w:sz w:val="20"/>
          <w:szCs w:val="20"/>
        </w:rPr>
      </w:pPr>
    </w:p>
    <w:p w14:paraId="157F2FC9" w14:textId="2AD83034" w:rsidR="00EE2CC4" w:rsidRPr="00EE2CC4" w:rsidRDefault="00EE2CC4" w:rsidP="00EE2CC4">
      <w:pPr>
        <w:spacing w:after="120"/>
        <w:jc w:val="center"/>
        <w:rPr>
          <w:rFonts w:ascii="Times New Roman" w:eastAsia="SimSun" w:hAnsi="Times New Roman"/>
          <w:bCs/>
          <w:sz w:val="20"/>
          <w:szCs w:val="20"/>
        </w:rPr>
      </w:pPr>
      <w:r w:rsidRPr="00EE2CC4">
        <w:rPr>
          <w:rFonts w:ascii="Times New Roman" w:eastAsia="SimSun" w:hAnsi="Times New Roman"/>
          <w:noProof/>
          <w:sz w:val="20"/>
          <w:szCs w:val="20"/>
        </w:rPr>
        <w:drawing>
          <wp:inline distT="0" distB="0" distL="0" distR="0" wp14:anchorId="3273C3D7" wp14:editId="1E2CE5F3">
            <wp:extent cx="3403600" cy="2743200"/>
            <wp:effectExtent l="19050" t="19050" r="25400" b="19050"/>
            <wp:docPr id="9" name="Picture 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l="8849" t="9344" r="11755" b="6721"/>
                    <a:stretch>
                      <a:fillRect/>
                    </a:stretch>
                  </pic:blipFill>
                  <pic:spPr bwMode="auto">
                    <a:xfrm>
                      <a:off x="0" y="0"/>
                      <a:ext cx="3403600" cy="2743200"/>
                    </a:xfrm>
                    <a:prstGeom prst="rect">
                      <a:avLst/>
                    </a:prstGeom>
                    <a:noFill/>
                    <a:ln w="9525" cmpd="sng">
                      <a:solidFill>
                        <a:srgbClr val="000000"/>
                      </a:solidFill>
                      <a:miter lim="800000"/>
                      <a:headEnd/>
                      <a:tailEnd/>
                    </a:ln>
                    <a:effectLst/>
                  </pic:spPr>
                </pic:pic>
              </a:graphicData>
            </a:graphic>
          </wp:inline>
        </w:drawing>
      </w:r>
    </w:p>
    <w:p w14:paraId="2DBE4420" w14:textId="30331137" w:rsidR="00EE2CC4" w:rsidRPr="00EE2CC4" w:rsidRDefault="00EE2CC4" w:rsidP="00D64DBA">
      <w:pPr>
        <w:spacing w:after="0"/>
        <w:ind w:left="851" w:hanging="851"/>
        <w:jc w:val="both"/>
        <w:rPr>
          <w:rFonts w:ascii="Times New Roman" w:eastAsia="SimSun" w:hAnsi="Times New Roman"/>
          <w:bCs/>
          <w:sz w:val="20"/>
          <w:szCs w:val="20"/>
        </w:rPr>
      </w:pPr>
      <w:r w:rsidRPr="00EE2CC4">
        <w:rPr>
          <w:rFonts w:ascii="Times New Roman" w:eastAsia="SimSun" w:hAnsi="Times New Roman"/>
          <w:bCs/>
          <w:sz w:val="20"/>
          <w:szCs w:val="20"/>
        </w:rPr>
        <w:t xml:space="preserve">Figure 2. </w:t>
      </w:r>
      <w:r>
        <w:rPr>
          <w:rFonts w:ascii="Times New Roman" w:eastAsia="SimSun" w:hAnsi="Times New Roman"/>
          <w:bCs/>
          <w:sz w:val="20"/>
          <w:szCs w:val="20"/>
        </w:rPr>
        <w:tab/>
      </w:r>
      <w:r w:rsidRPr="00EE2CC4">
        <w:rPr>
          <w:rFonts w:ascii="Times New Roman" w:eastAsia="SimSun" w:hAnsi="Times New Roman"/>
          <w:bCs/>
          <w:sz w:val="20"/>
          <w:szCs w:val="20"/>
        </w:rPr>
        <w:t xml:space="preserve">Amperometry results of PME synthesized in different potential window. All the amperometry test were scanned at a fixed potential (0.20 V) with additional of DA with concentration ranging from 100 - 1200 </w:t>
      </w:r>
      <w:r w:rsidRPr="00EE2CC4">
        <w:rPr>
          <w:rFonts w:ascii="Times New Roman" w:eastAsia="SimSun" w:hAnsi="Times New Roman"/>
          <w:bCs/>
          <w:i/>
          <w:iCs/>
          <w:sz w:val="20"/>
          <w:szCs w:val="20"/>
        </w:rPr>
        <w:t>μ</w:t>
      </w:r>
      <w:r w:rsidRPr="00EE2CC4">
        <w:rPr>
          <w:rFonts w:ascii="Times New Roman" w:eastAsia="SimSun" w:hAnsi="Times New Roman"/>
          <w:bCs/>
          <w:sz w:val="20"/>
          <w:szCs w:val="20"/>
        </w:rPr>
        <w:t>M in PBS (0.10 M, pH 7.0)</w:t>
      </w:r>
    </w:p>
    <w:p w14:paraId="038DE816" w14:textId="77777777" w:rsidR="00EE2CC4" w:rsidRPr="00EE2CC4" w:rsidRDefault="00EE2CC4" w:rsidP="00EE2CC4">
      <w:pPr>
        <w:spacing w:after="120"/>
        <w:jc w:val="center"/>
        <w:rPr>
          <w:rFonts w:ascii="Times New Roman" w:eastAsia="SimSun" w:hAnsi="Times New Roman"/>
          <w:bCs/>
          <w:sz w:val="20"/>
          <w:szCs w:val="20"/>
        </w:rPr>
      </w:pPr>
      <w:r w:rsidRPr="00EE2CC4">
        <w:rPr>
          <w:rFonts w:ascii="Times New Roman" w:hAnsi="Times New Roman"/>
          <w:noProof/>
          <w:sz w:val="20"/>
          <w:szCs w:val="20"/>
        </w:rPr>
        <w:lastRenderedPageBreak/>
        <w:drawing>
          <wp:inline distT="0" distB="0" distL="0" distR="0" wp14:anchorId="3B7E62C2" wp14:editId="7A9F9140">
            <wp:extent cx="5334000" cy="2661920"/>
            <wp:effectExtent l="19050" t="19050" r="19050" b="2413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t="13512" r="3130" b="18092"/>
                    <a:stretch>
                      <a:fillRect/>
                    </a:stretch>
                  </pic:blipFill>
                  <pic:spPr bwMode="auto">
                    <a:xfrm>
                      <a:off x="0" y="0"/>
                      <a:ext cx="5334000" cy="2661920"/>
                    </a:xfrm>
                    <a:prstGeom prst="rect">
                      <a:avLst/>
                    </a:prstGeom>
                    <a:noFill/>
                    <a:ln w="9525" cmpd="sng">
                      <a:solidFill>
                        <a:srgbClr val="000000"/>
                      </a:solidFill>
                      <a:miter lim="800000"/>
                      <a:headEnd/>
                      <a:tailEnd/>
                    </a:ln>
                    <a:effectLst/>
                  </pic:spPr>
                </pic:pic>
              </a:graphicData>
            </a:graphic>
          </wp:inline>
        </w:drawing>
      </w:r>
    </w:p>
    <w:p w14:paraId="78E87C54" w14:textId="73EF2C43" w:rsidR="00EE2CC4" w:rsidRPr="00EE2CC4" w:rsidRDefault="00EE2CC4" w:rsidP="00D64DBA">
      <w:pPr>
        <w:spacing w:after="0"/>
        <w:ind w:left="810" w:hanging="810"/>
        <w:jc w:val="both"/>
        <w:rPr>
          <w:rFonts w:ascii="Times New Roman" w:eastAsiaTheme="minorEastAsia" w:hAnsi="Times New Roman"/>
          <w:bCs/>
          <w:sz w:val="20"/>
          <w:szCs w:val="20"/>
        </w:rPr>
      </w:pPr>
      <w:r w:rsidRPr="00EE2CC4">
        <w:rPr>
          <w:rFonts w:ascii="Times New Roman" w:eastAsia="SimSun" w:hAnsi="Times New Roman"/>
          <w:bCs/>
          <w:sz w:val="20"/>
          <w:szCs w:val="20"/>
        </w:rPr>
        <w:t xml:space="preserve">Figure 3. </w:t>
      </w:r>
      <w:r>
        <w:rPr>
          <w:rFonts w:ascii="Times New Roman" w:eastAsia="SimSun" w:hAnsi="Times New Roman"/>
          <w:bCs/>
          <w:sz w:val="20"/>
          <w:szCs w:val="20"/>
        </w:rPr>
        <w:tab/>
      </w:r>
      <w:r w:rsidRPr="00EE2CC4">
        <w:rPr>
          <w:rFonts w:ascii="Times New Roman" w:eastAsia="SimSun" w:hAnsi="Times New Roman"/>
          <w:bCs/>
          <w:sz w:val="20"/>
          <w:szCs w:val="20"/>
        </w:rPr>
        <w:t>Graphs of (a) sensitivity and (b) LOD results versus varied potential window applied for electropolymerization of melamine in reline.</w:t>
      </w:r>
    </w:p>
    <w:p w14:paraId="09F69AA1" w14:textId="62F5AC61" w:rsidR="00EE2CC4" w:rsidRDefault="00EE2CC4" w:rsidP="00EE2CC4">
      <w:pPr>
        <w:spacing w:after="0"/>
        <w:jc w:val="both"/>
        <w:rPr>
          <w:rFonts w:ascii="Times New Roman" w:eastAsia="SimSun" w:hAnsi="Times New Roman"/>
          <w:b/>
          <w:sz w:val="20"/>
          <w:szCs w:val="20"/>
        </w:rPr>
      </w:pPr>
    </w:p>
    <w:p w14:paraId="05E2F410" w14:textId="77777777" w:rsidR="00D64DBA" w:rsidRPr="00EE2CC4" w:rsidRDefault="00D64DBA" w:rsidP="00EE2CC4">
      <w:pPr>
        <w:spacing w:after="0"/>
        <w:jc w:val="both"/>
        <w:rPr>
          <w:rFonts w:ascii="Times New Roman" w:eastAsia="SimSun" w:hAnsi="Times New Roman"/>
          <w:b/>
          <w:sz w:val="20"/>
          <w:szCs w:val="20"/>
        </w:rPr>
      </w:pPr>
    </w:p>
    <w:p w14:paraId="38325B06" w14:textId="3ECB9829" w:rsidR="00EE2CC4" w:rsidRPr="00EE2CC4" w:rsidRDefault="00EE2CC4" w:rsidP="00EE2CC4">
      <w:pPr>
        <w:spacing w:after="120"/>
        <w:ind w:left="86" w:hanging="86"/>
        <w:jc w:val="center"/>
        <w:rPr>
          <w:rFonts w:ascii="Times New Roman" w:eastAsiaTheme="minorEastAsia" w:hAnsi="Times New Roman"/>
          <w:bCs/>
          <w:sz w:val="20"/>
          <w:szCs w:val="20"/>
        </w:rPr>
      </w:pPr>
      <w:bookmarkStart w:id="2" w:name="OLE_LINK1"/>
      <w:bookmarkStart w:id="3" w:name="OLE_LINK2"/>
      <w:r w:rsidRPr="00EE2CC4">
        <w:rPr>
          <w:rFonts w:ascii="Times New Roman" w:hAnsi="Times New Roman"/>
          <w:bCs/>
          <w:sz w:val="20"/>
          <w:szCs w:val="20"/>
        </w:rPr>
        <w:t>Table 1.</w:t>
      </w:r>
      <w:r>
        <w:rPr>
          <w:rFonts w:ascii="Times New Roman" w:hAnsi="Times New Roman"/>
          <w:bCs/>
          <w:sz w:val="20"/>
          <w:szCs w:val="20"/>
        </w:rPr>
        <w:t xml:space="preserve">  </w:t>
      </w:r>
      <w:r w:rsidRPr="00EE2CC4">
        <w:rPr>
          <w:rFonts w:ascii="Times New Roman" w:hAnsi="Times New Roman"/>
          <w:bCs/>
          <w:sz w:val="20"/>
          <w:szCs w:val="20"/>
        </w:rPr>
        <w:t>Optimization studies for electropolymerization of melamine in reline, DA as model analyte; sensing with amperometry at 0.20 V vs Ag/AgCl: Effect of electropolymerization potential window, effect of scan rate and effect of scan cycles</w:t>
      </w:r>
    </w:p>
    <w:tbl>
      <w:tblPr>
        <w:tblStyle w:val="PlainTable2"/>
        <w:tblW w:w="0" w:type="auto"/>
        <w:jc w:val="center"/>
        <w:tblLook w:val="04A0" w:firstRow="1" w:lastRow="0" w:firstColumn="1" w:lastColumn="0" w:noHBand="0" w:noVBand="1"/>
      </w:tblPr>
      <w:tblGrid>
        <w:gridCol w:w="2431"/>
        <w:gridCol w:w="657"/>
        <w:gridCol w:w="916"/>
        <w:gridCol w:w="1327"/>
        <w:gridCol w:w="1121"/>
      </w:tblGrid>
      <w:tr w:rsidR="00EE2CC4" w:rsidRPr="00EE2CC4" w14:paraId="77262358" w14:textId="77777777" w:rsidTr="00CC1893">
        <w:trPr>
          <w:cnfStyle w:val="100000000000" w:firstRow="1" w:lastRow="0" w:firstColumn="0" w:lastColumn="0" w:oddVBand="0" w:evenVBand="0" w:oddHBand="0"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3088" w:type="dxa"/>
            <w:gridSpan w:val="2"/>
            <w:tcBorders>
              <w:top w:val="single" w:sz="4" w:space="0" w:color="auto"/>
              <w:left w:val="nil"/>
              <w:bottom w:val="single" w:sz="4" w:space="0" w:color="auto"/>
              <w:right w:val="nil"/>
            </w:tcBorders>
            <w:vAlign w:val="center"/>
            <w:hideMark/>
          </w:tcPr>
          <w:bookmarkEnd w:id="2"/>
          <w:bookmarkEnd w:id="3"/>
          <w:p w14:paraId="7EDABD2F" w14:textId="77777777" w:rsidR="00EE2CC4" w:rsidRPr="00EE2CC4" w:rsidRDefault="00EE2CC4" w:rsidP="00EE2CC4">
            <w:pPr>
              <w:spacing w:after="0"/>
              <w:rPr>
                <w:rFonts w:ascii="Times New Roman" w:hAnsi="Times New Roman"/>
                <w:b w:val="0"/>
                <w:bCs w:val="0"/>
                <w:sz w:val="20"/>
                <w:szCs w:val="20"/>
              </w:rPr>
            </w:pPr>
            <w:r w:rsidRPr="00EE2CC4">
              <w:rPr>
                <w:rFonts w:ascii="Times New Roman" w:hAnsi="Times New Roman"/>
                <w:sz w:val="20"/>
                <w:szCs w:val="20"/>
              </w:rPr>
              <w:t>Parameter Varied</w:t>
            </w:r>
          </w:p>
        </w:tc>
        <w:tc>
          <w:tcPr>
            <w:tcW w:w="0" w:type="auto"/>
            <w:tcBorders>
              <w:top w:val="single" w:sz="4" w:space="0" w:color="auto"/>
              <w:left w:val="nil"/>
              <w:bottom w:val="single" w:sz="4" w:space="0" w:color="auto"/>
              <w:right w:val="nil"/>
            </w:tcBorders>
            <w:vAlign w:val="center"/>
            <w:hideMark/>
          </w:tcPr>
          <w:p w14:paraId="2898A345" w14:textId="77777777" w:rsidR="00EE2CC4" w:rsidRPr="00EE2CC4" w:rsidRDefault="00EE2CC4" w:rsidP="00645AAE">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000000"/>
                <w:sz w:val="20"/>
                <w:szCs w:val="20"/>
              </w:rPr>
            </w:pPr>
            <w:r w:rsidRPr="00EE2CC4">
              <w:rPr>
                <w:rFonts w:ascii="Times New Roman" w:hAnsi="Times New Roman"/>
                <w:color w:val="000000"/>
                <w:sz w:val="20"/>
                <w:szCs w:val="20"/>
              </w:rPr>
              <w:t xml:space="preserve">Eutectic </w:t>
            </w:r>
          </w:p>
          <w:p w14:paraId="02BC56D3" w14:textId="77777777" w:rsidR="00EE2CC4" w:rsidRPr="00EE2CC4" w:rsidRDefault="00EE2CC4" w:rsidP="00645AAE">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000000"/>
                <w:sz w:val="20"/>
                <w:szCs w:val="20"/>
              </w:rPr>
            </w:pPr>
            <w:r w:rsidRPr="00EE2CC4">
              <w:rPr>
                <w:rFonts w:ascii="Times New Roman" w:hAnsi="Times New Roman"/>
                <w:color w:val="000000"/>
                <w:sz w:val="20"/>
                <w:szCs w:val="20"/>
              </w:rPr>
              <w:t>Solvent</w:t>
            </w:r>
          </w:p>
        </w:tc>
        <w:tc>
          <w:tcPr>
            <w:tcW w:w="0" w:type="auto"/>
            <w:tcBorders>
              <w:top w:val="single" w:sz="4" w:space="0" w:color="auto"/>
              <w:left w:val="nil"/>
              <w:bottom w:val="single" w:sz="4" w:space="0" w:color="auto"/>
              <w:right w:val="nil"/>
            </w:tcBorders>
            <w:vAlign w:val="center"/>
            <w:hideMark/>
          </w:tcPr>
          <w:p w14:paraId="0E5B9E71" w14:textId="77777777" w:rsidR="00EE2CC4" w:rsidRPr="00EE2CC4" w:rsidRDefault="00EE2CC4" w:rsidP="00645AAE">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rPr>
            </w:pPr>
            <w:r w:rsidRPr="00EE2CC4">
              <w:rPr>
                <w:rFonts w:ascii="Times New Roman" w:hAnsi="Times New Roman"/>
                <w:sz w:val="20"/>
                <w:szCs w:val="20"/>
              </w:rPr>
              <w:t>Sensitivity /</w:t>
            </w:r>
          </w:p>
          <w:p w14:paraId="6BDA1AF5" w14:textId="77777777" w:rsidR="00EE2CC4" w:rsidRPr="00EE2CC4" w:rsidRDefault="00EE2CC4" w:rsidP="00645AAE">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rPr>
            </w:pPr>
            <w:r w:rsidRPr="00EE2CC4">
              <w:rPr>
                <w:rFonts w:ascii="Times New Roman" w:eastAsia="SimSun" w:hAnsi="Times New Roman"/>
                <w:i/>
                <w:iCs/>
                <w:sz w:val="20"/>
                <w:szCs w:val="20"/>
              </w:rPr>
              <w:t>μ</w:t>
            </w:r>
            <w:r w:rsidRPr="00EE2CC4">
              <w:rPr>
                <w:rFonts w:ascii="Times New Roman" w:eastAsia="SimSun" w:hAnsi="Times New Roman"/>
                <w:sz w:val="20"/>
                <w:szCs w:val="20"/>
              </w:rPr>
              <w:t xml:space="preserve">A </w:t>
            </w:r>
            <w:r w:rsidRPr="00EE2CC4">
              <w:rPr>
                <w:rFonts w:ascii="Times New Roman" w:eastAsia="SimSun" w:hAnsi="Times New Roman"/>
                <w:i/>
                <w:iCs/>
                <w:sz w:val="20"/>
                <w:szCs w:val="20"/>
              </w:rPr>
              <w:t>μ</w:t>
            </w:r>
            <w:r w:rsidRPr="00EE2CC4">
              <w:rPr>
                <w:rFonts w:ascii="Times New Roman" w:eastAsia="SimSun" w:hAnsi="Times New Roman"/>
                <w:sz w:val="20"/>
                <w:szCs w:val="20"/>
              </w:rPr>
              <w:t>M</w:t>
            </w:r>
            <w:r w:rsidRPr="00EE2CC4">
              <w:rPr>
                <w:rFonts w:ascii="Times New Roman" w:eastAsia="SimSun" w:hAnsi="Times New Roman"/>
                <w:sz w:val="20"/>
                <w:szCs w:val="20"/>
                <w:vertAlign w:val="superscript"/>
              </w:rPr>
              <w:t xml:space="preserve">-1 </w:t>
            </w:r>
            <w:r w:rsidRPr="00EE2CC4">
              <w:rPr>
                <w:rFonts w:ascii="Times New Roman" w:eastAsia="SimSun" w:hAnsi="Times New Roman"/>
                <w:sz w:val="20"/>
                <w:szCs w:val="20"/>
              </w:rPr>
              <w:t>cm</w:t>
            </w:r>
            <w:r w:rsidRPr="00EE2CC4">
              <w:rPr>
                <w:rFonts w:ascii="Times New Roman" w:eastAsia="SimSun" w:hAnsi="Times New Roman"/>
                <w:sz w:val="20"/>
                <w:szCs w:val="20"/>
                <w:vertAlign w:val="superscript"/>
              </w:rPr>
              <w:t>-2</w:t>
            </w:r>
          </w:p>
        </w:tc>
        <w:tc>
          <w:tcPr>
            <w:tcW w:w="0" w:type="auto"/>
            <w:tcBorders>
              <w:top w:val="single" w:sz="4" w:space="0" w:color="auto"/>
              <w:left w:val="nil"/>
              <w:bottom w:val="single" w:sz="4" w:space="0" w:color="auto"/>
              <w:right w:val="nil"/>
            </w:tcBorders>
            <w:vAlign w:val="center"/>
            <w:hideMark/>
          </w:tcPr>
          <w:p w14:paraId="29492BE8" w14:textId="77777777" w:rsidR="00EE2CC4" w:rsidRPr="00EE2CC4" w:rsidRDefault="00EE2CC4" w:rsidP="00645AAE">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rPr>
            </w:pPr>
            <w:r w:rsidRPr="00EE2CC4">
              <w:rPr>
                <w:rFonts w:ascii="Times New Roman" w:hAnsi="Times New Roman"/>
                <w:sz w:val="20"/>
                <w:szCs w:val="20"/>
              </w:rPr>
              <w:t xml:space="preserve">LOD / </w:t>
            </w:r>
            <m:oMath>
              <m:r>
                <m:rPr>
                  <m:sty m:val="bi"/>
                </m:rPr>
                <w:rPr>
                  <w:rFonts w:ascii="Cambria Math" w:hAnsi="Cambria Math"/>
                  <w:sz w:val="20"/>
                  <w:szCs w:val="20"/>
                </w:rPr>
                <m:t>μ</m:t>
              </m:r>
            </m:oMath>
            <w:r w:rsidRPr="00EE2CC4">
              <w:rPr>
                <w:rFonts w:ascii="Times New Roman" w:hAnsi="Times New Roman"/>
                <w:sz w:val="20"/>
                <w:szCs w:val="20"/>
              </w:rPr>
              <w:t>M</w:t>
            </w:r>
          </w:p>
        </w:tc>
      </w:tr>
      <w:tr w:rsidR="00EE2CC4" w:rsidRPr="00EE2CC4" w14:paraId="7EB589BF" w14:textId="77777777" w:rsidTr="00CC1893">
        <w:trPr>
          <w:cnfStyle w:val="000000100000" w:firstRow="0" w:lastRow="0" w:firstColumn="0" w:lastColumn="0" w:oddVBand="0" w:evenVBand="0" w:oddHBand="1" w:evenHBand="0" w:firstRowFirstColumn="0" w:firstRowLastColumn="0" w:lastRowFirstColumn="0" w:lastRowLastColumn="0"/>
          <w:trHeight w:val="91"/>
          <w:jc w:val="center"/>
        </w:trPr>
        <w:tc>
          <w:tcPr>
            <w:cnfStyle w:val="001000000000" w:firstRow="0" w:lastRow="0" w:firstColumn="1" w:lastColumn="0" w:oddVBand="0" w:evenVBand="0" w:oddHBand="0" w:evenHBand="0" w:firstRowFirstColumn="0" w:firstRowLastColumn="0" w:lastRowFirstColumn="0" w:lastRowLastColumn="0"/>
            <w:tcW w:w="2431" w:type="dxa"/>
            <w:vMerge w:val="restart"/>
            <w:tcBorders>
              <w:top w:val="single" w:sz="4" w:space="0" w:color="auto"/>
              <w:left w:val="nil"/>
              <w:bottom w:val="nil"/>
              <w:right w:val="nil"/>
            </w:tcBorders>
            <w:vAlign w:val="center"/>
            <w:hideMark/>
          </w:tcPr>
          <w:p w14:paraId="0D26CC6D" w14:textId="77777777" w:rsidR="00EE2CC4" w:rsidRPr="00EE2CC4" w:rsidRDefault="00EE2CC4" w:rsidP="00645AAE">
            <w:pPr>
              <w:spacing w:before="60" w:after="0"/>
              <w:rPr>
                <w:rFonts w:ascii="Times New Roman" w:hAnsi="Times New Roman"/>
                <w:b w:val="0"/>
                <w:bCs w:val="0"/>
                <w:sz w:val="20"/>
                <w:szCs w:val="20"/>
              </w:rPr>
            </w:pPr>
            <w:r w:rsidRPr="00EE2CC4">
              <w:rPr>
                <w:rFonts w:ascii="Times New Roman" w:hAnsi="Times New Roman"/>
                <w:b w:val="0"/>
                <w:bCs w:val="0"/>
                <w:sz w:val="20"/>
                <w:szCs w:val="20"/>
              </w:rPr>
              <w:t>Potential (V)</w:t>
            </w:r>
          </w:p>
        </w:tc>
        <w:tc>
          <w:tcPr>
            <w:tcW w:w="657" w:type="dxa"/>
            <w:tcBorders>
              <w:top w:val="single" w:sz="4" w:space="0" w:color="auto"/>
              <w:left w:val="nil"/>
              <w:bottom w:val="nil"/>
              <w:right w:val="nil"/>
            </w:tcBorders>
            <w:vAlign w:val="center"/>
            <w:hideMark/>
          </w:tcPr>
          <w:p w14:paraId="247D22FA" w14:textId="77777777" w:rsidR="00EE2CC4" w:rsidRPr="00EE2CC4" w:rsidRDefault="00EE2CC4" w:rsidP="00645AAE">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EE2CC4">
              <w:rPr>
                <w:rFonts w:ascii="Times New Roman" w:hAnsi="Times New Roman"/>
                <w:sz w:val="20"/>
                <w:szCs w:val="20"/>
              </w:rPr>
              <w:t>1.2</w:t>
            </w:r>
          </w:p>
        </w:tc>
        <w:tc>
          <w:tcPr>
            <w:tcW w:w="0" w:type="auto"/>
            <w:tcBorders>
              <w:top w:val="single" w:sz="4" w:space="0" w:color="auto"/>
              <w:left w:val="nil"/>
              <w:bottom w:val="nil"/>
              <w:right w:val="nil"/>
            </w:tcBorders>
            <w:vAlign w:val="center"/>
            <w:hideMark/>
          </w:tcPr>
          <w:p w14:paraId="6FB39F31" w14:textId="77777777" w:rsidR="00EE2CC4" w:rsidRPr="00EE2CC4" w:rsidRDefault="00EE2CC4" w:rsidP="00645AAE">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reline</w:t>
            </w:r>
          </w:p>
        </w:tc>
        <w:tc>
          <w:tcPr>
            <w:tcW w:w="0" w:type="auto"/>
            <w:tcBorders>
              <w:top w:val="single" w:sz="4" w:space="0" w:color="auto"/>
              <w:left w:val="nil"/>
              <w:bottom w:val="nil"/>
              <w:right w:val="nil"/>
            </w:tcBorders>
            <w:vAlign w:val="center"/>
            <w:hideMark/>
          </w:tcPr>
          <w:p w14:paraId="58EF1ADA" w14:textId="77777777" w:rsidR="00EE2CC4" w:rsidRPr="00EE2CC4" w:rsidRDefault="00EE2CC4" w:rsidP="00645AAE">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0.032</w:t>
            </w:r>
          </w:p>
        </w:tc>
        <w:tc>
          <w:tcPr>
            <w:tcW w:w="0" w:type="auto"/>
            <w:tcBorders>
              <w:top w:val="single" w:sz="4" w:space="0" w:color="auto"/>
              <w:left w:val="nil"/>
              <w:bottom w:val="nil"/>
              <w:right w:val="nil"/>
            </w:tcBorders>
            <w:vAlign w:val="center"/>
            <w:hideMark/>
          </w:tcPr>
          <w:p w14:paraId="67E6075E" w14:textId="77777777" w:rsidR="00EE2CC4" w:rsidRPr="00EE2CC4" w:rsidRDefault="00EE2CC4" w:rsidP="00645AAE">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4.8640</w:t>
            </w:r>
          </w:p>
        </w:tc>
      </w:tr>
      <w:tr w:rsidR="00EE2CC4" w:rsidRPr="00EE2CC4" w14:paraId="3E8350C0" w14:textId="77777777" w:rsidTr="00645AAE">
        <w:trPr>
          <w:trHeight w:val="66"/>
          <w:jc w:val="center"/>
        </w:trPr>
        <w:tc>
          <w:tcPr>
            <w:cnfStyle w:val="001000000000" w:firstRow="0" w:lastRow="0" w:firstColumn="1" w:lastColumn="0" w:oddVBand="0" w:evenVBand="0" w:oddHBand="0" w:evenHBand="0" w:firstRowFirstColumn="0" w:firstRowLastColumn="0" w:lastRowFirstColumn="0" w:lastRowLastColumn="0"/>
            <w:tcW w:w="2431" w:type="dxa"/>
            <w:vMerge/>
            <w:tcBorders>
              <w:top w:val="single" w:sz="4" w:space="0" w:color="auto"/>
              <w:left w:val="nil"/>
              <w:bottom w:val="nil"/>
              <w:right w:val="nil"/>
            </w:tcBorders>
            <w:vAlign w:val="center"/>
            <w:hideMark/>
          </w:tcPr>
          <w:p w14:paraId="1572541C" w14:textId="77777777" w:rsidR="00EE2CC4" w:rsidRPr="00EE2CC4" w:rsidRDefault="00EE2CC4" w:rsidP="00EE2CC4">
            <w:pPr>
              <w:spacing w:after="0"/>
              <w:rPr>
                <w:rFonts w:ascii="Times New Roman" w:hAnsi="Times New Roman"/>
                <w:sz w:val="20"/>
                <w:szCs w:val="20"/>
                <w:lang w:eastAsia="zh-CN"/>
              </w:rPr>
            </w:pPr>
          </w:p>
        </w:tc>
        <w:tc>
          <w:tcPr>
            <w:tcW w:w="657" w:type="dxa"/>
            <w:tcBorders>
              <w:top w:val="nil"/>
              <w:left w:val="nil"/>
              <w:bottom w:val="nil"/>
              <w:right w:val="nil"/>
            </w:tcBorders>
            <w:vAlign w:val="center"/>
            <w:hideMark/>
          </w:tcPr>
          <w:p w14:paraId="5E11630D" w14:textId="77777777" w:rsidR="00EE2CC4" w:rsidRPr="00EE2CC4" w:rsidRDefault="00EE2CC4" w:rsidP="00EE2CC4">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EE2CC4">
              <w:rPr>
                <w:rFonts w:ascii="Times New Roman" w:hAnsi="Times New Roman"/>
                <w:sz w:val="20"/>
                <w:szCs w:val="20"/>
              </w:rPr>
              <w:t>1.4</w:t>
            </w:r>
          </w:p>
        </w:tc>
        <w:tc>
          <w:tcPr>
            <w:tcW w:w="0" w:type="auto"/>
            <w:tcBorders>
              <w:top w:val="nil"/>
              <w:left w:val="nil"/>
              <w:bottom w:val="nil"/>
              <w:right w:val="nil"/>
            </w:tcBorders>
            <w:vAlign w:val="center"/>
            <w:hideMark/>
          </w:tcPr>
          <w:p w14:paraId="5C11E25B" w14:textId="77777777" w:rsidR="00EE2CC4" w:rsidRPr="00EE2CC4" w:rsidRDefault="00EE2CC4" w:rsidP="00645AA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reline</w:t>
            </w:r>
          </w:p>
        </w:tc>
        <w:tc>
          <w:tcPr>
            <w:tcW w:w="0" w:type="auto"/>
            <w:tcBorders>
              <w:top w:val="nil"/>
              <w:left w:val="nil"/>
              <w:bottom w:val="nil"/>
              <w:right w:val="nil"/>
            </w:tcBorders>
            <w:vAlign w:val="center"/>
            <w:hideMark/>
          </w:tcPr>
          <w:p w14:paraId="3525A7D5" w14:textId="77777777" w:rsidR="00EE2CC4" w:rsidRPr="00EE2CC4" w:rsidRDefault="00EE2CC4" w:rsidP="00645AA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0.034</w:t>
            </w:r>
          </w:p>
        </w:tc>
        <w:tc>
          <w:tcPr>
            <w:tcW w:w="0" w:type="auto"/>
            <w:tcBorders>
              <w:top w:val="nil"/>
              <w:left w:val="nil"/>
              <w:bottom w:val="nil"/>
              <w:right w:val="nil"/>
            </w:tcBorders>
            <w:vAlign w:val="center"/>
            <w:hideMark/>
          </w:tcPr>
          <w:p w14:paraId="00A46A01" w14:textId="77777777" w:rsidR="00EE2CC4" w:rsidRPr="00EE2CC4" w:rsidRDefault="00EE2CC4" w:rsidP="00645AA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0.4110</w:t>
            </w:r>
          </w:p>
        </w:tc>
      </w:tr>
      <w:tr w:rsidR="00EE2CC4" w:rsidRPr="00EE2CC4" w14:paraId="5A1A50D6" w14:textId="77777777" w:rsidTr="00645AAE">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2431" w:type="dxa"/>
            <w:vMerge/>
            <w:tcBorders>
              <w:top w:val="single" w:sz="4" w:space="0" w:color="auto"/>
              <w:left w:val="nil"/>
              <w:bottom w:val="nil"/>
              <w:right w:val="nil"/>
            </w:tcBorders>
            <w:vAlign w:val="center"/>
            <w:hideMark/>
          </w:tcPr>
          <w:p w14:paraId="4EBDABEB" w14:textId="77777777" w:rsidR="00EE2CC4" w:rsidRPr="00EE2CC4" w:rsidRDefault="00EE2CC4" w:rsidP="00EE2CC4">
            <w:pPr>
              <w:spacing w:after="0"/>
              <w:rPr>
                <w:rFonts w:ascii="Times New Roman" w:hAnsi="Times New Roman"/>
                <w:sz w:val="20"/>
                <w:szCs w:val="20"/>
                <w:lang w:eastAsia="zh-CN"/>
              </w:rPr>
            </w:pPr>
          </w:p>
        </w:tc>
        <w:tc>
          <w:tcPr>
            <w:tcW w:w="657" w:type="dxa"/>
            <w:tcBorders>
              <w:top w:val="nil"/>
              <w:left w:val="nil"/>
              <w:bottom w:val="nil"/>
              <w:right w:val="nil"/>
            </w:tcBorders>
            <w:vAlign w:val="center"/>
            <w:hideMark/>
          </w:tcPr>
          <w:p w14:paraId="5D793754" w14:textId="77777777" w:rsidR="00EE2CC4" w:rsidRPr="00EE2CC4" w:rsidRDefault="00EE2CC4" w:rsidP="00EE2CC4">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EE2CC4">
              <w:rPr>
                <w:rFonts w:ascii="Times New Roman" w:hAnsi="Times New Roman"/>
                <w:sz w:val="20"/>
                <w:szCs w:val="20"/>
              </w:rPr>
              <w:t>1.6</w:t>
            </w:r>
          </w:p>
        </w:tc>
        <w:tc>
          <w:tcPr>
            <w:tcW w:w="0" w:type="auto"/>
            <w:tcBorders>
              <w:top w:val="nil"/>
              <w:left w:val="nil"/>
              <w:bottom w:val="nil"/>
              <w:right w:val="nil"/>
            </w:tcBorders>
            <w:vAlign w:val="center"/>
            <w:hideMark/>
          </w:tcPr>
          <w:p w14:paraId="0E4C6D02" w14:textId="77777777" w:rsidR="00EE2CC4" w:rsidRPr="00EE2CC4" w:rsidRDefault="00EE2CC4" w:rsidP="00645AA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reline</w:t>
            </w:r>
          </w:p>
        </w:tc>
        <w:tc>
          <w:tcPr>
            <w:tcW w:w="0" w:type="auto"/>
            <w:tcBorders>
              <w:top w:val="nil"/>
              <w:left w:val="nil"/>
              <w:bottom w:val="nil"/>
              <w:right w:val="nil"/>
            </w:tcBorders>
            <w:vAlign w:val="center"/>
            <w:hideMark/>
          </w:tcPr>
          <w:p w14:paraId="24FE90E3" w14:textId="77777777" w:rsidR="00EE2CC4" w:rsidRPr="00EE2CC4" w:rsidRDefault="00EE2CC4" w:rsidP="00645AA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0.044</w:t>
            </w:r>
          </w:p>
        </w:tc>
        <w:tc>
          <w:tcPr>
            <w:tcW w:w="0" w:type="auto"/>
            <w:tcBorders>
              <w:top w:val="nil"/>
              <w:left w:val="nil"/>
              <w:bottom w:val="nil"/>
              <w:right w:val="nil"/>
            </w:tcBorders>
            <w:vAlign w:val="center"/>
            <w:hideMark/>
          </w:tcPr>
          <w:p w14:paraId="55091FEB" w14:textId="77777777" w:rsidR="00EE2CC4" w:rsidRPr="00EE2CC4" w:rsidRDefault="00EE2CC4" w:rsidP="00645AA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0.1980</w:t>
            </w:r>
          </w:p>
        </w:tc>
      </w:tr>
      <w:tr w:rsidR="00EE2CC4" w:rsidRPr="00EE2CC4" w14:paraId="02395A93" w14:textId="77777777" w:rsidTr="00645AAE">
        <w:trPr>
          <w:trHeight w:val="66"/>
          <w:jc w:val="center"/>
        </w:trPr>
        <w:tc>
          <w:tcPr>
            <w:cnfStyle w:val="001000000000" w:firstRow="0" w:lastRow="0" w:firstColumn="1" w:lastColumn="0" w:oddVBand="0" w:evenVBand="0" w:oddHBand="0" w:evenHBand="0" w:firstRowFirstColumn="0" w:firstRowLastColumn="0" w:lastRowFirstColumn="0" w:lastRowLastColumn="0"/>
            <w:tcW w:w="2431" w:type="dxa"/>
            <w:vMerge/>
            <w:tcBorders>
              <w:top w:val="single" w:sz="4" w:space="0" w:color="auto"/>
              <w:left w:val="nil"/>
              <w:bottom w:val="nil"/>
              <w:right w:val="nil"/>
            </w:tcBorders>
            <w:vAlign w:val="center"/>
            <w:hideMark/>
          </w:tcPr>
          <w:p w14:paraId="3E9C131C" w14:textId="77777777" w:rsidR="00EE2CC4" w:rsidRPr="00EE2CC4" w:rsidRDefault="00EE2CC4" w:rsidP="00EE2CC4">
            <w:pPr>
              <w:spacing w:after="0"/>
              <w:rPr>
                <w:rFonts w:ascii="Times New Roman" w:hAnsi="Times New Roman"/>
                <w:sz w:val="20"/>
                <w:szCs w:val="20"/>
                <w:lang w:eastAsia="zh-CN"/>
              </w:rPr>
            </w:pPr>
          </w:p>
        </w:tc>
        <w:tc>
          <w:tcPr>
            <w:tcW w:w="657" w:type="dxa"/>
            <w:tcBorders>
              <w:top w:val="nil"/>
              <w:left w:val="nil"/>
              <w:bottom w:val="nil"/>
              <w:right w:val="nil"/>
            </w:tcBorders>
            <w:vAlign w:val="center"/>
            <w:hideMark/>
          </w:tcPr>
          <w:p w14:paraId="0495EC32" w14:textId="77777777" w:rsidR="00EE2CC4" w:rsidRPr="00EE2CC4" w:rsidRDefault="00EE2CC4" w:rsidP="00EE2CC4">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EE2CC4">
              <w:rPr>
                <w:rFonts w:ascii="Times New Roman" w:hAnsi="Times New Roman"/>
                <w:sz w:val="20"/>
                <w:szCs w:val="20"/>
              </w:rPr>
              <w:t>1.8</w:t>
            </w:r>
          </w:p>
        </w:tc>
        <w:tc>
          <w:tcPr>
            <w:tcW w:w="0" w:type="auto"/>
            <w:tcBorders>
              <w:top w:val="nil"/>
              <w:left w:val="nil"/>
              <w:bottom w:val="nil"/>
              <w:right w:val="nil"/>
            </w:tcBorders>
            <w:vAlign w:val="center"/>
            <w:hideMark/>
          </w:tcPr>
          <w:p w14:paraId="0692F789" w14:textId="77777777" w:rsidR="00EE2CC4" w:rsidRPr="00EE2CC4" w:rsidRDefault="00EE2CC4" w:rsidP="00645AA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reline</w:t>
            </w:r>
          </w:p>
        </w:tc>
        <w:tc>
          <w:tcPr>
            <w:tcW w:w="0" w:type="auto"/>
            <w:tcBorders>
              <w:top w:val="nil"/>
              <w:left w:val="nil"/>
              <w:bottom w:val="nil"/>
              <w:right w:val="nil"/>
            </w:tcBorders>
            <w:vAlign w:val="center"/>
            <w:hideMark/>
          </w:tcPr>
          <w:p w14:paraId="4F2EED2E" w14:textId="77777777" w:rsidR="00EE2CC4" w:rsidRPr="00EE2CC4" w:rsidRDefault="00EE2CC4" w:rsidP="00645AA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0.038</w:t>
            </w:r>
          </w:p>
        </w:tc>
        <w:tc>
          <w:tcPr>
            <w:tcW w:w="0" w:type="auto"/>
            <w:tcBorders>
              <w:top w:val="nil"/>
              <w:left w:val="nil"/>
              <w:bottom w:val="nil"/>
              <w:right w:val="nil"/>
            </w:tcBorders>
            <w:vAlign w:val="center"/>
            <w:hideMark/>
          </w:tcPr>
          <w:p w14:paraId="564DD035" w14:textId="77777777" w:rsidR="00EE2CC4" w:rsidRPr="00EE2CC4" w:rsidRDefault="00EE2CC4" w:rsidP="00645AA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2.0700</w:t>
            </w:r>
          </w:p>
        </w:tc>
      </w:tr>
      <w:tr w:rsidR="00EE2CC4" w:rsidRPr="00EE2CC4" w14:paraId="0B27AAF7" w14:textId="77777777" w:rsidTr="00645AAE">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2431" w:type="dxa"/>
            <w:vMerge w:val="restart"/>
            <w:tcBorders>
              <w:top w:val="nil"/>
              <w:left w:val="nil"/>
              <w:bottom w:val="nil"/>
              <w:right w:val="nil"/>
            </w:tcBorders>
            <w:vAlign w:val="center"/>
            <w:hideMark/>
          </w:tcPr>
          <w:p w14:paraId="6D545A4B" w14:textId="77777777" w:rsidR="00EE2CC4" w:rsidRPr="00EE2CC4" w:rsidRDefault="00EE2CC4" w:rsidP="00CC1893">
            <w:pPr>
              <w:spacing w:before="120" w:after="0"/>
              <w:rPr>
                <w:rFonts w:ascii="Times New Roman" w:hAnsi="Times New Roman"/>
                <w:b w:val="0"/>
                <w:bCs w:val="0"/>
                <w:sz w:val="20"/>
                <w:szCs w:val="20"/>
              </w:rPr>
            </w:pPr>
            <w:r w:rsidRPr="00EE2CC4">
              <w:rPr>
                <w:rFonts w:ascii="Times New Roman" w:hAnsi="Times New Roman"/>
                <w:b w:val="0"/>
                <w:bCs w:val="0"/>
                <w:sz w:val="20"/>
                <w:szCs w:val="20"/>
              </w:rPr>
              <w:t>Scan rate (mV s</w:t>
            </w:r>
            <w:r w:rsidRPr="00EE2CC4">
              <w:rPr>
                <w:rFonts w:ascii="Times New Roman" w:hAnsi="Times New Roman"/>
                <w:b w:val="0"/>
                <w:bCs w:val="0"/>
                <w:sz w:val="20"/>
                <w:szCs w:val="20"/>
                <w:vertAlign w:val="superscript"/>
              </w:rPr>
              <w:t>-1</w:t>
            </w:r>
            <w:r w:rsidRPr="00EE2CC4">
              <w:rPr>
                <w:rFonts w:ascii="Times New Roman" w:hAnsi="Times New Roman"/>
                <w:b w:val="0"/>
                <w:bCs w:val="0"/>
                <w:sz w:val="20"/>
                <w:szCs w:val="20"/>
              </w:rPr>
              <w:t>)</w:t>
            </w:r>
          </w:p>
        </w:tc>
        <w:tc>
          <w:tcPr>
            <w:tcW w:w="657" w:type="dxa"/>
            <w:tcBorders>
              <w:top w:val="nil"/>
              <w:left w:val="nil"/>
              <w:bottom w:val="nil"/>
              <w:right w:val="nil"/>
            </w:tcBorders>
            <w:vAlign w:val="center"/>
            <w:hideMark/>
          </w:tcPr>
          <w:p w14:paraId="5818E57C" w14:textId="77777777" w:rsidR="00EE2CC4" w:rsidRPr="00EE2CC4" w:rsidRDefault="00EE2CC4" w:rsidP="00CC1893">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EE2CC4">
              <w:rPr>
                <w:rFonts w:ascii="Times New Roman" w:hAnsi="Times New Roman"/>
                <w:sz w:val="20"/>
                <w:szCs w:val="20"/>
              </w:rPr>
              <w:t>10</w:t>
            </w:r>
          </w:p>
        </w:tc>
        <w:tc>
          <w:tcPr>
            <w:tcW w:w="0" w:type="auto"/>
            <w:tcBorders>
              <w:top w:val="nil"/>
              <w:left w:val="nil"/>
              <w:bottom w:val="nil"/>
              <w:right w:val="nil"/>
            </w:tcBorders>
            <w:vAlign w:val="center"/>
            <w:hideMark/>
          </w:tcPr>
          <w:p w14:paraId="4E28A8BA" w14:textId="77777777" w:rsidR="00EE2CC4" w:rsidRPr="00EE2CC4" w:rsidRDefault="00EE2CC4" w:rsidP="00CC1893">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reline</w:t>
            </w:r>
          </w:p>
        </w:tc>
        <w:tc>
          <w:tcPr>
            <w:tcW w:w="0" w:type="auto"/>
            <w:tcBorders>
              <w:top w:val="nil"/>
              <w:left w:val="nil"/>
              <w:bottom w:val="nil"/>
              <w:right w:val="nil"/>
            </w:tcBorders>
            <w:vAlign w:val="center"/>
            <w:hideMark/>
          </w:tcPr>
          <w:p w14:paraId="08DDC9E1" w14:textId="77777777" w:rsidR="00EE2CC4" w:rsidRPr="00EE2CC4" w:rsidRDefault="00EE2CC4" w:rsidP="00CC1893">
            <w:pPr>
              <w:spacing w:before="12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0.035</w:t>
            </w:r>
          </w:p>
        </w:tc>
        <w:tc>
          <w:tcPr>
            <w:tcW w:w="0" w:type="auto"/>
            <w:tcBorders>
              <w:top w:val="nil"/>
              <w:left w:val="nil"/>
              <w:bottom w:val="nil"/>
              <w:right w:val="nil"/>
            </w:tcBorders>
            <w:vAlign w:val="center"/>
            <w:hideMark/>
          </w:tcPr>
          <w:p w14:paraId="3F967C34" w14:textId="77777777" w:rsidR="00EE2CC4" w:rsidRPr="00EE2CC4" w:rsidRDefault="00EE2CC4" w:rsidP="00CC1893">
            <w:pPr>
              <w:spacing w:before="12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0.4450</w:t>
            </w:r>
          </w:p>
        </w:tc>
      </w:tr>
      <w:tr w:rsidR="00EE2CC4" w:rsidRPr="00EE2CC4" w14:paraId="52347D00" w14:textId="77777777" w:rsidTr="00645AAE">
        <w:trPr>
          <w:trHeight w:val="66"/>
          <w:jc w:val="center"/>
        </w:trPr>
        <w:tc>
          <w:tcPr>
            <w:cnfStyle w:val="001000000000" w:firstRow="0" w:lastRow="0" w:firstColumn="1" w:lastColumn="0" w:oddVBand="0" w:evenVBand="0" w:oddHBand="0" w:evenHBand="0" w:firstRowFirstColumn="0" w:firstRowLastColumn="0" w:lastRowFirstColumn="0" w:lastRowLastColumn="0"/>
            <w:tcW w:w="2431" w:type="dxa"/>
            <w:vMerge/>
            <w:tcBorders>
              <w:top w:val="nil"/>
              <w:left w:val="nil"/>
              <w:bottom w:val="nil"/>
              <w:right w:val="nil"/>
            </w:tcBorders>
            <w:vAlign w:val="center"/>
            <w:hideMark/>
          </w:tcPr>
          <w:p w14:paraId="0BD67191" w14:textId="77777777" w:rsidR="00EE2CC4" w:rsidRPr="00EE2CC4" w:rsidRDefault="00EE2CC4" w:rsidP="00EE2CC4">
            <w:pPr>
              <w:spacing w:after="0"/>
              <w:rPr>
                <w:rFonts w:ascii="Times New Roman" w:hAnsi="Times New Roman"/>
                <w:sz w:val="20"/>
                <w:szCs w:val="20"/>
                <w:lang w:eastAsia="zh-CN"/>
              </w:rPr>
            </w:pPr>
          </w:p>
        </w:tc>
        <w:tc>
          <w:tcPr>
            <w:tcW w:w="657" w:type="dxa"/>
            <w:tcBorders>
              <w:top w:val="nil"/>
              <w:left w:val="nil"/>
              <w:bottom w:val="nil"/>
              <w:right w:val="nil"/>
            </w:tcBorders>
            <w:vAlign w:val="center"/>
            <w:hideMark/>
          </w:tcPr>
          <w:p w14:paraId="3CCF851E" w14:textId="77777777" w:rsidR="00EE2CC4" w:rsidRPr="00EE2CC4" w:rsidRDefault="00EE2CC4" w:rsidP="00EE2CC4">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EE2CC4">
              <w:rPr>
                <w:rFonts w:ascii="Times New Roman" w:hAnsi="Times New Roman"/>
                <w:sz w:val="20"/>
                <w:szCs w:val="20"/>
              </w:rPr>
              <w:t>25</w:t>
            </w:r>
          </w:p>
        </w:tc>
        <w:tc>
          <w:tcPr>
            <w:tcW w:w="0" w:type="auto"/>
            <w:tcBorders>
              <w:top w:val="nil"/>
              <w:left w:val="nil"/>
              <w:bottom w:val="nil"/>
              <w:right w:val="nil"/>
            </w:tcBorders>
            <w:vAlign w:val="center"/>
            <w:hideMark/>
          </w:tcPr>
          <w:p w14:paraId="0032A7A5" w14:textId="77777777" w:rsidR="00EE2CC4" w:rsidRPr="00EE2CC4" w:rsidRDefault="00EE2CC4" w:rsidP="00645AA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reline</w:t>
            </w:r>
          </w:p>
        </w:tc>
        <w:tc>
          <w:tcPr>
            <w:tcW w:w="0" w:type="auto"/>
            <w:tcBorders>
              <w:top w:val="nil"/>
              <w:left w:val="nil"/>
              <w:bottom w:val="nil"/>
              <w:right w:val="nil"/>
            </w:tcBorders>
            <w:vAlign w:val="center"/>
            <w:hideMark/>
          </w:tcPr>
          <w:p w14:paraId="32560CF4" w14:textId="77777777" w:rsidR="00EE2CC4" w:rsidRPr="00EE2CC4" w:rsidRDefault="00EE2CC4" w:rsidP="00645AA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0.044</w:t>
            </w:r>
          </w:p>
        </w:tc>
        <w:tc>
          <w:tcPr>
            <w:tcW w:w="0" w:type="auto"/>
            <w:tcBorders>
              <w:top w:val="nil"/>
              <w:left w:val="nil"/>
              <w:bottom w:val="nil"/>
              <w:right w:val="nil"/>
            </w:tcBorders>
            <w:vAlign w:val="center"/>
            <w:hideMark/>
          </w:tcPr>
          <w:p w14:paraId="2A3BC655" w14:textId="77777777" w:rsidR="00EE2CC4" w:rsidRPr="00EE2CC4" w:rsidRDefault="00EE2CC4" w:rsidP="00645AA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0.3260</w:t>
            </w:r>
          </w:p>
        </w:tc>
      </w:tr>
      <w:tr w:rsidR="00EE2CC4" w:rsidRPr="00EE2CC4" w14:paraId="6D082E4E" w14:textId="77777777" w:rsidTr="00645AAE">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2431" w:type="dxa"/>
            <w:vMerge/>
            <w:tcBorders>
              <w:top w:val="nil"/>
              <w:left w:val="nil"/>
              <w:bottom w:val="nil"/>
              <w:right w:val="nil"/>
            </w:tcBorders>
            <w:vAlign w:val="center"/>
            <w:hideMark/>
          </w:tcPr>
          <w:p w14:paraId="42AC45D6" w14:textId="77777777" w:rsidR="00EE2CC4" w:rsidRPr="00EE2CC4" w:rsidRDefault="00EE2CC4" w:rsidP="00EE2CC4">
            <w:pPr>
              <w:spacing w:after="0"/>
              <w:rPr>
                <w:rFonts w:ascii="Times New Roman" w:hAnsi="Times New Roman"/>
                <w:sz w:val="20"/>
                <w:szCs w:val="20"/>
                <w:lang w:eastAsia="zh-CN"/>
              </w:rPr>
            </w:pPr>
          </w:p>
        </w:tc>
        <w:tc>
          <w:tcPr>
            <w:tcW w:w="657" w:type="dxa"/>
            <w:tcBorders>
              <w:top w:val="nil"/>
              <w:left w:val="nil"/>
              <w:bottom w:val="nil"/>
              <w:right w:val="nil"/>
            </w:tcBorders>
            <w:vAlign w:val="center"/>
            <w:hideMark/>
          </w:tcPr>
          <w:p w14:paraId="65FFFE9A" w14:textId="77777777" w:rsidR="00EE2CC4" w:rsidRPr="00EE2CC4" w:rsidRDefault="00EE2CC4" w:rsidP="00EE2CC4">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EE2CC4">
              <w:rPr>
                <w:rFonts w:ascii="Times New Roman" w:hAnsi="Times New Roman"/>
                <w:sz w:val="20"/>
                <w:szCs w:val="20"/>
              </w:rPr>
              <w:t>50</w:t>
            </w:r>
          </w:p>
        </w:tc>
        <w:tc>
          <w:tcPr>
            <w:tcW w:w="0" w:type="auto"/>
            <w:tcBorders>
              <w:top w:val="nil"/>
              <w:left w:val="nil"/>
              <w:bottom w:val="nil"/>
              <w:right w:val="nil"/>
            </w:tcBorders>
            <w:vAlign w:val="center"/>
            <w:hideMark/>
          </w:tcPr>
          <w:p w14:paraId="28D74E50" w14:textId="77777777" w:rsidR="00EE2CC4" w:rsidRPr="00EE2CC4" w:rsidRDefault="00EE2CC4" w:rsidP="00645AA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reline</w:t>
            </w:r>
          </w:p>
        </w:tc>
        <w:tc>
          <w:tcPr>
            <w:tcW w:w="0" w:type="auto"/>
            <w:tcBorders>
              <w:top w:val="nil"/>
              <w:left w:val="nil"/>
              <w:bottom w:val="nil"/>
              <w:right w:val="nil"/>
            </w:tcBorders>
            <w:vAlign w:val="center"/>
            <w:hideMark/>
          </w:tcPr>
          <w:p w14:paraId="66E409E8" w14:textId="77777777" w:rsidR="00EE2CC4" w:rsidRPr="00EE2CC4" w:rsidRDefault="00EE2CC4" w:rsidP="00645AA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0.044</w:t>
            </w:r>
          </w:p>
        </w:tc>
        <w:tc>
          <w:tcPr>
            <w:tcW w:w="0" w:type="auto"/>
            <w:tcBorders>
              <w:top w:val="nil"/>
              <w:left w:val="nil"/>
              <w:bottom w:val="nil"/>
              <w:right w:val="nil"/>
            </w:tcBorders>
            <w:vAlign w:val="center"/>
            <w:hideMark/>
          </w:tcPr>
          <w:p w14:paraId="555D07FC" w14:textId="77777777" w:rsidR="00EE2CC4" w:rsidRPr="00EE2CC4" w:rsidRDefault="00EE2CC4" w:rsidP="00645AA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0.1980</w:t>
            </w:r>
          </w:p>
        </w:tc>
      </w:tr>
      <w:tr w:rsidR="00EE2CC4" w:rsidRPr="00EE2CC4" w14:paraId="5732DDC3" w14:textId="77777777" w:rsidTr="00645AAE">
        <w:trPr>
          <w:trHeight w:val="66"/>
          <w:jc w:val="center"/>
        </w:trPr>
        <w:tc>
          <w:tcPr>
            <w:cnfStyle w:val="001000000000" w:firstRow="0" w:lastRow="0" w:firstColumn="1" w:lastColumn="0" w:oddVBand="0" w:evenVBand="0" w:oddHBand="0" w:evenHBand="0" w:firstRowFirstColumn="0" w:firstRowLastColumn="0" w:lastRowFirstColumn="0" w:lastRowLastColumn="0"/>
            <w:tcW w:w="2431" w:type="dxa"/>
            <w:vMerge/>
            <w:tcBorders>
              <w:top w:val="nil"/>
              <w:left w:val="nil"/>
              <w:bottom w:val="nil"/>
              <w:right w:val="nil"/>
            </w:tcBorders>
            <w:vAlign w:val="center"/>
            <w:hideMark/>
          </w:tcPr>
          <w:p w14:paraId="6DE5456B" w14:textId="77777777" w:rsidR="00EE2CC4" w:rsidRPr="00EE2CC4" w:rsidRDefault="00EE2CC4" w:rsidP="00EE2CC4">
            <w:pPr>
              <w:spacing w:after="0"/>
              <w:rPr>
                <w:rFonts w:ascii="Times New Roman" w:hAnsi="Times New Roman"/>
                <w:sz w:val="20"/>
                <w:szCs w:val="20"/>
                <w:lang w:eastAsia="zh-CN"/>
              </w:rPr>
            </w:pPr>
          </w:p>
        </w:tc>
        <w:tc>
          <w:tcPr>
            <w:tcW w:w="657" w:type="dxa"/>
            <w:tcBorders>
              <w:top w:val="nil"/>
              <w:left w:val="nil"/>
              <w:bottom w:val="nil"/>
              <w:right w:val="nil"/>
            </w:tcBorders>
            <w:vAlign w:val="center"/>
            <w:hideMark/>
          </w:tcPr>
          <w:p w14:paraId="0FA5070B" w14:textId="77777777" w:rsidR="00EE2CC4" w:rsidRPr="00EE2CC4" w:rsidRDefault="00EE2CC4" w:rsidP="00EE2CC4">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EE2CC4">
              <w:rPr>
                <w:rFonts w:ascii="Times New Roman" w:hAnsi="Times New Roman"/>
                <w:sz w:val="20"/>
                <w:szCs w:val="20"/>
              </w:rPr>
              <w:t>75</w:t>
            </w:r>
          </w:p>
        </w:tc>
        <w:tc>
          <w:tcPr>
            <w:tcW w:w="0" w:type="auto"/>
            <w:tcBorders>
              <w:top w:val="nil"/>
              <w:left w:val="nil"/>
              <w:bottom w:val="nil"/>
              <w:right w:val="nil"/>
            </w:tcBorders>
            <w:vAlign w:val="center"/>
            <w:hideMark/>
          </w:tcPr>
          <w:p w14:paraId="490BFD7F" w14:textId="77777777" w:rsidR="00EE2CC4" w:rsidRPr="00EE2CC4" w:rsidRDefault="00EE2CC4" w:rsidP="00645AA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reline</w:t>
            </w:r>
          </w:p>
        </w:tc>
        <w:tc>
          <w:tcPr>
            <w:tcW w:w="0" w:type="auto"/>
            <w:tcBorders>
              <w:top w:val="nil"/>
              <w:left w:val="nil"/>
              <w:bottom w:val="nil"/>
              <w:right w:val="nil"/>
            </w:tcBorders>
            <w:vAlign w:val="center"/>
            <w:hideMark/>
          </w:tcPr>
          <w:p w14:paraId="6C08DC6F" w14:textId="77777777" w:rsidR="00EE2CC4" w:rsidRPr="00EE2CC4" w:rsidRDefault="00EE2CC4" w:rsidP="00645AA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0.046</w:t>
            </w:r>
          </w:p>
        </w:tc>
        <w:tc>
          <w:tcPr>
            <w:tcW w:w="0" w:type="auto"/>
            <w:tcBorders>
              <w:top w:val="nil"/>
              <w:left w:val="nil"/>
              <w:bottom w:val="nil"/>
              <w:right w:val="nil"/>
            </w:tcBorders>
            <w:vAlign w:val="center"/>
            <w:hideMark/>
          </w:tcPr>
          <w:p w14:paraId="2AFD6C5C" w14:textId="77777777" w:rsidR="00EE2CC4" w:rsidRPr="00EE2CC4" w:rsidRDefault="00EE2CC4" w:rsidP="00645AA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1.0770</w:t>
            </w:r>
          </w:p>
        </w:tc>
      </w:tr>
      <w:tr w:rsidR="00EE2CC4" w:rsidRPr="00EE2CC4" w14:paraId="496142B3" w14:textId="77777777" w:rsidTr="00CC1893">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2431" w:type="dxa"/>
            <w:vMerge/>
            <w:tcBorders>
              <w:top w:val="nil"/>
              <w:left w:val="nil"/>
              <w:bottom w:val="nil"/>
              <w:right w:val="nil"/>
            </w:tcBorders>
            <w:vAlign w:val="center"/>
            <w:hideMark/>
          </w:tcPr>
          <w:p w14:paraId="55726199" w14:textId="77777777" w:rsidR="00EE2CC4" w:rsidRPr="00EE2CC4" w:rsidRDefault="00EE2CC4" w:rsidP="00EE2CC4">
            <w:pPr>
              <w:spacing w:after="0"/>
              <w:rPr>
                <w:rFonts w:ascii="Times New Roman" w:hAnsi="Times New Roman"/>
                <w:sz w:val="20"/>
                <w:szCs w:val="20"/>
                <w:lang w:eastAsia="zh-CN"/>
              </w:rPr>
            </w:pPr>
          </w:p>
        </w:tc>
        <w:tc>
          <w:tcPr>
            <w:tcW w:w="657" w:type="dxa"/>
            <w:tcBorders>
              <w:top w:val="nil"/>
              <w:left w:val="nil"/>
              <w:bottom w:val="nil"/>
              <w:right w:val="nil"/>
            </w:tcBorders>
            <w:vAlign w:val="center"/>
            <w:hideMark/>
          </w:tcPr>
          <w:p w14:paraId="201709AB" w14:textId="77777777" w:rsidR="00EE2CC4" w:rsidRPr="00EE2CC4" w:rsidRDefault="00EE2CC4" w:rsidP="00EE2CC4">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EE2CC4">
              <w:rPr>
                <w:rFonts w:ascii="Times New Roman" w:hAnsi="Times New Roman"/>
                <w:sz w:val="20"/>
                <w:szCs w:val="20"/>
              </w:rPr>
              <w:t>100</w:t>
            </w:r>
          </w:p>
        </w:tc>
        <w:tc>
          <w:tcPr>
            <w:tcW w:w="0" w:type="auto"/>
            <w:tcBorders>
              <w:top w:val="nil"/>
              <w:left w:val="nil"/>
              <w:bottom w:val="nil"/>
              <w:right w:val="nil"/>
            </w:tcBorders>
            <w:vAlign w:val="center"/>
            <w:hideMark/>
          </w:tcPr>
          <w:p w14:paraId="2EDAABDB" w14:textId="77777777" w:rsidR="00EE2CC4" w:rsidRPr="00EE2CC4" w:rsidRDefault="00EE2CC4" w:rsidP="00645AA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reline</w:t>
            </w:r>
          </w:p>
        </w:tc>
        <w:tc>
          <w:tcPr>
            <w:tcW w:w="0" w:type="auto"/>
            <w:tcBorders>
              <w:top w:val="nil"/>
              <w:left w:val="nil"/>
              <w:bottom w:val="nil"/>
              <w:right w:val="nil"/>
            </w:tcBorders>
            <w:vAlign w:val="center"/>
            <w:hideMark/>
          </w:tcPr>
          <w:p w14:paraId="15FFB605" w14:textId="77777777" w:rsidR="00EE2CC4" w:rsidRPr="00EE2CC4" w:rsidRDefault="00EE2CC4" w:rsidP="00645AA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0.045</w:t>
            </w:r>
          </w:p>
        </w:tc>
        <w:tc>
          <w:tcPr>
            <w:tcW w:w="0" w:type="auto"/>
            <w:tcBorders>
              <w:top w:val="nil"/>
              <w:left w:val="nil"/>
              <w:bottom w:val="nil"/>
              <w:right w:val="nil"/>
            </w:tcBorders>
            <w:vAlign w:val="center"/>
            <w:hideMark/>
          </w:tcPr>
          <w:p w14:paraId="0DF69FE8" w14:textId="77777777" w:rsidR="00EE2CC4" w:rsidRPr="00EE2CC4" w:rsidRDefault="00EE2CC4" w:rsidP="00645AA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0.7860</w:t>
            </w:r>
          </w:p>
        </w:tc>
      </w:tr>
      <w:tr w:rsidR="00EE2CC4" w:rsidRPr="00EE2CC4" w14:paraId="6B70F590" w14:textId="77777777" w:rsidTr="00CC1893">
        <w:trPr>
          <w:trHeight w:val="66"/>
          <w:jc w:val="center"/>
        </w:trPr>
        <w:tc>
          <w:tcPr>
            <w:cnfStyle w:val="001000000000" w:firstRow="0" w:lastRow="0" w:firstColumn="1" w:lastColumn="0" w:oddVBand="0" w:evenVBand="0" w:oddHBand="0" w:evenHBand="0" w:firstRowFirstColumn="0" w:firstRowLastColumn="0" w:lastRowFirstColumn="0" w:lastRowLastColumn="0"/>
            <w:tcW w:w="2431" w:type="dxa"/>
            <w:vMerge w:val="restart"/>
            <w:tcBorders>
              <w:top w:val="nil"/>
              <w:left w:val="nil"/>
              <w:bottom w:val="single" w:sz="4" w:space="0" w:color="auto"/>
              <w:right w:val="nil"/>
            </w:tcBorders>
            <w:vAlign w:val="center"/>
            <w:hideMark/>
          </w:tcPr>
          <w:p w14:paraId="3348A871" w14:textId="77777777" w:rsidR="00EE2CC4" w:rsidRPr="00EE2CC4" w:rsidRDefault="00EE2CC4" w:rsidP="00CC1893">
            <w:pPr>
              <w:spacing w:before="120" w:after="0"/>
              <w:rPr>
                <w:rFonts w:ascii="Times New Roman" w:hAnsi="Times New Roman"/>
                <w:b w:val="0"/>
                <w:bCs w:val="0"/>
                <w:sz w:val="20"/>
                <w:szCs w:val="20"/>
              </w:rPr>
            </w:pPr>
            <w:r w:rsidRPr="00EE2CC4">
              <w:rPr>
                <w:rFonts w:ascii="Times New Roman" w:hAnsi="Times New Roman"/>
                <w:b w:val="0"/>
                <w:bCs w:val="0"/>
                <w:sz w:val="20"/>
                <w:szCs w:val="20"/>
              </w:rPr>
              <w:t>Scan cycles</w:t>
            </w:r>
          </w:p>
        </w:tc>
        <w:tc>
          <w:tcPr>
            <w:tcW w:w="657" w:type="dxa"/>
            <w:tcBorders>
              <w:top w:val="nil"/>
              <w:left w:val="nil"/>
              <w:bottom w:val="nil"/>
              <w:right w:val="nil"/>
            </w:tcBorders>
            <w:vAlign w:val="center"/>
            <w:hideMark/>
          </w:tcPr>
          <w:p w14:paraId="0572C19C" w14:textId="77777777" w:rsidR="00EE2CC4" w:rsidRPr="00EE2CC4" w:rsidRDefault="00EE2CC4" w:rsidP="00CC1893">
            <w:pPr>
              <w:spacing w:before="120"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EE2CC4">
              <w:rPr>
                <w:rFonts w:ascii="Times New Roman" w:hAnsi="Times New Roman"/>
                <w:sz w:val="20"/>
                <w:szCs w:val="20"/>
              </w:rPr>
              <w:t>3</w:t>
            </w:r>
          </w:p>
        </w:tc>
        <w:tc>
          <w:tcPr>
            <w:tcW w:w="0" w:type="auto"/>
            <w:tcBorders>
              <w:top w:val="nil"/>
              <w:left w:val="nil"/>
              <w:bottom w:val="nil"/>
              <w:right w:val="nil"/>
            </w:tcBorders>
            <w:vAlign w:val="center"/>
            <w:hideMark/>
          </w:tcPr>
          <w:p w14:paraId="1E7A26E3" w14:textId="77777777" w:rsidR="00EE2CC4" w:rsidRPr="00EE2CC4" w:rsidRDefault="00EE2CC4" w:rsidP="00CC1893">
            <w:pPr>
              <w:spacing w:before="12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reline</w:t>
            </w:r>
          </w:p>
        </w:tc>
        <w:tc>
          <w:tcPr>
            <w:tcW w:w="0" w:type="auto"/>
            <w:tcBorders>
              <w:top w:val="nil"/>
              <w:left w:val="nil"/>
              <w:bottom w:val="nil"/>
              <w:right w:val="nil"/>
            </w:tcBorders>
            <w:vAlign w:val="center"/>
            <w:hideMark/>
          </w:tcPr>
          <w:p w14:paraId="4F328232" w14:textId="77777777" w:rsidR="00EE2CC4" w:rsidRPr="00EE2CC4" w:rsidRDefault="00EE2CC4" w:rsidP="00CC1893">
            <w:pPr>
              <w:spacing w:before="12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0.038</w:t>
            </w:r>
          </w:p>
        </w:tc>
        <w:tc>
          <w:tcPr>
            <w:tcW w:w="0" w:type="auto"/>
            <w:tcBorders>
              <w:top w:val="nil"/>
              <w:left w:val="nil"/>
              <w:bottom w:val="nil"/>
              <w:right w:val="nil"/>
            </w:tcBorders>
            <w:vAlign w:val="center"/>
            <w:hideMark/>
          </w:tcPr>
          <w:p w14:paraId="5FB986B0" w14:textId="77777777" w:rsidR="00EE2CC4" w:rsidRPr="00EE2CC4" w:rsidRDefault="00EE2CC4" w:rsidP="00CC1893">
            <w:pPr>
              <w:spacing w:before="12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0.6800</w:t>
            </w:r>
          </w:p>
        </w:tc>
      </w:tr>
      <w:tr w:rsidR="00EE2CC4" w:rsidRPr="00EE2CC4" w14:paraId="68BA25D6" w14:textId="77777777" w:rsidTr="00CC1893">
        <w:trPr>
          <w:cnfStyle w:val="000000100000" w:firstRow="0" w:lastRow="0" w:firstColumn="0" w:lastColumn="0" w:oddVBand="0" w:evenVBand="0" w:oddHBand="1" w:evenHBand="0" w:firstRowFirstColumn="0" w:firstRowLastColumn="0" w:lastRowFirstColumn="0" w:lastRowLastColumn="0"/>
          <w:trHeight w:val="56"/>
          <w:jc w:val="center"/>
        </w:trPr>
        <w:tc>
          <w:tcPr>
            <w:cnfStyle w:val="001000000000" w:firstRow="0" w:lastRow="0" w:firstColumn="1" w:lastColumn="0" w:oddVBand="0" w:evenVBand="0" w:oddHBand="0" w:evenHBand="0" w:firstRowFirstColumn="0" w:firstRowLastColumn="0" w:lastRowFirstColumn="0" w:lastRowLastColumn="0"/>
            <w:tcW w:w="2431" w:type="dxa"/>
            <w:vMerge/>
            <w:tcBorders>
              <w:top w:val="nil"/>
              <w:left w:val="nil"/>
              <w:bottom w:val="single" w:sz="4" w:space="0" w:color="auto"/>
              <w:right w:val="nil"/>
            </w:tcBorders>
            <w:vAlign w:val="center"/>
            <w:hideMark/>
          </w:tcPr>
          <w:p w14:paraId="6789772B" w14:textId="77777777" w:rsidR="00EE2CC4" w:rsidRPr="00EE2CC4" w:rsidRDefault="00EE2CC4" w:rsidP="00EE2CC4">
            <w:pPr>
              <w:spacing w:after="0"/>
              <w:rPr>
                <w:rFonts w:ascii="Times New Roman" w:hAnsi="Times New Roman"/>
                <w:sz w:val="20"/>
                <w:szCs w:val="20"/>
                <w:lang w:eastAsia="zh-CN"/>
              </w:rPr>
            </w:pPr>
          </w:p>
        </w:tc>
        <w:tc>
          <w:tcPr>
            <w:tcW w:w="657" w:type="dxa"/>
            <w:tcBorders>
              <w:top w:val="nil"/>
              <w:left w:val="nil"/>
              <w:bottom w:val="nil"/>
              <w:right w:val="nil"/>
            </w:tcBorders>
            <w:vAlign w:val="center"/>
            <w:hideMark/>
          </w:tcPr>
          <w:p w14:paraId="1FAD8F27" w14:textId="77777777" w:rsidR="00EE2CC4" w:rsidRPr="00EE2CC4" w:rsidRDefault="00EE2CC4" w:rsidP="00EE2CC4">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EE2CC4">
              <w:rPr>
                <w:rFonts w:ascii="Times New Roman" w:hAnsi="Times New Roman"/>
                <w:sz w:val="20"/>
                <w:szCs w:val="20"/>
              </w:rPr>
              <w:t>5</w:t>
            </w:r>
          </w:p>
        </w:tc>
        <w:tc>
          <w:tcPr>
            <w:tcW w:w="0" w:type="auto"/>
            <w:tcBorders>
              <w:top w:val="nil"/>
              <w:left w:val="nil"/>
              <w:bottom w:val="nil"/>
              <w:right w:val="nil"/>
            </w:tcBorders>
            <w:vAlign w:val="center"/>
            <w:hideMark/>
          </w:tcPr>
          <w:p w14:paraId="60599F89" w14:textId="77777777" w:rsidR="00EE2CC4" w:rsidRPr="00EE2CC4" w:rsidRDefault="00EE2CC4" w:rsidP="00645AA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reline</w:t>
            </w:r>
          </w:p>
        </w:tc>
        <w:tc>
          <w:tcPr>
            <w:tcW w:w="0" w:type="auto"/>
            <w:tcBorders>
              <w:top w:val="nil"/>
              <w:left w:val="nil"/>
              <w:bottom w:val="nil"/>
              <w:right w:val="nil"/>
            </w:tcBorders>
            <w:vAlign w:val="center"/>
            <w:hideMark/>
          </w:tcPr>
          <w:p w14:paraId="694A38D6" w14:textId="77777777" w:rsidR="00EE2CC4" w:rsidRPr="00EE2CC4" w:rsidRDefault="00EE2CC4" w:rsidP="00645AA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0.044</w:t>
            </w:r>
          </w:p>
        </w:tc>
        <w:tc>
          <w:tcPr>
            <w:tcW w:w="0" w:type="auto"/>
            <w:tcBorders>
              <w:top w:val="nil"/>
              <w:left w:val="nil"/>
              <w:bottom w:val="nil"/>
              <w:right w:val="nil"/>
            </w:tcBorders>
            <w:vAlign w:val="center"/>
            <w:hideMark/>
          </w:tcPr>
          <w:p w14:paraId="5F73636D" w14:textId="77777777" w:rsidR="00EE2CC4" w:rsidRPr="00EE2CC4" w:rsidRDefault="00EE2CC4" w:rsidP="00645AA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0.1980</w:t>
            </w:r>
          </w:p>
        </w:tc>
      </w:tr>
      <w:tr w:rsidR="00EE2CC4" w:rsidRPr="00EE2CC4" w14:paraId="04C5C7F4" w14:textId="77777777" w:rsidTr="00CC1893">
        <w:trPr>
          <w:trHeight w:val="56"/>
          <w:jc w:val="center"/>
        </w:trPr>
        <w:tc>
          <w:tcPr>
            <w:cnfStyle w:val="001000000000" w:firstRow="0" w:lastRow="0" w:firstColumn="1" w:lastColumn="0" w:oddVBand="0" w:evenVBand="0" w:oddHBand="0" w:evenHBand="0" w:firstRowFirstColumn="0" w:firstRowLastColumn="0" w:lastRowFirstColumn="0" w:lastRowLastColumn="0"/>
            <w:tcW w:w="2431" w:type="dxa"/>
            <w:vMerge/>
            <w:tcBorders>
              <w:top w:val="nil"/>
              <w:left w:val="nil"/>
              <w:bottom w:val="single" w:sz="4" w:space="0" w:color="auto"/>
              <w:right w:val="nil"/>
            </w:tcBorders>
            <w:vAlign w:val="center"/>
            <w:hideMark/>
          </w:tcPr>
          <w:p w14:paraId="484A6965" w14:textId="77777777" w:rsidR="00EE2CC4" w:rsidRPr="00EE2CC4" w:rsidRDefault="00EE2CC4" w:rsidP="00EE2CC4">
            <w:pPr>
              <w:spacing w:after="0"/>
              <w:rPr>
                <w:rFonts w:ascii="Times New Roman" w:hAnsi="Times New Roman"/>
                <w:sz w:val="20"/>
                <w:szCs w:val="20"/>
                <w:lang w:eastAsia="zh-CN"/>
              </w:rPr>
            </w:pPr>
          </w:p>
        </w:tc>
        <w:tc>
          <w:tcPr>
            <w:tcW w:w="657" w:type="dxa"/>
            <w:tcBorders>
              <w:top w:val="nil"/>
              <w:left w:val="nil"/>
              <w:bottom w:val="nil"/>
              <w:right w:val="nil"/>
            </w:tcBorders>
            <w:vAlign w:val="center"/>
            <w:hideMark/>
          </w:tcPr>
          <w:p w14:paraId="69BA1BAF" w14:textId="77777777" w:rsidR="00EE2CC4" w:rsidRPr="00EE2CC4" w:rsidRDefault="00EE2CC4" w:rsidP="00EE2CC4">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EE2CC4">
              <w:rPr>
                <w:rFonts w:ascii="Times New Roman" w:hAnsi="Times New Roman"/>
                <w:sz w:val="20"/>
                <w:szCs w:val="20"/>
              </w:rPr>
              <w:t>10</w:t>
            </w:r>
          </w:p>
        </w:tc>
        <w:tc>
          <w:tcPr>
            <w:tcW w:w="0" w:type="auto"/>
            <w:tcBorders>
              <w:top w:val="nil"/>
              <w:left w:val="nil"/>
              <w:bottom w:val="nil"/>
              <w:right w:val="nil"/>
            </w:tcBorders>
            <w:vAlign w:val="center"/>
            <w:hideMark/>
          </w:tcPr>
          <w:p w14:paraId="23C4FA2B" w14:textId="77777777" w:rsidR="00EE2CC4" w:rsidRPr="00EE2CC4" w:rsidRDefault="00EE2CC4" w:rsidP="00645AA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reline</w:t>
            </w:r>
          </w:p>
        </w:tc>
        <w:tc>
          <w:tcPr>
            <w:tcW w:w="0" w:type="auto"/>
            <w:tcBorders>
              <w:top w:val="nil"/>
              <w:left w:val="nil"/>
              <w:bottom w:val="nil"/>
              <w:right w:val="nil"/>
            </w:tcBorders>
            <w:vAlign w:val="center"/>
            <w:hideMark/>
          </w:tcPr>
          <w:p w14:paraId="56BE052F" w14:textId="77777777" w:rsidR="00EE2CC4" w:rsidRPr="00EE2CC4" w:rsidRDefault="00EE2CC4" w:rsidP="00645AA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0.039</w:t>
            </w:r>
          </w:p>
        </w:tc>
        <w:tc>
          <w:tcPr>
            <w:tcW w:w="0" w:type="auto"/>
            <w:tcBorders>
              <w:top w:val="nil"/>
              <w:left w:val="nil"/>
              <w:bottom w:val="nil"/>
              <w:right w:val="nil"/>
            </w:tcBorders>
            <w:vAlign w:val="center"/>
            <w:hideMark/>
          </w:tcPr>
          <w:p w14:paraId="52D9B371" w14:textId="77777777" w:rsidR="00EE2CC4" w:rsidRPr="00EE2CC4" w:rsidRDefault="00EE2CC4" w:rsidP="00645AA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1.1800</w:t>
            </w:r>
          </w:p>
        </w:tc>
      </w:tr>
      <w:tr w:rsidR="00EE2CC4" w:rsidRPr="00EE2CC4" w14:paraId="16EA0524" w14:textId="77777777" w:rsidTr="00CC1893">
        <w:trPr>
          <w:cnfStyle w:val="000000100000" w:firstRow="0" w:lastRow="0" w:firstColumn="0" w:lastColumn="0" w:oddVBand="0" w:evenVBand="0" w:oddHBand="1" w:evenHBand="0" w:firstRowFirstColumn="0" w:firstRowLastColumn="0" w:lastRowFirstColumn="0" w:lastRowLastColumn="0"/>
          <w:trHeight w:val="56"/>
          <w:jc w:val="center"/>
        </w:trPr>
        <w:tc>
          <w:tcPr>
            <w:cnfStyle w:val="001000000000" w:firstRow="0" w:lastRow="0" w:firstColumn="1" w:lastColumn="0" w:oddVBand="0" w:evenVBand="0" w:oddHBand="0" w:evenHBand="0" w:firstRowFirstColumn="0" w:firstRowLastColumn="0" w:lastRowFirstColumn="0" w:lastRowLastColumn="0"/>
            <w:tcW w:w="2431" w:type="dxa"/>
            <w:vMerge/>
            <w:tcBorders>
              <w:top w:val="nil"/>
              <w:left w:val="nil"/>
              <w:bottom w:val="single" w:sz="4" w:space="0" w:color="auto"/>
              <w:right w:val="nil"/>
            </w:tcBorders>
            <w:vAlign w:val="center"/>
            <w:hideMark/>
          </w:tcPr>
          <w:p w14:paraId="32947D36" w14:textId="77777777" w:rsidR="00EE2CC4" w:rsidRPr="00EE2CC4" w:rsidRDefault="00EE2CC4" w:rsidP="00EE2CC4">
            <w:pPr>
              <w:spacing w:after="0"/>
              <w:rPr>
                <w:rFonts w:ascii="Times New Roman" w:hAnsi="Times New Roman"/>
                <w:sz w:val="20"/>
                <w:szCs w:val="20"/>
                <w:lang w:eastAsia="zh-CN"/>
              </w:rPr>
            </w:pPr>
          </w:p>
        </w:tc>
        <w:tc>
          <w:tcPr>
            <w:tcW w:w="657" w:type="dxa"/>
            <w:tcBorders>
              <w:top w:val="nil"/>
              <w:left w:val="nil"/>
              <w:bottom w:val="single" w:sz="4" w:space="0" w:color="auto"/>
              <w:right w:val="nil"/>
            </w:tcBorders>
            <w:vAlign w:val="center"/>
            <w:hideMark/>
          </w:tcPr>
          <w:p w14:paraId="0594427C" w14:textId="77777777" w:rsidR="00EE2CC4" w:rsidRPr="00EE2CC4" w:rsidRDefault="00EE2CC4" w:rsidP="00CC1893">
            <w:pPr>
              <w:spacing w:after="6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EE2CC4">
              <w:rPr>
                <w:rFonts w:ascii="Times New Roman" w:hAnsi="Times New Roman"/>
                <w:sz w:val="20"/>
                <w:szCs w:val="20"/>
              </w:rPr>
              <w:t>15</w:t>
            </w:r>
          </w:p>
        </w:tc>
        <w:tc>
          <w:tcPr>
            <w:tcW w:w="0" w:type="auto"/>
            <w:tcBorders>
              <w:top w:val="nil"/>
              <w:left w:val="nil"/>
              <w:bottom w:val="single" w:sz="4" w:space="0" w:color="auto"/>
              <w:right w:val="nil"/>
            </w:tcBorders>
            <w:vAlign w:val="center"/>
            <w:hideMark/>
          </w:tcPr>
          <w:p w14:paraId="23C73590" w14:textId="77777777" w:rsidR="00EE2CC4" w:rsidRPr="00EE2CC4" w:rsidRDefault="00EE2CC4" w:rsidP="00CC1893">
            <w:pPr>
              <w:spacing w:after="6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reline</w:t>
            </w:r>
          </w:p>
        </w:tc>
        <w:tc>
          <w:tcPr>
            <w:tcW w:w="0" w:type="auto"/>
            <w:tcBorders>
              <w:top w:val="nil"/>
              <w:left w:val="nil"/>
              <w:bottom w:val="single" w:sz="4" w:space="0" w:color="auto"/>
              <w:right w:val="nil"/>
            </w:tcBorders>
            <w:vAlign w:val="center"/>
            <w:hideMark/>
          </w:tcPr>
          <w:p w14:paraId="2C5E96BA" w14:textId="77777777" w:rsidR="00EE2CC4" w:rsidRPr="00EE2CC4" w:rsidRDefault="00EE2CC4" w:rsidP="00CC1893">
            <w:pPr>
              <w:spacing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0.044</w:t>
            </w:r>
          </w:p>
        </w:tc>
        <w:tc>
          <w:tcPr>
            <w:tcW w:w="0" w:type="auto"/>
            <w:tcBorders>
              <w:top w:val="nil"/>
              <w:left w:val="nil"/>
              <w:bottom w:val="single" w:sz="4" w:space="0" w:color="auto"/>
              <w:right w:val="nil"/>
            </w:tcBorders>
            <w:vAlign w:val="center"/>
            <w:hideMark/>
          </w:tcPr>
          <w:p w14:paraId="43C92700" w14:textId="77777777" w:rsidR="00EE2CC4" w:rsidRPr="00EE2CC4" w:rsidRDefault="00EE2CC4" w:rsidP="00CC1893">
            <w:pPr>
              <w:spacing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EE2CC4">
              <w:rPr>
                <w:rFonts w:ascii="Times New Roman" w:hAnsi="Times New Roman"/>
                <w:color w:val="000000"/>
                <w:sz w:val="20"/>
                <w:szCs w:val="20"/>
              </w:rPr>
              <w:t>0.5680</w:t>
            </w:r>
          </w:p>
        </w:tc>
      </w:tr>
    </w:tbl>
    <w:p w14:paraId="2AD3FD43" w14:textId="4CF6145C" w:rsidR="00EE2CC4" w:rsidRDefault="00EE2CC4" w:rsidP="00EE2CC4">
      <w:pPr>
        <w:spacing w:after="0"/>
        <w:jc w:val="both"/>
        <w:rPr>
          <w:rFonts w:ascii="Times New Roman" w:hAnsi="Times New Roman"/>
          <w:b/>
          <w:sz w:val="20"/>
          <w:szCs w:val="20"/>
          <w:lang w:eastAsia="zh-CN"/>
        </w:rPr>
      </w:pPr>
    </w:p>
    <w:p w14:paraId="1777EF6E" w14:textId="6F2918EA" w:rsidR="00645AAE" w:rsidRDefault="00645AAE" w:rsidP="00EE2CC4">
      <w:pPr>
        <w:spacing w:after="0"/>
        <w:jc w:val="both"/>
        <w:rPr>
          <w:rFonts w:ascii="Times New Roman" w:hAnsi="Times New Roman"/>
          <w:b/>
          <w:sz w:val="20"/>
          <w:szCs w:val="20"/>
          <w:lang w:eastAsia="zh-CN"/>
        </w:rPr>
      </w:pPr>
    </w:p>
    <w:p w14:paraId="16ADAD90" w14:textId="6EB9AFB9" w:rsidR="00645AAE" w:rsidRDefault="00645AAE" w:rsidP="00EE2CC4">
      <w:pPr>
        <w:spacing w:after="0"/>
        <w:jc w:val="both"/>
        <w:rPr>
          <w:rFonts w:ascii="Times New Roman" w:hAnsi="Times New Roman"/>
          <w:b/>
          <w:sz w:val="20"/>
          <w:szCs w:val="20"/>
          <w:lang w:eastAsia="zh-CN"/>
        </w:rPr>
      </w:pPr>
    </w:p>
    <w:p w14:paraId="649748F6" w14:textId="3DEEC237" w:rsidR="00D64DBA" w:rsidRDefault="00D64DBA" w:rsidP="00EE2CC4">
      <w:pPr>
        <w:spacing w:after="0"/>
        <w:jc w:val="both"/>
        <w:rPr>
          <w:rFonts w:ascii="Times New Roman" w:hAnsi="Times New Roman"/>
          <w:b/>
          <w:sz w:val="20"/>
          <w:szCs w:val="20"/>
          <w:lang w:eastAsia="zh-CN"/>
        </w:rPr>
      </w:pPr>
    </w:p>
    <w:p w14:paraId="0B9D8CA7" w14:textId="77777777" w:rsidR="00D64DBA" w:rsidRPr="00EE2CC4" w:rsidRDefault="00D64DBA" w:rsidP="00EE2CC4">
      <w:pPr>
        <w:spacing w:after="0"/>
        <w:jc w:val="both"/>
        <w:rPr>
          <w:rFonts w:ascii="Times New Roman" w:hAnsi="Times New Roman"/>
          <w:b/>
          <w:sz w:val="20"/>
          <w:szCs w:val="20"/>
          <w:lang w:eastAsia="zh-CN"/>
        </w:rPr>
      </w:pPr>
    </w:p>
    <w:p w14:paraId="408103BF" w14:textId="77777777" w:rsidR="00D64DBA" w:rsidRDefault="00D64DBA" w:rsidP="00EE2CC4">
      <w:pPr>
        <w:spacing w:after="0"/>
        <w:jc w:val="both"/>
        <w:rPr>
          <w:rFonts w:ascii="Times New Roman" w:hAnsi="Times New Roman"/>
          <w:b/>
          <w:sz w:val="20"/>
          <w:szCs w:val="20"/>
        </w:rPr>
        <w:sectPr w:rsidR="00D64DBA" w:rsidSect="001D1A16">
          <w:footerReference w:type="even" r:id="rId18"/>
          <w:footerReference w:type="default" r:id="rId19"/>
          <w:type w:val="continuous"/>
          <w:pgSz w:w="12240" w:h="15840" w:code="1"/>
          <w:pgMar w:top="1800" w:right="1469" w:bottom="1699" w:left="1440" w:header="706" w:footer="706" w:gutter="0"/>
          <w:pgNumType w:start="0"/>
          <w:cols w:space="708"/>
          <w:docGrid w:linePitch="360"/>
        </w:sectPr>
      </w:pPr>
    </w:p>
    <w:p w14:paraId="21A7BC3F" w14:textId="77777777" w:rsidR="00EE2CC4" w:rsidRPr="00EE2CC4" w:rsidRDefault="00EE2CC4" w:rsidP="00EE2CC4">
      <w:pPr>
        <w:spacing w:after="0"/>
        <w:jc w:val="both"/>
        <w:rPr>
          <w:rFonts w:ascii="Times New Roman" w:hAnsi="Times New Roman"/>
          <w:b/>
          <w:sz w:val="20"/>
          <w:szCs w:val="20"/>
        </w:rPr>
      </w:pPr>
      <w:r w:rsidRPr="00EE2CC4">
        <w:rPr>
          <w:rFonts w:ascii="Times New Roman" w:hAnsi="Times New Roman"/>
          <w:b/>
          <w:sz w:val="20"/>
          <w:szCs w:val="20"/>
        </w:rPr>
        <w:lastRenderedPageBreak/>
        <w:t>Optimization of scan rate for melamine electropolymerization</w:t>
      </w:r>
    </w:p>
    <w:p w14:paraId="3AED8C9C" w14:textId="1447D606" w:rsidR="00EE2CC4" w:rsidRDefault="00EE2CC4" w:rsidP="00EE2CC4">
      <w:pPr>
        <w:spacing w:after="0"/>
        <w:jc w:val="both"/>
        <w:rPr>
          <w:rFonts w:ascii="Times New Roman" w:hAnsi="Times New Roman"/>
          <w:bCs/>
          <w:sz w:val="20"/>
          <w:szCs w:val="20"/>
        </w:rPr>
      </w:pPr>
      <w:r w:rsidRPr="00EE2CC4">
        <w:rPr>
          <w:rFonts w:ascii="Times New Roman" w:hAnsi="Times New Roman"/>
          <w:bCs/>
          <w:sz w:val="20"/>
          <w:szCs w:val="20"/>
        </w:rPr>
        <w:t xml:space="preserve">Figure 4 illustrates the electropolymerization behavior of melamine in different scan rates. Scan rate determine the time taken to complete one polymerization cycle. In this study, the recorded voltammogram was not able to distinct any significant observation to relate the effect of scan rate on polymerization of melamine. Thus, these electrodes </w:t>
      </w:r>
      <w:r w:rsidRPr="00EE2CC4">
        <w:rPr>
          <w:rFonts w:ascii="Times New Roman" w:hAnsi="Times New Roman"/>
          <w:bCs/>
          <w:sz w:val="20"/>
          <w:szCs w:val="20"/>
        </w:rPr>
        <w:t>prepared at 10, 25, 50, 75, and 100 mV s</w:t>
      </w:r>
      <w:r w:rsidRPr="00EE2CC4">
        <w:rPr>
          <w:rFonts w:ascii="Times New Roman" w:hAnsi="Times New Roman"/>
          <w:bCs/>
          <w:sz w:val="20"/>
          <w:szCs w:val="20"/>
          <w:vertAlign w:val="superscript"/>
        </w:rPr>
        <w:t xml:space="preserve">-1 </w:t>
      </w:r>
      <w:r w:rsidRPr="00EE2CC4">
        <w:rPr>
          <w:rFonts w:ascii="Times New Roman" w:hAnsi="Times New Roman"/>
          <w:bCs/>
          <w:sz w:val="20"/>
          <w:szCs w:val="20"/>
        </w:rPr>
        <w:t xml:space="preserve">scan rates were analyzed using the amperometry technique to investigate the performance in DA sensing. Figure 5 displays </w:t>
      </w:r>
      <w:r w:rsidR="00A7073E">
        <w:rPr>
          <w:rFonts w:ascii="Times New Roman" w:hAnsi="Times New Roman"/>
          <w:bCs/>
          <w:sz w:val="20"/>
          <w:szCs w:val="20"/>
        </w:rPr>
        <w:t xml:space="preserve"> </w:t>
      </w:r>
      <w:r w:rsidRPr="00EE2CC4">
        <w:rPr>
          <w:rFonts w:ascii="Times New Roman" w:hAnsi="Times New Roman"/>
          <w:bCs/>
          <w:sz w:val="20"/>
          <w:szCs w:val="20"/>
        </w:rPr>
        <w:t xml:space="preserve">the </w:t>
      </w:r>
      <w:r w:rsidR="00A7073E">
        <w:rPr>
          <w:rFonts w:ascii="Times New Roman" w:hAnsi="Times New Roman"/>
          <w:bCs/>
          <w:sz w:val="20"/>
          <w:szCs w:val="20"/>
        </w:rPr>
        <w:t xml:space="preserve"> </w:t>
      </w:r>
      <w:r w:rsidRPr="00EE2CC4">
        <w:rPr>
          <w:rFonts w:ascii="Times New Roman" w:hAnsi="Times New Roman"/>
          <w:bCs/>
          <w:sz w:val="20"/>
          <w:szCs w:val="20"/>
        </w:rPr>
        <w:t xml:space="preserve">amperometry plot of PME whereas Figure 6 displays the calculated sensitivity and LOD based on the amperometry results obtained. </w:t>
      </w:r>
    </w:p>
    <w:p w14:paraId="44C590D0" w14:textId="77777777" w:rsidR="00D64DBA" w:rsidRPr="00EE2CC4" w:rsidRDefault="00D64DBA" w:rsidP="00EE2CC4">
      <w:pPr>
        <w:spacing w:after="0"/>
        <w:jc w:val="both"/>
        <w:rPr>
          <w:rFonts w:ascii="Times New Roman" w:hAnsi="Times New Roman"/>
          <w:bCs/>
          <w:sz w:val="20"/>
          <w:szCs w:val="20"/>
        </w:rPr>
      </w:pPr>
    </w:p>
    <w:p w14:paraId="34DAA6BE" w14:textId="77777777" w:rsidR="00D64DBA" w:rsidRDefault="00D64DBA" w:rsidP="00EE2CC4">
      <w:pPr>
        <w:spacing w:after="0"/>
        <w:jc w:val="both"/>
        <w:rPr>
          <w:rFonts w:ascii="Times New Roman" w:hAnsi="Times New Roman"/>
          <w:bCs/>
          <w:sz w:val="20"/>
          <w:szCs w:val="20"/>
        </w:rPr>
      </w:pPr>
    </w:p>
    <w:p w14:paraId="307984FD" w14:textId="5951DEBC" w:rsidR="00D64DBA" w:rsidRDefault="00D64DBA" w:rsidP="00EE2CC4">
      <w:pPr>
        <w:spacing w:after="0"/>
        <w:jc w:val="both"/>
        <w:rPr>
          <w:rFonts w:ascii="Times New Roman" w:hAnsi="Times New Roman"/>
          <w:bCs/>
          <w:sz w:val="20"/>
          <w:szCs w:val="20"/>
        </w:rPr>
        <w:sectPr w:rsidR="00D64DBA" w:rsidSect="00D64DBA">
          <w:footerReference w:type="even" r:id="rId20"/>
          <w:type w:val="continuous"/>
          <w:pgSz w:w="12240" w:h="15840" w:code="1"/>
          <w:pgMar w:top="1800" w:right="1469" w:bottom="1699" w:left="1440" w:header="706" w:footer="706" w:gutter="0"/>
          <w:pgNumType w:start="0"/>
          <w:cols w:num="2" w:space="403"/>
          <w:docGrid w:linePitch="360"/>
        </w:sectPr>
      </w:pPr>
    </w:p>
    <w:p w14:paraId="463820B3" w14:textId="36299FE3" w:rsidR="00EE2CC4" w:rsidRDefault="00EE2CC4" w:rsidP="00EE2CC4">
      <w:pPr>
        <w:spacing w:after="0"/>
        <w:jc w:val="both"/>
        <w:rPr>
          <w:rFonts w:ascii="Times New Roman" w:hAnsi="Times New Roman"/>
          <w:bCs/>
          <w:sz w:val="20"/>
          <w:szCs w:val="20"/>
        </w:rPr>
      </w:pPr>
    </w:p>
    <w:p w14:paraId="0B89CCC3" w14:textId="77777777" w:rsidR="00D64DBA" w:rsidRPr="00EE2CC4" w:rsidRDefault="00D64DBA" w:rsidP="00EE2CC4">
      <w:pPr>
        <w:spacing w:after="0"/>
        <w:jc w:val="both"/>
        <w:rPr>
          <w:rFonts w:ascii="Times New Roman" w:hAnsi="Times New Roman"/>
          <w:bCs/>
          <w:sz w:val="20"/>
          <w:szCs w:val="20"/>
        </w:rPr>
      </w:pPr>
    </w:p>
    <w:p w14:paraId="50A231DC" w14:textId="1FE83E2A" w:rsidR="00EE2CC4" w:rsidRPr="00EE2CC4" w:rsidRDefault="00EE2CC4" w:rsidP="00645AAE">
      <w:pPr>
        <w:spacing w:after="120"/>
        <w:ind w:firstLine="288"/>
        <w:jc w:val="center"/>
        <w:rPr>
          <w:rFonts w:ascii="Times New Roman" w:eastAsia="SimSun" w:hAnsi="Times New Roman"/>
          <w:sz w:val="20"/>
          <w:szCs w:val="20"/>
        </w:rPr>
      </w:pPr>
      <w:r w:rsidRPr="00EE2CC4">
        <w:rPr>
          <w:rFonts w:ascii="Times New Roman" w:hAnsi="Times New Roman"/>
          <w:b/>
          <w:noProof/>
          <w:sz w:val="20"/>
          <w:szCs w:val="20"/>
        </w:rPr>
        <w:drawing>
          <wp:inline distT="0" distB="0" distL="0" distR="0" wp14:anchorId="56945037" wp14:editId="6575B076">
            <wp:extent cx="2880360" cy="3986784"/>
            <wp:effectExtent l="19050" t="19050" r="15240" b="13970"/>
            <wp:docPr id="7" name="Picture 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diagram&#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l="1331" t="8948" r="7434" b="2750"/>
                    <a:stretch>
                      <a:fillRect/>
                    </a:stretch>
                  </pic:blipFill>
                  <pic:spPr bwMode="auto">
                    <a:xfrm>
                      <a:off x="0" y="0"/>
                      <a:ext cx="2880360" cy="3986784"/>
                    </a:xfrm>
                    <a:prstGeom prst="rect">
                      <a:avLst/>
                    </a:prstGeom>
                    <a:noFill/>
                    <a:ln w="9525" cmpd="sng">
                      <a:solidFill>
                        <a:srgbClr val="000000"/>
                      </a:solidFill>
                      <a:miter lim="800000"/>
                      <a:headEnd/>
                      <a:tailEnd/>
                    </a:ln>
                    <a:effectLst/>
                  </pic:spPr>
                </pic:pic>
              </a:graphicData>
            </a:graphic>
          </wp:inline>
        </w:drawing>
      </w:r>
    </w:p>
    <w:p w14:paraId="795F9FCF" w14:textId="4F391B56" w:rsidR="00EE2CC4" w:rsidRPr="00EE2CC4" w:rsidRDefault="00EE2CC4" w:rsidP="00EE2CC4">
      <w:pPr>
        <w:spacing w:after="0"/>
        <w:ind w:left="851" w:hanging="851"/>
        <w:jc w:val="both"/>
        <w:rPr>
          <w:rFonts w:ascii="Times New Roman" w:eastAsiaTheme="minorEastAsia" w:hAnsi="Times New Roman"/>
          <w:sz w:val="20"/>
          <w:szCs w:val="20"/>
        </w:rPr>
      </w:pPr>
      <w:r w:rsidRPr="00EE2CC4">
        <w:rPr>
          <w:rFonts w:ascii="Times New Roman" w:eastAsia="SimSun" w:hAnsi="Times New Roman"/>
          <w:sz w:val="20"/>
          <w:szCs w:val="20"/>
        </w:rPr>
        <w:t xml:space="preserve">Figure 4. </w:t>
      </w:r>
      <w:r w:rsidR="00645AAE">
        <w:rPr>
          <w:rFonts w:ascii="Times New Roman" w:eastAsia="SimSun" w:hAnsi="Times New Roman"/>
          <w:sz w:val="20"/>
          <w:szCs w:val="20"/>
        </w:rPr>
        <w:tab/>
      </w:r>
      <w:r w:rsidRPr="00EE2CC4">
        <w:rPr>
          <w:rFonts w:ascii="Times New Roman" w:hAnsi="Times New Roman"/>
          <w:sz w:val="20"/>
          <w:szCs w:val="20"/>
        </w:rPr>
        <w:t>Electropolymerization of melamine (10.0 mM, -0.20- 1.60 V, five cycles) in reline scanning with varied scan rate (10, 25, 50, 75, and 100 mV s</w:t>
      </w:r>
      <w:r w:rsidRPr="00EE2CC4">
        <w:rPr>
          <w:rFonts w:ascii="Times New Roman" w:hAnsi="Times New Roman"/>
          <w:sz w:val="20"/>
          <w:szCs w:val="20"/>
          <w:vertAlign w:val="superscript"/>
        </w:rPr>
        <w:t>-1</w:t>
      </w:r>
      <w:r w:rsidRPr="00EE2CC4">
        <w:rPr>
          <w:rFonts w:ascii="Times New Roman" w:hAnsi="Times New Roman"/>
          <w:sz w:val="20"/>
          <w:szCs w:val="20"/>
        </w:rPr>
        <w:t>)</w:t>
      </w:r>
    </w:p>
    <w:p w14:paraId="6482AEB3" w14:textId="5CDA9885" w:rsidR="00EE2CC4" w:rsidRDefault="00EE2CC4" w:rsidP="00EE2CC4">
      <w:pPr>
        <w:spacing w:after="0"/>
        <w:jc w:val="both"/>
        <w:rPr>
          <w:rFonts w:ascii="Times New Roman" w:hAnsi="Times New Roman"/>
          <w:sz w:val="20"/>
          <w:szCs w:val="20"/>
        </w:rPr>
      </w:pPr>
    </w:p>
    <w:p w14:paraId="4919FDD5" w14:textId="052BB437" w:rsidR="00645AAE" w:rsidRDefault="00645AAE" w:rsidP="00EE2CC4">
      <w:pPr>
        <w:spacing w:after="0"/>
        <w:jc w:val="both"/>
        <w:rPr>
          <w:rFonts w:ascii="Times New Roman" w:hAnsi="Times New Roman"/>
          <w:sz w:val="20"/>
          <w:szCs w:val="20"/>
        </w:rPr>
      </w:pPr>
    </w:p>
    <w:p w14:paraId="78AD61AB" w14:textId="77777777" w:rsidR="00645AAE" w:rsidRPr="00EE2CC4" w:rsidRDefault="00645AAE" w:rsidP="00EE2CC4">
      <w:pPr>
        <w:spacing w:after="0"/>
        <w:jc w:val="both"/>
        <w:rPr>
          <w:rFonts w:ascii="Times New Roman" w:hAnsi="Times New Roman"/>
          <w:sz w:val="20"/>
          <w:szCs w:val="20"/>
        </w:rPr>
      </w:pPr>
    </w:p>
    <w:p w14:paraId="15F91040" w14:textId="712328FB" w:rsidR="00EE2CC4" w:rsidRDefault="00EE2CC4" w:rsidP="00EE2CC4">
      <w:pPr>
        <w:spacing w:after="0"/>
        <w:jc w:val="both"/>
        <w:rPr>
          <w:rFonts w:ascii="Times New Roman" w:hAnsi="Times New Roman"/>
          <w:sz w:val="20"/>
          <w:szCs w:val="20"/>
        </w:rPr>
      </w:pPr>
    </w:p>
    <w:p w14:paraId="6CE80A1C" w14:textId="1CD8C7CA" w:rsidR="00CC1893" w:rsidRDefault="00CC1893" w:rsidP="00EE2CC4">
      <w:pPr>
        <w:spacing w:after="0"/>
        <w:jc w:val="both"/>
        <w:rPr>
          <w:rFonts w:ascii="Times New Roman" w:hAnsi="Times New Roman"/>
          <w:sz w:val="20"/>
          <w:szCs w:val="20"/>
        </w:rPr>
      </w:pPr>
    </w:p>
    <w:p w14:paraId="43754E59" w14:textId="77777777" w:rsidR="00CC1893" w:rsidRPr="00EE2CC4" w:rsidRDefault="00CC1893" w:rsidP="00EE2CC4">
      <w:pPr>
        <w:spacing w:after="0"/>
        <w:jc w:val="both"/>
        <w:rPr>
          <w:rFonts w:ascii="Times New Roman" w:hAnsi="Times New Roman"/>
          <w:sz w:val="20"/>
          <w:szCs w:val="20"/>
        </w:rPr>
      </w:pPr>
    </w:p>
    <w:p w14:paraId="549ACC39" w14:textId="6A0E7E5A" w:rsidR="00EE2CC4" w:rsidRPr="00EE2CC4" w:rsidRDefault="00EE2CC4" w:rsidP="00CC1893">
      <w:pPr>
        <w:spacing w:after="120"/>
        <w:jc w:val="center"/>
        <w:rPr>
          <w:rFonts w:ascii="Times New Roman" w:hAnsi="Times New Roman"/>
          <w:bCs/>
          <w:sz w:val="20"/>
          <w:szCs w:val="20"/>
        </w:rPr>
      </w:pPr>
      <w:r w:rsidRPr="00EE2CC4">
        <w:rPr>
          <w:rFonts w:ascii="Times New Roman" w:hAnsi="Times New Roman"/>
          <w:noProof/>
          <w:sz w:val="20"/>
          <w:szCs w:val="20"/>
        </w:rPr>
        <w:lastRenderedPageBreak/>
        <w:drawing>
          <wp:inline distT="0" distB="0" distL="0" distR="0" wp14:anchorId="3E82E0C9" wp14:editId="3DF661B3">
            <wp:extent cx="3972560" cy="3261360"/>
            <wp:effectExtent l="19050" t="19050" r="27940" b="15240"/>
            <wp:docPr id="6" name="Picture 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rt&#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l="10060" t="9503" r="12604" b="7355"/>
                    <a:stretch>
                      <a:fillRect/>
                    </a:stretch>
                  </pic:blipFill>
                  <pic:spPr bwMode="auto">
                    <a:xfrm>
                      <a:off x="0" y="0"/>
                      <a:ext cx="3972560" cy="3261360"/>
                    </a:xfrm>
                    <a:prstGeom prst="rect">
                      <a:avLst/>
                    </a:prstGeom>
                    <a:noFill/>
                    <a:ln w="9525" cmpd="sng">
                      <a:solidFill>
                        <a:srgbClr val="000000"/>
                      </a:solidFill>
                      <a:miter lim="800000"/>
                      <a:headEnd/>
                      <a:tailEnd/>
                    </a:ln>
                    <a:effectLst/>
                  </pic:spPr>
                </pic:pic>
              </a:graphicData>
            </a:graphic>
          </wp:inline>
        </w:drawing>
      </w:r>
    </w:p>
    <w:p w14:paraId="51997B73" w14:textId="0235EE95" w:rsidR="00EE2CC4" w:rsidRPr="00EE2CC4" w:rsidRDefault="00EE2CC4" w:rsidP="00EE2CC4">
      <w:pPr>
        <w:spacing w:after="0"/>
        <w:ind w:left="851" w:hanging="851"/>
        <w:jc w:val="both"/>
        <w:rPr>
          <w:rFonts w:ascii="Times New Roman" w:eastAsia="SimSun" w:hAnsi="Times New Roman"/>
          <w:bCs/>
          <w:sz w:val="20"/>
          <w:szCs w:val="20"/>
        </w:rPr>
      </w:pPr>
      <w:r w:rsidRPr="00EE2CC4">
        <w:rPr>
          <w:rFonts w:ascii="Times New Roman" w:eastAsia="SimSun" w:hAnsi="Times New Roman"/>
          <w:bCs/>
          <w:sz w:val="20"/>
          <w:szCs w:val="20"/>
        </w:rPr>
        <w:t xml:space="preserve">Figure 5. </w:t>
      </w:r>
      <w:r w:rsidR="00CC1893">
        <w:rPr>
          <w:rFonts w:ascii="Times New Roman" w:eastAsia="SimSun" w:hAnsi="Times New Roman"/>
          <w:bCs/>
          <w:sz w:val="20"/>
          <w:szCs w:val="20"/>
        </w:rPr>
        <w:tab/>
      </w:r>
      <w:r w:rsidRPr="00EE2CC4">
        <w:rPr>
          <w:rFonts w:ascii="Times New Roman" w:eastAsia="SimSun" w:hAnsi="Times New Roman"/>
          <w:bCs/>
          <w:sz w:val="20"/>
          <w:szCs w:val="20"/>
        </w:rPr>
        <w:t xml:space="preserve">Amperometry results of PME synthesized in different scan rates. All the amperometry test were scanned at a fixed potential (0.20 V) with additional of DA with concentration ranging from 100 - 1200 </w:t>
      </w:r>
      <w:r w:rsidRPr="00EE2CC4">
        <w:rPr>
          <w:rFonts w:ascii="Times New Roman" w:eastAsia="SimSun" w:hAnsi="Times New Roman"/>
          <w:bCs/>
          <w:i/>
          <w:iCs/>
          <w:sz w:val="20"/>
          <w:szCs w:val="20"/>
        </w:rPr>
        <w:t>μ</w:t>
      </w:r>
      <w:r w:rsidRPr="00EE2CC4">
        <w:rPr>
          <w:rFonts w:ascii="Times New Roman" w:eastAsia="SimSun" w:hAnsi="Times New Roman"/>
          <w:bCs/>
          <w:sz w:val="20"/>
          <w:szCs w:val="20"/>
        </w:rPr>
        <w:t>M in PBS (0.10 M, pH 7.0)</w:t>
      </w:r>
    </w:p>
    <w:p w14:paraId="0821D554" w14:textId="491233B0" w:rsidR="00EE2CC4" w:rsidRDefault="00EE2CC4" w:rsidP="00EE2CC4">
      <w:pPr>
        <w:spacing w:after="0"/>
        <w:jc w:val="both"/>
        <w:rPr>
          <w:rFonts w:ascii="Times New Roman" w:eastAsia="SimSun" w:hAnsi="Times New Roman"/>
          <w:bCs/>
          <w:sz w:val="20"/>
          <w:szCs w:val="20"/>
        </w:rPr>
      </w:pPr>
    </w:p>
    <w:p w14:paraId="5A55D47B" w14:textId="29C561F4" w:rsidR="00CC1893" w:rsidRDefault="00CC1893" w:rsidP="00EE2CC4">
      <w:pPr>
        <w:spacing w:after="0"/>
        <w:jc w:val="both"/>
        <w:rPr>
          <w:rFonts w:ascii="Times New Roman" w:eastAsia="SimSun" w:hAnsi="Times New Roman"/>
          <w:bCs/>
          <w:sz w:val="20"/>
          <w:szCs w:val="20"/>
        </w:rPr>
      </w:pPr>
    </w:p>
    <w:p w14:paraId="144B9D5E" w14:textId="77777777" w:rsidR="00CC1893" w:rsidRPr="00EE2CC4" w:rsidRDefault="00CC1893" w:rsidP="00EE2CC4">
      <w:pPr>
        <w:spacing w:after="0"/>
        <w:jc w:val="both"/>
        <w:rPr>
          <w:rFonts w:ascii="Times New Roman" w:eastAsia="SimSun" w:hAnsi="Times New Roman"/>
          <w:bCs/>
          <w:sz w:val="20"/>
          <w:szCs w:val="20"/>
        </w:rPr>
      </w:pPr>
    </w:p>
    <w:p w14:paraId="7DB8D08B" w14:textId="54840435" w:rsidR="00EE2CC4" w:rsidRPr="00EE2CC4" w:rsidRDefault="00EE2CC4" w:rsidP="00CC1893">
      <w:pPr>
        <w:spacing w:after="120"/>
        <w:jc w:val="center"/>
        <w:rPr>
          <w:rFonts w:ascii="Times New Roman" w:eastAsia="SimSun" w:hAnsi="Times New Roman"/>
          <w:bCs/>
          <w:sz w:val="20"/>
          <w:szCs w:val="20"/>
        </w:rPr>
      </w:pPr>
      <w:r w:rsidRPr="00EE2CC4">
        <w:rPr>
          <w:rFonts w:ascii="Times New Roman" w:hAnsi="Times New Roman"/>
          <w:noProof/>
          <w:sz w:val="20"/>
          <w:szCs w:val="20"/>
        </w:rPr>
        <w:drawing>
          <wp:inline distT="0" distB="0" distL="0" distR="0" wp14:anchorId="300EF256" wp14:editId="6EFF958D">
            <wp:extent cx="5038344" cy="2487168"/>
            <wp:effectExtent l="19050" t="19050" r="10160" b="279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t="16322" r="6120" b="17816"/>
                    <a:stretch>
                      <a:fillRect/>
                    </a:stretch>
                  </pic:blipFill>
                  <pic:spPr bwMode="auto">
                    <a:xfrm>
                      <a:off x="0" y="0"/>
                      <a:ext cx="5038344" cy="2487168"/>
                    </a:xfrm>
                    <a:prstGeom prst="rect">
                      <a:avLst/>
                    </a:prstGeom>
                    <a:noFill/>
                    <a:ln w="9525" cmpd="sng">
                      <a:solidFill>
                        <a:srgbClr val="000000"/>
                      </a:solidFill>
                      <a:miter lim="800000"/>
                      <a:headEnd/>
                      <a:tailEnd/>
                    </a:ln>
                    <a:effectLst/>
                  </pic:spPr>
                </pic:pic>
              </a:graphicData>
            </a:graphic>
          </wp:inline>
        </w:drawing>
      </w:r>
    </w:p>
    <w:p w14:paraId="36255FE7" w14:textId="33E0DCD1" w:rsidR="00EE2CC4" w:rsidRPr="00EE2CC4" w:rsidRDefault="00EE2CC4" w:rsidP="00EE2CC4">
      <w:pPr>
        <w:spacing w:after="0"/>
        <w:ind w:left="851" w:hanging="851"/>
        <w:jc w:val="both"/>
        <w:rPr>
          <w:rFonts w:ascii="Times New Roman" w:eastAsiaTheme="minorEastAsia" w:hAnsi="Times New Roman"/>
          <w:bCs/>
          <w:sz w:val="20"/>
          <w:szCs w:val="20"/>
        </w:rPr>
      </w:pPr>
      <w:r w:rsidRPr="00EE2CC4">
        <w:rPr>
          <w:rFonts w:ascii="Times New Roman" w:eastAsia="SimSun" w:hAnsi="Times New Roman"/>
          <w:bCs/>
          <w:sz w:val="20"/>
          <w:szCs w:val="20"/>
        </w:rPr>
        <w:t xml:space="preserve">Figure 6. </w:t>
      </w:r>
      <w:r w:rsidR="00CC1893">
        <w:rPr>
          <w:rFonts w:ascii="Times New Roman" w:eastAsia="SimSun" w:hAnsi="Times New Roman"/>
          <w:bCs/>
          <w:sz w:val="20"/>
          <w:szCs w:val="20"/>
        </w:rPr>
        <w:tab/>
      </w:r>
      <w:r w:rsidRPr="00EE2CC4">
        <w:rPr>
          <w:rFonts w:ascii="Times New Roman" w:eastAsia="SimSun" w:hAnsi="Times New Roman"/>
          <w:bCs/>
          <w:sz w:val="20"/>
          <w:szCs w:val="20"/>
        </w:rPr>
        <w:t>Graphs of (a) sensitivity and (b) LOD results versus varied scan rates applied for electropolymerization of melamine in reline</w:t>
      </w:r>
    </w:p>
    <w:p w14:paraId="52DD010D" w14:textId="380FAEE1" w:rsidR="00EE2CC4" w:rsidRDefault="00EE2CC4" w:rsidP="00EE2CC4">
      <w:pPr>
        <w:spacing w:after="0"/>
        <w:jc w:val="both"/>
        <w:rPr>
          <w:rFonts w:ascii="Times New Roman" w:eastAsia="SimSun" w:hAnsi="Times New Roman"/>
          <w:b/>
          <w:sz w:val="20"/>
          <w:szCs w:val="20"/>
        </w:rPr>
      </w:pPr>
    </w:p>
    <w:p w14:paraId="7E0CDBDF" w14:textId="77777777" w:rsidR="00A7073E" w:rsidRDefault="00A7073E" w:rsidP="00A7073E">
      <w:pPr>
        <w:spacing w:after="0"/>
        <w:jc w:val="both"/>
        <w:rPr>
          <w:rFonts w:ascii="Times New Roman" w:hAnsi="Times New Roman"/>
          <w:sz w:val="20"/>
          <w:szCs w:val="20"/>
        </w:rPr>
        <w:sectPr w:rsidR="00A7073E" w:rsidSect="001D1A16">
          <w:footerReference w:type="default" r:id="rId24"/>
          <w:type w:val="continuous"/>
          <w:pgSz w:w="12240" w:h="15840" w:code="1"/>
          <w:pgMar w:top="1800" w:right="1469" w:bottom="1699" w:left="1440" w:header="706" w:footer="706" w:gutter="0"/>
          <w:pgNumType w:start="0"/>
          <w:cols w:space="708"/>
          <w:docGrid w:linePitch="360"/>
        </w:sectPr>
      </w:pPr>
    </w:p>
    <w:p w14:paraId="29A24959" w14:textId="77777777" w:rsidR="00A7073E" w:rsidRPr="00EE2CC4" w:rsidRDefault="00A7073E" w:rsidP="00A7073E">
      <w:pPr>
        <w:spacing w:after="0"/>
        <w:jc w:val="both"/>
        <w:rPr>
          <w:rFonts w:ascii="Times New Roman" w:hAnsi="Times New Roman"/>
          <w:bCs/>
          <w:sz w:val="20"/>
          <w:szCs w:val="20"/>
        </w:rPr>
      </w:pPr>
      <w:r w:rsidRPr="00EE2CC4">
        <w:rPr>
          <w:rFonts w:ascii="Times New Roman" w:hAnsi="Times New Roman"/>
          <w:sz w:val="20"/>
          <w:szCs w:val="20"/>
        </w:rPr>
        <w:lastRenderedPageBreak/>
        <w:t xml:space="preserve">The result of amperometry sensing of DA at PME/GCE synthesized </w:t>
      </w:r>
      <w:r>
        <w:rPr>
          <w:rFonts w:ascii="Times New Roman" w:hAnsi="Times New Roman"/>
          <w:sz w:val="20"/>
          <w:szCs w:val="20"/>
        </w:rPr>
        <w:t xml:space="preserve"> </w:t>
      </w:r>
      <w:r w:rsidRPr="00EE2CC4">
        <w:rPr>
          <w:rFonts w:ascii="Times New Roman" w:hAnsi="Times New Roman"/>
          <w:sz w:val="20"/>
          <w:szCs w:val="20"/>
        </w:rPr>
        <w:t xml:space="preserve">with varied scan rates are display in Figure 5. Based on Figure 5, the amperometry plots of </w:t>
      </w:r>
      <w:r w:rsidRPr="00EE2CC4">
        <w:rPr>
          <w:rFonts w:ascii="Times New Roman" w:eastAsia="SimSun" w:hAnsi="Times New Roman"/>
          <w:sz w:val="20"/>
          <w:szCs w:val="20"/>
        </w:rPr>
        <w:t>PME(reline 75 mV s</w:t>
      </w:r>
      <w:r w:rsidRPr="00EE2CC4">
        <w:rPr>
          <w:rFonts w:ascii="Times New Roman" w:eastAsia="SimSun" w:hAnsi="Times New Roman"/>
          <w:sz w:val="20"/>
          <w:szCs w:val="20"/>
          <w:vertAlign w:val="superscript"/>
        </w:rPr>
        <w:t>-1</w:t>
      </w:r>
      <w:r w:rsidRPr="00EE2CC4">
        <w:rPr>
          <w:rFonts w:ascii="Times New Roman" w:eastAsia="SimSun" w:hAnsi="Times New Roman"/>
          <w:sz w:val="20"/>
          <w:szCs w:val="20"/>
        </w:rPr>
        <w:t>) and PME(reline 50 mV s</w:t>
      </w:r>
      <w:r w:rsidRPr="00EE2CC4">
        <w:rPr>
          <w:rFonts w:ascii="Times New Roman" w:eastAsia="SimSun" w:hAnsi="Times New Roman"/>
          <w:sz w:val="20"/>
          <w:szCs w:val="20"/>
          <w:vertAlign w:val="superscript"/>
        </w:rPr>
        <w:t>-1</w:t>
      </w:r>
      <w:r w:rsidRPr="00EE2CC4">
        <w:rPr>
          <w:rFonts w:ascii="Times New Roman" w:eastAsia="SimSun" w:hAnsi="Times New Roman"/>
          <w:sz w:val="20"/>
          <w:szCs w:val="20"/>
        </w:rPr>
        <w:t xml:space="preserve">) </w:t>
      </w:r>
      <w:r w:rsidRPr="00EE2CC4">
        <w:rPr>
          <w:rFonts w:ascii="Times New Roman" w:hAnsi="Times New Roman"/>
          <w:sz w:val="20"/>
          <w:szCs w:val="20"/>
        </w:rPr>
        <w:t>were very close to each other, unable to differentiate which scan rate gives the best outcome. Figure 6(a) and (b) show the fluttered of sensitivity and LOD of varied scan rates applied in electropolymerization of melamine (10.0 mM) in reline. The scan rate applied was varied from 10 to 100 mV s</w:t>
      </w:r>
      <w:r w:rsidRPr="00EE2CC4">
        <w:rPr>
          <w:rFonts w:ascii="Times New Roman" w:hAnsi="Times New Roman"/>
          <w:sz w:val="20"/>
          <w:szCs w:val="20"/>
          <w:vertAlign w:val="superscript"/>
        </w:rPr>
        <w:t>-1</w:t>
      </w:r>
      <w:r w:rsidRPr="00EE2CC4">
        <w:rPr>
          <w:rFonts w:ascii="Times New Roman" w:hAnsi="Times New Roman"/>
          <w:sz w:val="20"/>
          <w:szCs w:val="20"/>
        </w:rPr>
        <w:t xml:space="preserve">. </w:t>
      </w:r>
      <w:r w:rsidRPr="00EE2CC4">
        <w:rPr>
          <w:rFonts w:ascii="Times New Roman" w:eastAsia="SimSun" w:hAnsi="Times New Roman"/>
          <w:sz w:val="20"/>
          <w:szCs w:val="20"/>
        </w:rPr>
        <w:t>PME(reline) synthesized with 10 mV s</w:t>
      </w:r>
      <w:r w:rsidRPr="00EE2CC4">
        <w:rPr>
          <w:rFonts w:ascii="Times New Roman" w:eastAsia="SimSun" w:hAnsi="Times New Roman"/>
          <w:sz w:val="20"/>
          <w:szCs w:val="20"/>
          <w:vertAlign w:val="superscript"/>
        </w:rPr>
        <w:t>-1</w:t>
      </w:r>
      <w:r w:rsidRPr="00EE2CC4">
        <w:rPr>
          <w:rFonts w:ascii="Times New Roman" w:eastAsia="SimSun" w:hAnsi="Times New Roman"/>
          <w:sz w:val="20"/>
          <w:szCs w:val="20"/>
        </w:rPr>
        <w:t xml:space="preserve"> is named as PME(reline 10 mV s</w:t>
      </w:r>
      <w:r w:rsidRPr="00EE2CC4">
        <w:rPr>
          <w:rFonts w:ascii="Times New Roman" w:eastAsia="SimSun" w:hAnsi="Times New Roman"/>
          <w:sz w:val="20"/>
          <w:szCs w:val="20"/>
          <w:vertAlign w:val="superscript"/>
        </w:rPr>
        <w:t>-1</w:t>
      </w:r>
      <w:r w:rsidRPr="00EE2CC4">
        <w:rPr>
          <w:rFonts w:ascii="Times New Roman" w:eastAsia="SimSun" w:hAnsi="Times New Roman"/>
          <w:sz w:val="20"/>
          <w:szCs w:val="20"/>
        </w:rPr>
        <w:t xml:space="preserve">) in accordance to the scan rate applied. </w:t>
      </w:r>
      <w:r w:rsidRPr="00EE2CC4">
        <w:rPr>
          <w:rFonts w:ascii="Times New Roman" w:hAnsi="Times New Roman"/>
          <w:sz w:val="20"/>
          <w:szCs w:val="20"/>
        </w:rPr>
        <w:t xml:space="preserve">As shown, the </w:t>
      </w:r>
      <w:r w:rsidRPr="00EE2CC4">
        <w:rPr>
          <w:rFonts w:ascii="Times New Roman" w:eastAsia="SimSun" w:hAnsi="Times New Roman"/>
          <w:sz w:val="20"/>
          <w:szCs w:val="20"/>
        </w:rPr>
        <w:t>PME(reline 50 mV s</w:t>
      </w:r>
      <w:r w:rsidRPr="00EE2CC4">
        <w:rPr>
          <w:rFonts w:ascii="Times New Roman" w:eastAsia="SimSun" w:hAnsi="Times New Roman"/>
          <w:sz w:val="20"/>
          <w:szCs w:val="20"/>
          <w:vertAlign w:val="superscript"/>
        </w:rPr>
        <w:t>-1</w:t>
      </w:r>
      <w:r w:rsidRPr="00EE2CC4">
        <w:rPr>
          <w:rFonts w:ascii="Times New Roman" w:eastAsia="SimSun" w:hAnsi="Times New Roman"/>
          <w:sz w:val="20"/>
          <w:szCs w:val="20"/>
        </w:rPr>
        <w:t xml:space="preserve">) was selected as the ideal scan rate where the sensitivity and LOD reported at 0.044 </w:t>
      </w:r>
      <m:oMath>
        <m:r>
          <m:rPr>
            <m:sty m:val="p"/>
          </m:rPr>
          <w:rPr>
            <w:rFonts w:ascii="Cambria Math" w:eastAsia="SimSun" w:hAnsi="Cambria Math"/>
            <w:sz w:val="20"/>
            <w:szCs w:val="20"/>
          </w:rPr>
          <m:t>μ</m:t>
        </m:r>
      </m:oMath>
      <w:r w:rsidRPr="00EE2CC4">
        <w:rPr>
          <w:rFonts w:ascii="Times New Roman" w:eastAsia="SimSun" w:hAnsi="Times New Roman"/>
          <w:sz w:val="20"/>
          <w:szCs w:val="20"/>
        </w:rPr>
        <w:t xml:space="preserve">A </w:t>
      </w:r>
      <m:oMath>
        <m:r>
          <m:rPr>
            <m:sty m:val="p"/>
          </m:rPr>
          <w:rPr>
            <w:rFonts w:ascii="Cambria Math" w:eastAsia="SimSun" w:hAnsi="Cambria Math"/>
            <w:sz w:val="20"/>
            <w:szCs w:val="20"/>
          </w:rPr>
          <m:t>μ</m:t>
        </m:r>
      </m:oMath>
      <w:r w:rsidRPr="00EE2CC4">
        <w:rPr>
          <w:rFonts w:ascii="Times New Roman" w:eastAsia="SimSun" w:hAnsi="Times New Roman"/>
          <w:sz w:val="20"/>
          <w:szCs w:val="20"/>
        </w:rPr>
        <w:t>M</w:t>
      </w:r>
      <w:r w:rsidRPr="00EE2CC4">
        <w:rPr>
          <w:rFonts w:ascii="Times New Roman" w:eastAsia="SimSun" w:hAnsi="Times New Roman"/>
          <w:sz w:val="20"/>
          <w:szCs w:val="20"/>
          <w:vertAlign w:val="superscript"/>
        </w:rPr>
        <w:t xml:space="preserve">-1 </w:t>
      </w:r>
      <w:r w:rsidRPr="00EE2CC4">
        <w:rPr>
          <w:rFonts w:ascii="Times New Roman" w:eastAsia="SimSun" w:hAnsi="Times New Roman"/>
          <w:sz w:val="20"/>
          <w:szCs w:val="20"/>
        </w:rPr>
        <w:t>cm</w:t>
      </w:r>
      <w:r w:rsidRPr="00EE2CC4">
        <w:rPr>
          <w:rFonts w:ascii="Times New Roman" w:eastAsia="SimSun" w:hAnsi="Times New Roman"/>
          <w:sz w:val="20"/>
          <w:szCs w:val="20"/>
          <w:vertAlign w:val="superscript"/>
        </w:rPr>
        <w:t>-2</w:t>
      </w:r>
      <w:r w:rsidRPr="00EE2CC4">
        <w:rPr>
          <w:rFonts w:ascii="Times New Roman" w:eastAsia="SimSun" w:hAnsi="Times New Roman"/>
          <w:sz w:val="20"/>
          <w:szCs w:val="20"/>
        </w:rPr>
        <w:t xml:space="preserve"> and 0.198 </w:t>
      </w:r>
      <m:oMath>
        <m:r>
          <m:rPr>
            <m:sty m:val="p"/>
          </m:rPr>
          <w:rPr>
            <w:rFonts w:ascii="Cambria Math" w:hAnsi="Cambria Math"/>
            <w:sz w:val="20"/>
            <w:szCs w:val="20"/>
          </w:rPr>
          <m:t>μ</m:t>
        </m:r>
      </m:oMath>
      <w:r w:rsidRPr="00EE2CC4">
        <w:rPr>
          <w:rFonts w:ascii="Times New Roman" w:hAnsi="Times New Roman"/>
          <w:sz w:val="20"/>
          <w:szCs w:val="20"/>
        </w:rPr>
        <w:t>M</w:t>
      </w:r>
      <w:r w:rsidRPr="00EE2CC4">
        <w:rPr>
          <w:rFonts w:ascii="Times New Roman" w:eastAsia="SimSun" w:hAnsi="Times New Roman"/>
          <w:sz w:val="20"/>
          <w:szCs w:val="20"/>
        </w:rPr>
        <w:t>, respectively. In this case, PME(reline 75 mV s</w:t>
      </w:r>
      <w:r w:rsidRPr="00EE2CC4">
        <w:rPr>
          <w:rFonts w:ascii="Times New Roman" w:eastAsia="SimSun" w:hAnsi="Times New Roman"/>
          <w:sz w:val="20"/>
          <w:szCs w:val="20"/>
          <w:vertAlign w:val="superscript"/>
        </w:rPr>
        <w:t>-1</w:t>
      </w:r>
      <w:r w:rsidRPr="00EE2CC4">
        <w:rPr>
          <w:rFonts w:ascii="Times New Roman" w:eastAsia="SimSun" w:hAnsi="Times New Roman"/>
          <w:sz w:val="20"/>
          <w:szCs w:val="20"/>
        </w:rPr>
        <w:t>) and PME(reline 25 mV s</w:t>
      </w:r>
      <w:r w:rsidRPr="00EE2CC4">
        <w:rPr>
          <w:rFonts w:ascii="Times New Roman" w:eastAsia="SimSun" w:hAnsi="Times New Roman"/>
          <w:sz w:val="20"/>
          <w:szCs w:val="20"/>
          <w:vertAlign w:val="superscript"/>
        </w:rPr>
        <w:t>-1</w:t>
      </w:r>
      <w:r w:rsidRPr="00EE2CC4">
        <w:rPr>
          <w:rFonts w:ascii="Times New Roman" w:eastAsia="SimSun" w:hAnsi="Times New Roman"/>
          <w:sz w:val="20"/>
          <w:szCs w:val="20"/>
        </w:rPr>
        <w:t xml:space="preserve">) demonstrated the excellent sensitivity at 0.046 </w:t>
      </w:r>
      <m:oMath>
        <m:r>
          <m:rPr>
            <m:sty m:val="p"/>
          </m:rPr>
          <w:rPr>
            <w:rFonts w:ascii="Cambria Math" w:eastAsia="SimSun" w:hAnsi="Cambria Math"/>
            <w:sz w:val="20"/>
            <w:szCs w:val="20"/>
          </w:rPr>
          <m:t>μ</m:t>
        </m:r>
      </m:oMath>
      <w:r w:rsidRPr="00EE2CC4">
        <w:rPr>
          <w:rFonts w:ascii="Times New Roman" w:eastAsia="SimSun" w:hAnsi="Times New Roman"/>
          <w:sz w:val="20"/>
          <w:szCs w:val="20"/>
        </w:rPr>
        <w:t xml:space="preserve">A </w:t>
      </w:r>
      <m:oMath>
        <m:r>
          <m:rPr>
            <m:sty m:val="p"/>
          </m:rPr>
          <w:rPr>
            <w:rFonts w:ascii="Cambria Math" w:eastAsia="SimSun" w:hAnsi="Cambria Math"/>
            <w:sz w:val="20"/>
            <w:szCs w:val="20"/>
          </w:rPr>
          <m:t>μ</m:t>
        </m:r>
      </m:oMath>
      <w:r w:rsidRPr="00EE2CC4">
        <w:rPr>
          <w:rFonts w:ascii="Times New Roman" w:eastAsia="SimSun" w:hAnsi="Times New Roman"/>
          <w:sz w:val="20"/>
          <w:szCs w:val="20"/>
        </w:rPr>
        <w:t>M</w:t>
      </w:r>
      <w:r w:rsidRPr="00EE2CC4">
        <w:rPr>
          <w:rFonts w:ascii="Times New Roman" w:eastAsia="SimSun" w:hAnsi="Times New Roman"/>
          <w:sz w:val="20"/>
          <w:szCs w:val="20"/>
          <w:vertAlign w:val="superscript"/>
        </w:rPr>
        <w:t xml:space="preserve">-1 </w:t>
      </w:r>
      <w:r w:rsidRPr="00EE2CC4">
        <w:rPr>
          <w:rFonts w:ascii="Times New Roman" w:eastAsia="SimSun" w:hAnsi="Times New Roman"/>
          <w:sz w:val="20"/>
          <w:szCs w:val="20"/>
        </w:rPr>
        <w:t>cm</w:t>
      </w:r>
      <w:r w:rsidRPr="00EE2CC4">
        <w:rPr>
          <w:rFonts w:ascii="Times New Roman" w:eastAsia="SimSun" w:hAnsi="Times New Roman"/>
          <w:sz w:val="20"/>
          <w:szCs w:val="20"/>
          <w:vertAlign w:val="superscript"/>
        </w:rPr>
        <w:t>-2</w:t>
      </w:r>
      <w:r w:rsidRPr="00EE2CC4">
        <w:rPr>
          <w:rFonts w:ascii="Times New Roman" w:eastAsia="SimSun" w:hAnsi="Times New Roman"/>
          <w:sz w:val="20"/>
          <w:szCs w:val="20"/>
        </w:rPr>
        <w:t xml:space="preserve"> and 0.044 </w:t>
      </w:r>
      <m:oMath>
        <m:r>
          <m:rPr>
            <m:sty m:val="p"/>
          </m:rPr>
          <w:rPr>
            <w:rFonts w:ascii="Cambria Math" w:eastAsia="SimSun" w:hAnsi="Cambria Math"/>
            <w:sz w:val="20"/>
            <w:szCs w:val="20"/>
          </w:rPr>
          <m:t>μ</m:t>
        </m:r>
      </m:oMath>
      <w:r w:rsidRPr="00EE2CC4">
        <w:rPr>
          <w:rFonts w:ascii="Times New Roman" w:eastAsia="SimSun" w:hAnsi="Times New Roman"/>
          <w:sz w:val="20"/>
          <w:szCs w:val="20"/>
        </w:rPr>
        <w:t xml:space="preserve">A </w:t>
      </w:r>
      <m:oMath>
        <m:r>
          <m:rPr>
            <m:sty m:val="p"/>
          </m:rPr>
          <w:rPr>
            <w:rFonts w:ascii="Cambria Math" w:eastAsia="SimSun" w:hAnsi="Cambria Math"/>
            <w:sz w:val="20"/>
            <w:szCs w:val="20"/>
          </w:rPr>
          <m:t>μ</m:t>
        </m:r>
      </m:oMath>
      <w:r w:rsidRPr="00EE2CC4">
        <w:rPr>
          <w:rFonts w:ascii="Times New Roman" w:eastAsia="SimSun" w:hAnsi="Times New Roman"/>
          <w:sz w:val="20"/>
          <w:szCs w:val="20"/>
        </w:rPr>
        <w:t>M</w:t>
      </w:r>
      <w:r w:rsidRPr="00EE2CC4">
        <w:rPr>
          <w:rFonts w:ascii="Times New Roman" w:eastAsia="SimSun" w:hAnsi="Times New Roman"/>
          <w:sz w:val="20"/>
          <w:szCs w:val="20"/>
          <w:vertAlign w:val="superscript"/>
        </w:rPr>
        <w:t xml:space="preserve">-1 </w:t>
      </w:r>
      <w:r w:rsidRPr="00EE2CC4">
        <w:rPr>
          <w:rFonts w:ascii="Times New Roman" w:eastAsia="SimSun" w:hAnsi="Times New Roman"/>
          <w:sz w:val="20"/>
          <w:szCs w:val="20"/>
        </w:rPr>
        <w:t>cm</w:t>
      </w:r>
      <w:r w:rsidRPr="00EE2CC4">
        <w:rPr>
          <w:rFonts w:ascii="Times New Roman" w:eastAsia="SimSun" w:hAnsi="Times New Roman"/>
          <w:sz w:val="20"/>
          <w:szCs w:val="20"/>
          <w:vertAlign w:val="superscript"/>
        </w:rPr>
        <w:t>-2</w:t>
      </w:r>
      <w:r w:rsidRPr="00EE2CC4">
        <w:rPr>
          <w:rFonts w:ascii="Times New Roman" w:eastAsia="SimSun" w:hAnsi="Times New Roman"/>
          <w:sz w:val="20"/>
          <w:szCs w:val="20"/>
        </w:rPr>
        <w:t>, respectively. However, both PME(reline 75 mV s</w:t>
      </w:r>
      <w:r w:rsidRPr="00EE2CC4">
        <w:rPr>
          <w:rFonts w:ascii="Times New Roman" w:eastAsia="SimSun" w:hAnsi="Times New Roman"/>
          <w:sz w:val="20"/>
          <w:szCs w:val="20"/>
          <w:vertAlign w:val="superscript"/>
        </w:rPr>
        <w:t>-1</w:t>
      </w:r>
      <w:r w:rsidRPr="00EE2CC4">
        <w:rPr>
          <w:rFonts w:ascii="Times New Roman" w:eastAsia="SimSun" w:hAnsi="Times New Roman"/>
          <w:sz w:val="20"/>
          <w:szCs w:val="20"/>
        </w:rPr>
        <w:t>) and PME(reline 25 mV s</w:t>
      </w:r>
      <w:r w:rsidRPr="00EE2CC4">
        <w:rPr>
          <w:rFonts w:ascii="Times New Roman" w:eastAsia="SimSun" w:hAnsi="Times New Roman"/>
          <w:sz w:val="20"/>
          <w:szCs w:val="20"/>
          <w:vertAlign w:val="superscript"/>
        </w:rPr>
        <w:t>-1</w:t>
      </w:r>
      <w:r w:rsidRPr="00EE2CC4">
        <w:rPr>
          <w:rFonts w:ascii="Times New Roman" w:eastAsia="SimSun" w:hAnsi="Times New Roman"/>
          <w:sz w:val="20"/>
          <w:szCs w:val="20"/>
        </w:rPr>
        <w:t xml:space="preserve">) showing much poorer sensing capability with LOD recorded at 1.077 </w:t>
      </w:r>
      <m:oMath>
        <m:r>
          <m:rPr>
            <m:sty m:val="p"/>
          </m:rPr>
          <w:rPr>
            <w:rFonts w:ascii="Cambria Math" w:hAnsi="Cambria Math"/>
            <w:sz w:val="20"/>
            <w:szCs w:val="20"/>
          </w:rPr>
          <m:t>μ</m:t>
        </m:r>
      </m:oMath>
      <w:r w:rsidRPr="00EE2CC4">
        <w:rPr>
          <w:rFonts w:ascii="Times New Roman" w:hAnsi="Times New Roman"/>
          <w:sz w:val="20"/>
          <w:szCs w:val="20"/>
        </w:rPr>
        <w:t>M</w:t>
      </w:r>
      <w:r w:rsidRPr="00EE2CC4">
        <w:rPr>
          <w:rFonts w:ascii="Times New Roman" w:eastAsia="SimSun" w:hAnsi="Times New Roman"/>
          <w:sz w:val="20"/>
          <w:szCs w:val="20"/>
        </w:rPr>
        <w:t xml:space="preserve"> and 0.326 </w:t>
      </w:r>
      <m:oMath>
        <m:r>
          <m:rPr>
            <m:sty m:val="p"/>
          </m:rPr>
          <w:rPr>
            <w:rFonts w:ascii="Cambria Math" w:hAnsi="Cambria Math"/>
            <w:sz w:val="20"/>
            <w:szCs w:val="20"/>
          </w:rPr>
          <m:t>μ</m:t>
        </m:r>
      </m:oMath>
      <w:r w:rsidRPr="00EE2CC4">
        <w:rPr>
          <w:rFonts w:ascii="Times New Roman" w:hAnsi="Times New Roman"/>
          <w:sz w:val="20"/>
          <w:szCs w:val="20"/>
        </w:rPr>
        <w:t>M</w:t>
      </w:r>
      <w:r w:rsidRPr="00EE2CC4">
        <w:rPr>
          <w:rFonts w:ascii="Times New Roman" w:eastAsia="SimSun" w:hAnsi="Times New Roman"/>
          <w:sz w:val="20"/>
          <w:szCs w:val="20"/>
        </w:rPr>
        <w:t xml:space="preserve">, respectively as indicate in Table 1. It is noted that the change of polymerization scan rate affecting the LOD significantly. This is due to the low signal strength and high signal noise. </w:t>
      </w:r>
      <w:r w:rsidRPr="00EE2CC4">
        <w:rPr>
          <w:rFonts w:ascii="Times New Roman" w:hAnsi="Times New Roman"/>
          <w:bCs/>
          <w:sz w:val="20"/>
          <w:szCs w:val="20"/>
        </w:rPr>
        <w:t xml:space="preserve">Higher scan rate will result in branched polymer that have side chains growing out from the main chain. Branched polymer exhibits lower density and less packing where the analyte would be easily to move into the polymer cavity during the electrocatalytic activity, thus inducing flux of analyte molecules or ions at the electrode-electrolyte interface which result in a great fluctuation (noise) [17]. Whereas lower scan rate develops linear polymer which are very dense and compact, resulting there would be almost no channel for analyte to approach the electrode and hence reduced the signal strength and increased the LOD. </w:t>
      </w:r>
    </w:p>
    <w:p w14:paraId="67295158" w14:textId="77777777" w:rsidR="00A7073E" w:rsidRDefault="00A7073E" w:rsidP="00EE2CC4">
      <w:pPr>
        <w:spacing w:after="0"/>
        <w:jc w:val="both"/>
        <w:rPr>
          <w:rFonts w:ascii="Times New Roman" w:eastAsia="SimSun" w:hAnsi="Times New Roman"/>
          <w:b/>
          <w:sz w:val="20"/>
          <w:szCs w:val="20"/>
        </w:rPr>
      </w:pPr>
    </w:p>
    <w:p w14:paraId="372278AF" w14:textId="77777777" w:rsidR="00C50A9D" w:rsidRPr="00EE2CC4" w:rsidRDefault="00C50A9D" w:rsidP="00C50A9D">
      <w:pPr>
        <w:spacing w:after="0"/>
        <w:jc w:val="both"/>
        <w:rPr>
          <w:rFonts w:ascii="Times New Roman" w:eastAsiaTheme="minorEastAsia" w:hAnsi="Times New Roman"/>
          <w:b/>
          <w:sz w:val="20"/>
          <w:szCs w:val="20"/>
        </w:rPr>
      </w:pPr>
      <w:r w:rsidRPr="00EE2CC4">
        <w:rPr>
          <w:rFonts w:ascii="Times New Roman" w:hAnsi="Times New Roman"/>
          <w:b/>
          <w:sz w:val="20"/>
          <w:szCs w:val="20"/>
        </w:rPr>
        <w:t>Optimization of scan cycles on melamine electropolymerization</w:t>
      </w:r>
    </w:p>
    <w:p w14:paraId="407C91A3" w14:textId="77777777" w:rsidR="00C50A9D" w:rsidRPr="00EE2CC4" w:rsidRDefault="00C50A9D" w:rsidP="00C50A9D">
      <w:pPr>
        <w:pStyle w:val="NormalWeb"/>
        <w:spacing w:before="0" w:beforeAutospacing="0" w:after="0" w:afterAutospacing="0" w:line="276" w:lineRule="auto"/>
        <w:jc w:val="both"/>
        <w:rPr>
          <w:bCs/>
          <w:sz w:val="20"/>
          <w:szCs w:val="20"/>
        </w:rPr>
      </w:pPr>
      <w:r w:rsidRPr="00EE2CC4">
        <w:rPr>
          <w:bCs/>
          <w:sz w:val="20"/>
          <w:szCs w:val="20"/>
        </w:rPr>
        <w:t xml:space="preserve">Scan cycles influences the polymer film thickness and sensing characteristics. The optimum scan cycle was investigated using constant conditions </w:t>
      </w:r>
      <w:r w:rsidRPr="00EE2CC4">
        <w:rPr>
          <w:bCs/>
          <w:i/>
          <w:iCs/>
          <w:sz w:val="20"/>
          <w:szCs w:val="20"/>
        </w:rPr>
        <w:t>i.e.</w:t>
      </w:r>
      <w:r w:rsidRPr="00EE2CC4">
        <w:rPr>
          <w:bCs/>
          <w:sz w:val="20"/>
          <w:szCs w:val="20"/>
        </w:rPr>
        <w:t xml:space="preserve">, 10.0 mM melamine in reline electrolyte at room temperature with CV scanned from </w:t>
      </w:r>
      <w:r w:rsidRPr="00EE2CC4">
        <w:rPr>
          <w:rFonts w:eastAsia="SimSun"/>
          <w:bCs/>
          <w:sz w:val="20"/>
          <w:szCs w:val="20"/>
        </w:rPr>
        <w:t xml:space="preserve">-0.20 V - 1.60 V. </w:t>
      </w:r>
      <w:r w:rsidRPr="00EE2CC4">
        <w:rPr>
          <w:bCs/>
          <w:sz w:val="20"/>
          <w:szCs w:val="20"/>
        </w:rPr>
        <w:t xml:space="preserve">The growing of polymer film was indicated from the increase of the reduction current. Figure 7 illustrates the electropolymerization behavior of melamine in different scan cycle. Different scan cycles lead to different thickness of polymer on the surface of GCE. Unfortunately, the voltammogram could not show any significant result to relate the effect of scan cycle on polymerization behaviour of melamine as scan cycle are served to control the thickness the polymer film. Therefore, amperometry was employed to study the effect of polymer thickness on its sensing properties. Figure 8 shows the electrocatalytic performance of PME synthesized in different scan cycles. Scan cycles of five shows the steady increase of current with the increase of DA concentration, it also demonstrates the highest current response among all. </w:t>
      </w:r>
      <w:r w:rsidRPr="00EE2CC4">
        <w:rPr>
          <w:rFonts w:eastAsia="SimSun"/>
          <w:bCs/>
          <w:sz w:val="20"/>
          <w:szCs w:val="20"/>
        </w:rPr>
        <w:t>B</w:t>
      </w:r>
      <w:r w:rsidRPr="00EE2CC4">
        <w:rPr>
          <w:bCs/>
          <w:sz w:val="20"/>
          <w:szCs w:val="20"/>
        </w:rPr>
        <w:t xml:space="preserve">ased on Figure 9(a) and (b), the optimum polymeric film can be obtained in five scan cycles, due to the sharp enhancement of sensitivity that has been recorded. When the scan cycles are increased to ten, it caused a minor decreased on LOD, further increasing of scan cycles to 15 attributed to a steeply decrease in sensitivity and raising of LOD. Such phenomenon was presumably due to excess polymer deposited on the GCE surface which blocking the electron transfer that needed for the DA oxidation process. As deduced from the higher charge transferred during polymerization, thin polymer films are usually superior in sensing studies due to better conductivity and easier in accessing analyte. Hence, five scan cycles were used for film formation. </w:t>
      </w:r>
    </w:p>
    <w:p w14:paraId="49BC1AB6" w14:textId="77777777" w:rsidR="00C50A9D" w:rsidRDefault="00C50A9D" w:rsidP="00EE2CC4">
      <w:pPr>
        <w:spacing w:after="0"/>
        <w:jc w:val="both"/>
        <w:rPr>
          <w:rFonts w:ascii="Times New Roman" w:eastAsia="SimSun" w:hAnsi="Times New Roman"/>
          <w:b/>
          <w:sz w:val="20"/>
          <w:szCs w:val="20"/>
        </w:rPr>
      </w:pPr>
    </w:p>
    <w:p w14:paraId="4E5C0022" w14:textId="05EBFFAC" w:rsidR="00C50A9D" w:rsidRDefault="00C50A9D" w:rsidP="00EE2CC4">
      <w:pPr>
        <w:spacing w:after="0"/>
        <w:jc w:val="both"/>
        <w:rPr>
          <w:rFonts w:ascii="Times New Roman" w:eastAsia="SimSun" w:hAnsi="Times New Roman"/>
          <w:b/>
          <w:sz w:val="20"/>
          <w:szCs w:val="20"/>
        </w:rPr>
        <w:sectPr w:rsidR="00C50A9D" w:rsidSect="00A7073E">
          <w:footerReference w:type="even" r:id="rId25"/>
          <w:type w:val="continuous"/>
          <w:pgSz w:w="12240" w:h="15840" w:code="1"/>
          <w:pgMar w:top="1800" w:right="1469" w:bottom="1699" w:left="1440" w:header="706" w:footer="706" w:gutter="0"/>
          <w:pgNumType w:start="0"/>
          <w:cols w:num="2" w:space="403"/>
          <w:docGrid w:linePitch="360"/>
        </w:sectPr>
      </w:pPr>
    </w:p>
    <w:p w14:paraId="4CB4B213" w14:textId="4B204F8E" w:rsidR="00CC1893" w:rsidRDefault="00CC1893" w:rsidP="00EE2CC4">
      <w:pPr>
        <w:spacing w:after="0"/>
        <w:jc w:val="both"/>
        <w:rPr>
          <w:rFonts w:ascii="Times New Roman" w:eastAsia="SimSun" w:hAnsi="Times New Roman"/>
          <w:b/>
          <w:sz w:val="20"/>
          <w:szCs w:val="20"/>
        </w:rPr>
      </w:pPr>
    </w:p>
    <w:p w14:paraId="3198CD75" w14:textId="77777777" w:rsidR="00CC1893" w:rsidRPr="00EE2CC4" w:rsidRDefault="00CC1893" w:rsidP="00EE2CC4">
      <w:pPr>
        <w:spacing w:after="0"/>
        <w:jc w:val="both"/>
        <w:rPr>
          <w:rFonts w:ascii="Times New Roman" w:eastAsia="SimSun" w:hAnsi="Times New Roman"/>
          <w:b/>
          <w:sz w:val="20"/>
          <w:szCs w:val="20"/>
        </w:rPr>
      </w:pPr>
    </w:p>
    <w:p w14:paraId="7356026B" w14:textId="77777777" w:rsidR="00EE2CC4" w:rsidRPr="00EE2CC4" w:rsidRDefault="00EE2CC4" w:rsidP="00EE2CC4">
      <w:pPr>
        <w:spacing w:after="0"/>
        <w:jc w:val="both"/>
        <w:rPr>
          <w:rFonts w:ascii="Times New Roman" w:hAnsi="Times New Roman"/>
          <w:bCs/>
          <w:sz w:val="20"/>
          <w:szCs w:val="20"/>
        </w:rPr>
      </w:pPr>
    </w:p>
    <w:p w14:paraId="4F8086D2" w14:textId="45C85B9E" w:rsidR="00EE2CC4" w:rsidRPr="00EE2CC4" w:rsidRDefault="00EE2CC4" w:rsidP="00CC1893">
      <w:pPr>
        <w:spacing w:after="120"/>
        <w:jc w:val="center"/>
        <w:rPr>
          <w:rFonts w:ascii="Times New Roman" w:eastAsia="SimSun" w:hAnsi="Times New Roman"/>
          <w:sz w:val="20"/>
          <w:szCs w:val="20"/>
        </w:rPr>
      </w:pPr>
      <w:r w:rsidRPr="00EE2CC4">
        <w:rPr>
          <w:rFonts w:ascii="Times New Roman" w:hAnsi="Times New Roman"/>
          <w:b/>
          <w:noProof/>
          <w:sz w:val="20"/>
          <w:szCs w:val="20"/>
        </w:rPr>
        <w:lastRenderedPageBreak/>
        <w:drawing>
          <wp:inline distT="0" distB="0" distL="0" distR="0" wp14:anchorId="13E9CFD4" wp14:editId="6D444F92">
            <wp:extent cx="2834640" cy="3986784"/>
            <wp:effectExtent l="19050" t="19050" r="22860" b="13970"/>
            <wp:docPr id="4" name="Picture 4"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ape&#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l="2716" t="8897" r="6631" b="1868"/>
                    <a:stretch>
                      <a:fillRect/>
                    </a:stretch>
                  </pic:blipFill>
                  <pic:spPr bwMode="auto">
                    <a:xfrm>
                      <a:off x="0" y="0"/>
                      <a:ext cx="2834640" cy="3986784"/>
                    </a:xfrm>
                    <a:prstGeom prst="rect">
                      <a:avLst/>
                    </a:prstGeom>
                    <a:noFill/>
                    <a:ln w="9525" cmpd="sng">
                      <a:solidFill>
                        <a:srgbClr val="000000"/>
                      </a:solidFill>
                      <a:miter lim="800000"/>
                      <a:headEnd/>
                      <a:tailEnd/>
                    </a:ln>
                    <a:effectLst/>
                  </pic:spPr>
                </pic:pic>
              </a:graphicData>
            </a:graphic>
          </wp:inline>
        </w:drawing>
      </w:r>
    </w:p>
    <w:p w14:paraId="59DDC4C0" w14:textId="066E7D13" w:rsidR="00EE2CC4" w:rsidRDefault="00EE2CC4" w:rsidP="00C50A9D">
      <w:pPr>
        <w:spacing w:after="0"/>
        <w:ind w:left="851" w:hanging="851"/>
        <w:jc w:val="both"/>
        <w:rPr>
          <w:rFonts w:ascii="Times New Roman" w:hAnsi="Times New Roman"/>
          <w:sz w:val="20"/>
          <w:szCs w:val="20"/>
        </w:rPr>
      </w:pPr>
      <w:r w:rsidRPr="00EE2CC4">
        <w:rPr>
          <w:rFonts w:ascii="Times New Roman" w:eastAsia="SimSun" w:hAnsi="Times New Roman"/>
          <w:sz w:val="20"/>
          <w:szCs w:val="20"/>
        </w:rPr>
        <w:t xml:space="preserve">Figure 7. </w:t>
      </w:r>
      <w:r w:rsidR="00CC1893">
        <w:rPr>
          <w:rFonts w:ascii="Times New Roman" w:eastAsia="SimSun" w:hAnsi="Times New Roman"/>
          <w:sz w:val="20"/>
          <w:szCs w:val="20"/>
        </w:rPr>
        <w:tab/>
      </w:r>
      <w:r w:rsidRPr="00EE2CC4">
        <w:rPr>
          <w:rFonts w:ascii="Times New Roman" w:hAnsi="Times New Roman"/>
          <w:sz w:val="20"/>
          <w:szCs w:val="20"/>
        </w:rPr>
        <w:t>Electropolymerization of melamine (10.0 mM, -0.20- 1.60 V, 50 mV s</w:t>
      </w:r>
      <w:r w:rsidRPr="00EE2CC4">
        <w:rPr>
          <w:rFonts w:ascii="Times New Roman" w:hAnsi="Times New Roman"/>
          <w:sz w:val="20"/>
          <w:szCs w:val="20"/>
          <w:vertAlign w:val="superscript"/>
        </w:rPr>
        <w:t>-1</w:t>
      </w:r>
      <w:r w:rsidRPr="00EE2CC4">
        <w:rPr>
          <w:rFonts w:ascii="Times New Roman" w:hAnsi="Times New Roman"/>
          <w:sz w:val="20"/>
          <w:szCs w:val="20"/>
        </w:rPr>
        <w:t>) in reline scanning with varied scan cycle (3, 5, 10 and 15)</w:t>
      </w:r>
    </w:p>
    <w:p w14:paraId="57C0FC6C" w14:textId="70AD9177" w:rsidR="00C50A9D" w:rsidRDefault="00C50A9D" w:rsidP="00C50A9D">
      <w:pPr>
        <w:spacing w:after="0"/>
        <w:ind w:left="851" w:hanging="851"/>
        <w:jc w:val="both"/>
        <w:rPr>
          <w:rFonts w:ascii="Times New Roman" w:eastAsiaTheme="minorEastAsia" w:hAnsi="Times New Roman"/>
          <w:sz w:val="20"/>
          <w:szCs w:val="20"/>
        </w:rPr>
      </w:pPr>
    </w:p>
    <w:p w14:paraId="4DB28521" w14:textId="54AA296A" w:rsidR="00C50A9D" w:rsidRDefault="00C50A9D" w:rsidP="00C50A9D">
      <w:pPr>
        <w:spacing w:after="0"/>
        <w:ind w:left="851" w:hanging="851"/>
        <w:jc w:val="both"/>
        <w:rPr>
          <w:rFonts w:ascii="Times New Roman" w:eastAsiaTheme="minorEastAsia" w:hAnsi="Times New Roman"/>
          <w:sz w:val="20"/>
          <w:szCs w:val="20"/>
        </w:rPr>
      </w:pPr>
    </w:p>
    <w:p w14:paraId="1F03ACF7" w14:textId="77777777" w:rsidR="00C50A9D" w:rsidRPr="00C50A9D" w:rsidRDefault="00C50A9D" w:rsidP="00C50A9D">
      <w:pPr>
        <w:spacing w:after="0"/>
        <w:ind w:left="851" w:hanging="851"/>
        <w:jc w:val="both"/>
        <w:rPr>
          <w:rFonts w:ascii="Times New Roman" w:eastAsiaTheme="minorEastAsia" w:hAnsi="Times New Roman"/>
          <w:sz w:val="20"/>
          <w:szCs w:val="20"/>
        </w:rPr>
      </w:pPr>
    </w:p>
    <w:p w14:paraId="2D7DE4B5" w14:textId="36E7D761" w:rsidR="00EE2CC4" w:rsidRPr="00EE2CC4" w:rsidRDefault="00EE2CC4" w:rsidP="00CC1893">
      <w:pPr>
        <w:spacing w:after="120"/>
        <w:jc w:val="center"/>
        <w:rPr>
          <w:rFonts w:ascii="Times New Roman" w:eastAsia="SimSun" w:hAnsi="Times New Roman"/>
          <w:bCs/>
          <w:sz w:val="20"/>
          <w:szCs w:val="20"/>
        </w:rPr>
      </w:pPr>
      <w:r w:rsidRPr="00EE2CC4">
        <w:rPr>
          <w:rFonts w:ascii="Times New Roman" w:hAnsi="Times New Roman"/>
          <w:noProof/>
          <w:sz w:val="20"/>
          <w:szCs w:val="20"/>
        </w:rPr>
        <w:lastRenderedPageBreak/>
        <w:drawing>
          <wp:inline distT="0" distB="0" distL="0" distR="0" wp14:anchorId="44589FA3" wp14:editId="5E1937A2">
            <wp:extent cx="3611880" cy="2999232"/>
            <wp:effectExtent l="19050" t="19050" r="26670" b="10795"/>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art&#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l="8607" t="9978" r="13190" b="5132"/>
                    <a:stretch>
                      <a:fillRect/>
                    </a:stretch>
                  </pic:blipFill>
                  <pic:spPr bwMode="auto">
                    <a:xfrm>
                      <a:off x="0" y="0"/>
                      <a:ext cx="3611880" cy="2999232"/>
                    </a:xfrm>
                    <a:prstGeom prst="rect">
                      <a:avLst/>
                    </a:prstGeom>
                    <a:noFill/>
                    <a:ln w="9525" cmpd="sng">
                      <a:solidFill>
                        <a:srgbClr val="000000"/>
                      </a:solidFill>
                      <a:miter lim="800000"/>
                      <a:headEnd/>
                      <a:tailEnd/>
                    </a:ln>
                    <a:effectLst/>
                  </pic:spPr>
                </pic:pic>
              </a:graphicData>
            </a:graphic>
          </wp:inline>
        </w:drawing>
      </w:r>
    </w:p>
    <w:p w14:paraId="2E6B7BE8" w14:textId="36C23724" w:rsidR="00CC1893" w:rsidRDefault="00EE2CC4" w:rsidP="008608E0">
      <w:pPr>
        <w:spacing w:after="0"/>
        <w:ind w:left="851" w:hanging="851"/>
        <w:jc w:val="both"/>
        <w:rPr>
          <w:rFonts w:ascii="Times New Roman" w:eastAsia="SimSun" w:hAnsi="Times New Roman"/>
          <w:bCs/>
          <w:sz w:val="20"/>
          <w:szCs w:val="20"/>
        </w:rPr>
      </w:pPr>
      <w:r w:rsidRPr="00EE2CC4">
        <w:rPr>
          <w:rFonts w:ascii="Times New Roman" w:eastAsia="SimSun" w:hAnsi="Times New Roman"/>
          <w:bCs/>
          <w:sz w:val="20"/>
          <w:szCs w:val="20"/>
        </w:rPr>
        <w:t xml:space="preserve">Figure 8. </w:t>
      </w:r>
      <w:r w:rsidR="00CC1893">
        <w:rPr>
          <w:rFonts w:ascii="Times New Roman" w:eastAsia="SimSun" w:hAnsi="Times New Roman"/>
          <w:bCs/>
          <w:sz w:val="20"/>
          <w:szCs w:val="20"/>
        </w:rPr>
        <w:tab/>
      </w:r>
      <w:r w:rsidRPr="00EE2CC4">
        <w:rPr>
          <w:rFonts w:ascii="Times New Roman" w:eastAsia="SimSun" w:hAnsi="Times New Roman"/>
          <w:bCs/>
          <w:sz w:val="20"/>
          <w:szCs w:val="20"/>
        </w:rPr>
        <w:t xml:space="preserve">Amperometry results of PME synthesized in different scan cycles. All the amperometry test were scanned at a fixed potential (0.20 V) with additional of DA with concentration ranging from 100 - 1200 </w:t>
      </w:r>
      <w:r w:rsidRPr="00EE2CC4">
        <w:rPr>
          <w:rFonts w:ascii="Times New Roman" w:eastAsia="SimSun" w:hAnsi="Times New Roman"/>
          <w:bCs/>
          <w:i/>
          <w:iCs/>
          <w:sz w:val="20"/>
          <w:szCs w:val="20"/>
        </w:rPr>
        <w:t>μ</w:t>
      </w:r>
      <w:r w:rsidRPr="00EE2CC4">
        <w:rPr>
          <w:rFonts w:ascii="Times New Roman" w:eastAsia="SimSun" w:hAnsi="Times New Roman"/>
          <w:bCs/>
          <w:sz w:val="20"/>
          <w:szCs w:val="20"/>
        </w:rPr>
        <w:t>M in PBS (0.10 M, pH 7.0)</w:t>
      </w:r>
    </w:p>
    <w:p w14:paraId="53CA3665" w14:textId="77777777" w:rsidR="008608E0" w:rsidRPr="008608E0" w:rsidRDefault="008608E0" w:rsidP="008608E0">
      <w:pPr>
        <w:spacing w:after="0"/>
        <w:ind w:left="851" w:hanging="851"/>
        <w:jc w:val="both"/>
        <w:rPr>
          <w:rFonts w:ascii="Times New Roman" w:eastAsia="SimSun" w:hAnsi="Times New Roman"/>
          <w:bCs/>
          <w:sz w:val="20"/>
          <w:szCs w:val="20"/>
        </w:rPr>
      </w:pPr>
    </w:p>
    <w:p w14:paraId="1CC27E6C" w14:textId="77777777" w:rsidR="00CC1893" w:rsidRPr="00EE2CC4" w:rsidRDefault="00CC1893" w:rsidP="00EE2CC4">
      <w:pPr>
        <w:autoSpaceDE w:val="0"/>
        <w:autoSpaceDN w:val="0"/>
        <w:adjustRightInd w:val="0"/>
        <w:spacing w:after="0"/>
        <w:jc w:val="both"/>
        <w:rPr>
          <w:rFonts w:ascii="Times New Roman" w:eastAsiaTheme="minorEastAsia" w:hAnsi="Times New Roman"/>
          <w:sz w:val="20"/>
          <w:szCs w:val="20"/>
        </w:rPr>
      </w:pPr>
    </w:p>
    <w:p w14:paraId="644B4062" w14:textId="77777777" w:rsidR="00EE2CC4" w:rsidRPr="00EE2CC4" w:rsidRDefault="00EE2CC4" w:rsidP="00E25A80">
      <w:pPr>
        <w:spacing w:after="120"/>
        <w:jc w:val="center"/>
        <w:rPr>
          <w:rFonts w:ascii="Times New Roman" w:eastAsia="SimSun" w:hAnsi="Times New Roman"/>
          <w:b/>
          <w:sz w:val="20"/>
          <w:szCs w:val="20"/>
        </w:rPr>
      </w:pPr>
      <w:r w:rsidRPr="00EE2CC4">
        <w:rPr>
          <w:rFonts w:ascii="Times New Roman" w:hAnsi="Times New Roman"/>
          <w:noProof/>
          <w:sz w:val="20"/>
          <w:szCs w:val="20"/>
        </w:rPr>
        <w:drawing>
          <wp:inline distT="0" distB="0" distL="0" distR="0" wp14:anchorId="37CB1061" wp14:editId="044032EE">
            <wp:extent cx="5476240" cy="2580640"/>
            <wp:effectExtent l="19050" t="19050" r="1016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t="16888" r="4904" b="19501"/>
                    <a:stretch>
                      <a:fillRect/>
                    </a:stretch>
                  </pic:blipFill>
                  <pic:spPr bwMode="auto">
                    <a:xfrm>
                      <a:off x="0" y="0"/>
                      <a:ext cx="5476240" cy="2580640"/>
                    </a:xfrm>
                    <a:prstGeom prst="rect">
                      <a:avLst/>
                    </a:prstGeom>
                    <a:noFill/>
                    <a:ln w="9525" cmpd="sng">
                      <a:solidFill>
                        <a:srgbClr val="000000"/>
                      </a:solidFill>
                      <a:miter lim="800000"/>
                      <a:headEnd/>
                      <a:tailEnd/>
                    </a:ln>
                    <a:effectLst/>
                  </pic:spPr>
                </pic:pic>
              </a:graphicData>
            </a:graphic>
          </wp:inline>
        </w:drawing>
      </w:r>
    </w:p>
    <w:p w14:paraId="35F1CFBC" w14:textId="38577B5F" w:rsidR="00EE2CC4" w:rsidRPr="00EE2CC4" w:rsidRDefault="00EE2CC4" w:rsidP="00E25A80">
      <w:pPr>
        <w:spacing w:after="0"/>
        <w:ind w:left="900" w:hanging="900"/>
        <w:jc w:val="both"/>
        <w:rPr>
          <w:rFonts w:ascii="Times New Roman" w:eastAsia="SimSun" w:hAnsi="Times New Roman"/>
          <w:bCs/>
          <w:sz w:val="20"/>
          <w:szCs w:val="20"/>
        </w:rPr>
      </w:pPr>
      <w:r w:rsidRPr="00EE2CC4">
        <w:rPr>
          <w:rFonts w:ascii="Times New Roman" w:eastAsia="SimSun" w:hAnsi="Times New Roman"/>
          <w:bCs/>
          <w:sz w:val="20"/>
          <w:szCs w:val="20"/>
        </w:rPr>
        <w:t xml:space="preserve">Figure 9. </w:t>
      </w:r>
      <w:r w:rsidR="00E25A80">
        <w:rPr>
          <w:rFonts w:ascii="Times New Roman" w:eastAsia="SimSun" w:hAnsi="Times New Roman"/>
          <w:bCs/>
          <w:sz w:val="20"/>
          <w:szCs w:val="20"/>
        </w:rPr>
        <w:t xml:space="preserve"> </w:t>
      </w:r>
      <w:r w:rsidR="00E25A80">
        <w:rPr>
          <w:rFonts w:ascii="Times New Roman" w:eastAsia="SimSun" w:hAnsi="Times New Roman"/>
          <w:bCs/>
          <w:sz w:val="20"/>
          <w:szCs w:val="20"/>
        </w:rPr>
        <w:tab/>
      </w:r>
      <w:r w:rsidRPr="00EE2CC4">
        <w:rPr>
          <w:rFonts w:ascii="Times New Roman" w:eastAsia="SimSun" w:hAnsi="Times New Roman"/>
          <w:bCs/>
          <w:sz w:val="20"/>
          <w:szCs w:val="20"/>
        </w:rPr>
        <w:t>Graphs of (a) sensitivity and (b) LOD results versus varied scan cycles applied for electropolymerization of melamine in relin</w:t>
      </w:r>
      <w:r w:rsidR="00E25A80">
        <w:rPr>
          <w:rFonts w:ascii="Times New Roman" w:eastAsia="SimSun" w:hAnsi="Times New Roman"/>
          <w:bCs/>
          <w:sz w:val="20"/>
          <w:szCs w:val="20"/>
        </w:rPr>
        <w:t xml:space="preserve"> </w:t>
      </w:r>
    </w:p>
    <w:p w14:paraId="3839B0B7" w14:textId="77777777" w:rsidR="006768E9" w:rsidRPr="00383C16" w:rsidRDefault="006768E9" w:rsidP="00383C16">
      <w:pPr>
        <w:spacing w:after="0"/>
        <w:jc w:val="center"/>
        <w:rPr>
          <w:rFonts w:ascii="Times New Roman" w:hAnsi="Times New Roman"/>
          <w:noProof/>
          <w:sz w:val="20"/>
          <w:szCs w:val="20"/>
          <w:lang w:bidi="ar-SA"/>
        </w:rPr>
      </w:pPr>
    </w:p>
    <w:p w14:paraId="0559083A" w14:textId="6B0F30F5" w:rsidR="002F0EDB" w:rsidRDefault="002F0EDB" w:rsidP="00383C16">
      <w:pPr>
        <w:spacing w:after="0"/>
        <w:jc w:val="center"/>
        <w:rPr>
          <w:rFonts w:ascii="Times New Roman" w:hAnsi="Times New Roman"/>
          <w:b/>
          <w:noProof/>
          <w:sz w:val="20"/>
          <w:szCs w:val="20"/>
          <w:lang w:bidi="ar-SA"/>
        </w:rPr>
      </w:pPr>
    </w:p>
    <w:p w14:paraId="40D60DCE" w14:textId="7552037F" w:rsidR="00C50A9D" w:rsidRDefault="00C50A9D" w:rsidP="00383C16">
      <w:pPr>
        <w:spacing w:after="0"/>
        <w:jc w:val="center"/>
        <w:rPr>
          <w:rFonts w:ascii="Times New Roman" w:hAnsi="Times New Roman"/>
          <w:b/>
          <w:noProof/>
          <w:sz w:val="20"/>
          <w:szCs w:val="20"/>
          <w:lang w:bidi="ar-SA"/>
        </w:rPr>
      </w:pPr>
    </w:p>
    <w:p w14:paraId="665D2016" w14:textId="77777777" w:rsidR="008608E0" w:rsidRDefault="008608E0" w:rsidP="00383C16">
      <w:pPr>
        <w:spacing w:after="0"/>
        <w:jc w:val="center"/>
        <w:rPr>
          <w:rFonts w:ascii="Times New Roman" w:hAnsi="Times New Roman"/>
          <w:b/>
          <w:noProof/>
          <w:sz w:val="20"/>
          <w:szCs w:val="20"/>
          <w:lang w:bidi="ar-SA"/>
        </w:rPr>
      </w:pPr>
    </w:p>
    <w:p w14:paraId="1B383D8E" w14:textId="77777777" w:rsidR="00C50A9D" w:rsidRDefault="00C50A9D" w:rsidP="00383C16">
      <w:pPr>
        <w:spacing w:after="0"/>
        <w:jc w:val="center"/>
        <w:rPr>
          <w:rFonts w:ascii="Times New Roman" w:hAnsi="Times New Roman"/>
          <w:b/>
          <w:noProof/>
          <w:sz w:val="20"/>
          <w:szCs w:val="20"/>
          <w:lang w:bidi="ar-SA"/>
        </w:rPr>
      </w:pPr>
    </w:p>
    <w:p w14:paraId="3012BED5" w14:textId="77777777" w:rsidR="008608E0" w:rsidRDefault="008608E0" w:rsidP="008608E0">
      <w:pPr>
        <w:spacing w:after="0"/>
        <w:jc w:val="center"/>
        <w:rPr>
          <w:rFonts w:ascii="Times New Roman" w:hAnsi="Times New Roman"/>
          <w:b/>
          <w:noProof/>
          <w:sz w:val="20"/>
          <w:szCs w:val="20"/>
          <w:lang w:bidi="ar-SA"/>
        </w:rPr>
        <w:sectPr w:rsidR="008608E0" w:rsidSect="001D1A16">
          <w:footerReference w:type="even" r:id="rId29"/>
          <w:footerReference w:type="default" r:id="rId30"/>
          <w:type w:val="continuous"/>
          <w:pgSz w:w="12240" w:h="15840" w:code="1"/>
          <w:pgMar w:top="1800" w:right="1469" w:bottom="1699" w:left="1440" w:header="706" w:footer="706" w:gutter="0"/>
          <w:pgNumType w:start="0"/>
          <w:cols w:space="708"/>
          <w:docGrid w:linePitch="360"/>
        </w:sectPr>
      </w:pPr>
    </w:p>
    <w:p w14:paraId="539FE979" w14:textId="38DEDFC9" w:rsidR="006768E9" w:rsidRPr="008608E0" w:rsidRDefault="006768E9" w:rsidP="008608E0">
      <w:pPr>
        <w:spacing w:after="0"/>
        <w:jc w:val="center"/>
        <w:rPr>
          <w:rFonts w:ascii="Times New Roman" w:hAnsi="Times New Roman"/>
          <w:b/>
          <w:noProof/>
          <w:sz w:val="20"/>
          <w:szCs w:val="20"/>
          <w:lang w:bidi="ar-SA"/>
        </w:rPr>
      </w:pPr>
      <w:r w:rsidRPr="008608E0">
        <w:rPr>
          <w:rFonts w:ascii="Times New Roman" w:hAnsi="Times New Roman"/>
          <w:b/>
          <w:noProof/>
          <w:sz w:val="20"/>
          <w:szCs w:val="20"/>
          <w:lang w:bidi="ar-SA"/>
        </w:rPr>
        <w:lastRenderedPageBreak/>
        <w:t>Conclusion</w:t>
      </w:r>
    </w:p>
    <w:p w14:paraId="61D0452D" w14:textId="77777777" w:rsidR="00E25A80" w:rsidRPr="008608E0" w:rsidRDefault="00E25A80" w:rsidP="008608E0">
      <w:pPr>
        <w:spacing w:after="0"/>
        <w:jc w:val="both"/>
        <w:rPr>
          <w:rFonts w:ascii="Times New Roman" w:eastAsiaTheme="minorEastAsia" w:hAnsi="Times New Roman"/>
          <w:bCs/>
          <w:color w:val="000000" w:themeColor="text1"/>
          <w:sz w:val="20"/>
          <w:szCs w:val="20"/>
        </w:rPr>
      </w:pPr>
      <w:r w:rsidRPr="008608E0">
        <w:rPr>
          <w:rFonts w:ascii="Times New Roman" w:hAnsi="Times New Roman"/>
          <w:sz w:val="20"/>
          <w:szCs w:val="20"/>
        </w:rPr>
        <w:t xml:space="preserve">Hereby reports the novel studies of optimization parameters for melamine electropolymerizes in DES, reline. Different parameters including potential window, scan rate, and number of scan cycles were manipulated in preparing PME in DES. </w:t>
      </w:r>
      <w:r w:rsidRPr="008608E0">
        <w:rPr>
          <w:rFonts w:ascii="Times New Roman" w:hAnsi="Times New Roman"/>
          <w:bCs/>
          <w:sz w:val="20"/>
          <w:szCs w:val="20"/>
        </w:rPr>
        <w:t xml:space="preserve">Amperometry sensing on DA was conducted to compare the sensitivity and limit of detection for the PME prepared in different parameters. </w:t>
      </w:r>
      <w:r w:rsidRPr="008608E0">
        <w:rPr>
          <w:rFonts w:ascii="Times New Roman" w:hAnsi="Times New Roman"/>
          <w:sz w:val="20"/>
          <w:szCs w:val="20"/>
        </w:rPr>
        <w:t xml:space="preserve">The optimum polymerization parameters for melamine </w:t>
      </w:r>
      <w:r w:rsidRPr="008608E0">
        <w:rPr>
          <w:rFonts w:ascii="Times New Roman" w:hAnsi="Times New Roman"/>
          <w:bCs/>
          <w:sz w:val="20"/>
          <w:szCs w:val="20"/>
        </w:rPr>
        <w:t>were discovered as -0.20 V – 1.6 V, 50 mVs</w:t>
      </w:r>
      <w:r w:rsidRPr="008608E0">
        <w:rPr>
          <w:rFonts w:ascii="Times New Roman" w:hAnsi="Times New Roman"/>
          <w:bCs/>
          <w:sz w:val="20"/>
          <w:szCs w:val="20"/>
          <w:vertAlign w:val="superscript"/>
        </w:rPr>
        <w:t>-1</w:t>
      </w:r>
      <w:r w:rsidRPr="008608E0">
        <w:rPr>
          <w:rFonts w:ascii="Times New Roman" w:hAnsi="Times New Roman"/>
          <w:bCs/>
          <w:sz w:val="20"/>
          <w:szCs w:val="20"/>
        </w:rPr>
        <w:t>, and five scan cycles, respectively</w:t>
      </w:r>
      <w:r w:rsidRPr="008608E0">
        <w:rPr>
          <w:rFonts w:ascii="Times New Roman" w:hAnsi="Times New Roman"/>
          <w:bCs/>
          <w:color w:val="000000" w:themeColor="text1"/>
          <w:sz w:val="20"/>
          <w:szCs w:val="20"/>
        </w:rPr>
        <w:t>. The effect of each parameter on the electrocatalytic behavior of PME has been clarified. With the successful optimization,</w:t>
      </w:r>
      <w:r w:rsidRPr="008608E0">
        <w:rPr>
          <w:rFonts w:ascii="Times New Roman" w:hAnsi="Times New Roman"/>
          <w:sz w:val="20"/>
          <w:szCs w:val="20"/>
        </w:rPr>
        <w:t xml:space="preserve"> </w:t>
      </w:r>
      <w:r w:rsidRPr="008608E0">
        <w:rPr>
          <w:rFonts w:ascii="Times New Roman" w:hAnsi="Times New Roman"/>
          <w:bCs/>
          <w:color w:val="000000" w:themeColor="text1"/>
          <w:sz w:val="20"/>
          <w:szCs w:val="20"/>
        </w:rPr>
        <w:t xml:space="preserve">PME(reline)/GCE with high sensitivity and low limit of detection recorded at </w:t>
      </w:r>
      <w:r w:rsidRPr="008608E0">
        <w:rPr>
          <w:rFonts w:ascii="Times New Roman" w:eastAsia="SimSun" w:hAnsi="Times New Roman"/>
          <w:sz w:val="20"/>
          <w:szCs w:val="20"/>
        </w:rPr>
        <w:t>0.044 μA μM</w:t>
      </w:r>
      <w:r w:rsidRPr="008608E0">
        <w:rPr>
          <w:rFonts w:ascii="Times New Roman" w:eastAsia="SimSun" w:hAnsi="Times New Roman"/>
          <w:sz w:val="20"/>
          <w:szCs w:val="20"/>
          <w:vertAlign w:val="superscript"/>
        </w:rPr>
        <w:t xml:space="preserve">-1 </w:t>
      </w:r>
      <w:r w:rsidRPr="008608E0">
        <w:rPr>
          <w:rFonts w:ascii="Times New Roman" w:eastAsia="SimSun" w:hAnsi="Times New Roman"/>
          <w:sz w:val="20"/>
          <w:szCs w:val="20"/>
        </w:rPr>
        <w:t>cm</w:t>
      </w:r>
      <w:r w:rsidRPr="008608E0">
        <w:rPr>
          <w:rFonts w:ascii="Times New Roman" w:eastAsia="SimSun" w:hAnsi="Times New Roman"/>
          <w:sz w:val="20"/>
          <w:szCs w:val="20"/>
          <w:vertAlign w:val="superscript"/>
        </w:rPr>
        <w:t>-2</w:t>
      </w:r>
      <w:r w:rsidRPr="008608E0">
        <w:rPr>
          <w:rFonts w:ascii="Times New Roman" w:eastAsia="SimSun" w:hAnsi="Times New Roman"/>
          <w:sz w:val="20"/>
          <w:szCs w:val="20"/>
        </w:rPr>
        <w:t xml:space="preserve"> </w:t>
      </w:r>
      <w:r w:rsidRPr="008608E0">
        <w:rPr>
          <w:rFonts w:ascii="Times New Roman" w:hAnsi="Times New Roman"/>
          <w:bCs/>
          <w:color w:val="000000" w:themeColor="text1"/>
          <w:sz w:val="20"/>
          <w:szCs w:val="20"/>
        </w:rPr>
        <w:t xml:space="preserve">and </w:t>
      </w:r>
      <w:r w:rsidRPr="008608E0">
        <w:rPr>
          <w:rFonts w:ascii="Times New Roman" w:eastAsia="SimSun" w:hAnsi="Times New Roman"/>
          <w:sz w:val="20"/>
          <w:szCs w:val="20"/>
        </w:rPr>
        <w:t xml:space="preserve">0.198 </w:t>
      </w:r>
      <m:oMath>
        <m:r>
          <m:rPr>
            <m:sty m:val="p"/>
          </m:rPr>
          <w:rPr>
            <w:rFonts w:ascii="Cambria Math" w:hAnsi="Cambria Math"/>
            <w:sz w:val="20"/>
            <w:szCs w:val="20"/>
          </w:rPr>
          <m:t>μ</m:t>
        </m:r>
      </m:oMath>
      <w:r w:rsidRPr="008608E0">
        <w:rPr>
          <w:rFonts w:ascii="Times New Roman" w:hAnsi="Times New Roman"/>
          <w:sz w:val="20"/>
          <w:szCs w:val="20"/>
        </w:rPr>
        <w:t>M</w:t>
      </w:r>
      <w:r w:rsidRPr="008608E0">
        <w:rPr>
          <w:rFonts w:ascii="Times New Roman" w:hAnsi="Times New Roman"/>
          <w:bCs/>
          <w:color w:val="000000" w:themeColor="text1"/>
          <w:sz w:val="20"/>
          <w:szCs w:val="20"/>
        </w:rPr>
        <w:t xml:space="preserve"> has achieved. Proportionally, contemporary potential polymers can be construct by manipulating the parameters accordingly. </w:t>
      </w:r>
    </w:p>
    <w:p w14:paraId="6558DB2D" w14:textId="77777777" w:rsidR="00E25A80" w:rsidRPr="008608E0" w:rsidRDefault="00E25A80" w:rsidP="008608E0">
      <w:pPr>
        <w:spacing w:after="0"/>
        <w:jc w:val="center"/>
        <w:rPr>
          <w:rFonts w:ascii="Times New Roman" w:eastAsia="SimSun" w:hAnsi="Times New Roman"/>
          <w:sz w:val="20"/>
          <w:szCs w:val="20"/>
        </w:rPr>
      </w:pPr>
    </w:p>
    <w:p w14:paraId="1CDD30A1" w14:textId="77777777" w:rsidR="00E25A80" w:rsidRPr="008608E0" w:rsidRDefault="00E25A80" w:rsidP="008608E0">
      <w:pPr>
        <w:spacing w:after="0"/>
        <w:jc w:val="center"/>
        <w:rPr>
          <w:rFonts w:ascii="Times New Roman" w:eastAsia="SimSun" w:hAnsi="Times New Roman"/>
          <w:b/>
          <w:bCs/>
          <w:sz w:val="20"/>
          <w:szCs w:val="20"/>
        </w:rPr>
      </w:pPr>
      <w:r w:rsidRPr="008608E0">
        <w:rPr>
          <w:rFonts w:ascii="Times New Roman" w:eastAsia="SimSun" w:hAnsi="Times New Roman"/>
          <w:b/>
          <w:bCs/>
          <w:sz w:val="20"/>
          <w:szCs w:val="20"/>
        </w:rPr>
        <w:t>Acknowledgement</w:t>
      </w:r>
    </w:p>
    <w:p w14:paraId="6C9F5DD0" w14:textId="77777777" w:rsidR="00E25A80" w:rsidRPr="008608E0" w:rsidRDefault="00E25A80" w:rsidP="008608E0">
      <w:pPr>
        <w:spacing w:after="0"/>
        <w:jc w:val="both"/>
        <w:rPr>
          <w:rFonts w:ascii="Times New Roman" w:eastAsia="SimSun" w:hAnsi="Times New Roman"/>
          <w:sz w:val="20"/>
          <w:szCs w:val="20"/>
        </w:rPr>
      </w:pPr>
      <w:r w:rsidRPr="008608E0">
        <w:rPr>
          <w:rFonts w:ascii="Times New Roman" w:eastAsia="SimSun" w:hAnsi="Times New Roman"/>
          <w:sz w:val="20"/>
          <w:szCs w:val="20"/>
        </w:rPr>
        <w:t xml:space="preserve">This work is financially supported by Impact Oriented Interdisciplinary Research Grant IIRG013B-2019 and Frontier Research Grant FG030-17AFR by the Universiti Malaya. </w:t>
      </w:r>
    </w:p>
    <w:p w14:paraId="63ACC625" w14:textId="77777777" w:rsidR="006768E9" w:rsidRPr="008608E0" w:rsidRDefault="006768E9" w:rsidP="008608E0">
      <w:pPr>
        <w:spacing w:after="0"/>
        <w:jc w:val="center"/>
        <w:rPr>
          <w:rFonts w:ascii="Times New Roman" w:hAnsi="Times New Roman"/>
          <w:noProof/>
          <w:sz w:val="20"/>
          <w:szCs w:val="20"/>
          <w:lang w:bidi="ar-SA"/>
        </w:rPr>
      </w:pPr>
    </w:p>
    <w:p w14:paraId="763A6DA7" w14:textId="77777777" w:rsidR="006768E9" w:rsidRPr="008608E0" w:rsidRDefault="006768E9" w:rsidP="008608E0">
      <w:pPr>
        <w:spacing w:after="0"/>
        <w:jc w:val="center"/>
        <w:rPr>
          <w:rFonts w:ascii="Times New Roman" w:hAnsi="Times New Roman"/>
          <w:b/>
          <w:noProof/>
          <w:sz w:val="20"/>
          <w:szCs w:val="20"/>
          <w:lang w:bidi="ar-SA"/>
        </w:rPr>
      </w:pPr>
      <w:r w:rsidRPr="008608E0">
        <w:rPr>
          <w:rFonts w:ascii="Times New Roman" w:hAnsi="Times New Roman"/>
          <w:b/>
          <w:noProof/>
          <w:sz w:val="20"/>
          <w:szCs w:val="20"/>
          <w:lang w:bidi="ar-SA"/>
        </w:rPr>
        <w:t>References</w:t>
      </w:r>
    </w:p>
    <w:p w14:paraId="485B9B17" w14:textId="77777777" w:rsidR="00E25A80" w:rsidRPr="008608E0" w:rsidRDefault="00F676D9" w:rsidP="008608E0">
      <w:pPr>
        <w:pStyle w:val="ListParagraph"/>
        <w:numPr>
          <w:ilvl w:val="1"/>
          <w:numId w:val="1"/>
        </w:numPr>
        <w:tabs>
          <w:tab w:val="clear" w:pos="1440"/>
        </w:tabs>
        <w:spacing w:after="0"/>
        <w:ind w:left="360"/>
        <w:jc w:val="both"/>
        <w:rPr>
          <w:rFonts w:ascii="Times New Roman" w:hAnsi="Times New Roman"/>
          <w:sz w:val="20"/>
          <w:szCs w:val="20"/>
          <w:lang w:val="en-MY"/>
        </w:rPr>
      </w:pPr>
      <w:r w:rsidRPr="008608E0">
        <w:rPr>
          <w:rFonts w:ascii="Times New Roman" w:hAnsi="Times New Roman"/>
          <w:sz w:val="20"/>
          <w:szCs w:val="20"/>
          <w:lang w:val="en-MY"/>
        </w:rPr>
        <w:t xml:space="preserve">Gupta, P. and Goyal, R. N. (2014). Polymelamine modified edge plane pyrolytic graphite sensor for the electrochemical assay of serotonin. </w:t>
      </w:r>
      <w:r w:rsidRPr="008608E0">
        <w:rPr>
          <w:rFonts w:ascii="Times New Roman" w:hAnsi="Times New Roman"/>
          <w:i/>
          <w:sz w:val="20"/>
          <w:szCs w:val="20"/>
          <w:lang w:val="en-MY"/>
        </w:rPr>
        <w:t>Talanta,</w:t>
      </w:r>
      <w:r w:rsidRPr="008608E0">
        <w:rPr>
          <w:rFonts w:ascii="Times New Roman" w:hAnsi="Times New Roman"/>
          <w:sz w:val="20"/>
          <w:szCs w:val="20"/>
          <w:lang w:val="en-MY"/>
        </w:rPr>
        <w:t xml:space="preserve"> </w:t>
      </w:r>
      <w:r w:rsidRPr="008608E0">
        <w:rPr>
          <w:rFonts w:ascii="Times New Roman" w:hAnsi="Times New Roman"/>
          <w:iCs/>
          <w:sz w:val="20"/>
          <w:szCs w:val="20"/>
          <w:lang w:val="en-MY"/>
        </w:rPr>
        <w:t>120</w:t>
      </w:r>
      <w:r w:rsidRPr="008608E0">
        <w:rPr>
          <w:rFonts w:ascii="Times New Roman" w:hAnsi="Times New Roman"/>
          <w:sz w:val="20"/>
          <w:szCs w:val="20"/>
          <w:lang w:val="en-MY"/>
        </w:rPr>
        <w:t>: 17-22.</w:t>
      </w:r>
    </w:p>
    <w:p w14:paraId="34A9728D" w14:textId="77777777" w:rsidR="00E25A80" w:rsidRPr="008608E0" w:rsidRDefault="00F676D9" w:rsidP="008608E0">
      <w:pPr>
        <w:pStyle w:val="ListParagraph"/>
        <w:numPr>
          <w:ilvl w:val="1"/>
          <w:numId w:val="1"/>
        </w:numPr>
        <w:tabs>
          <w:tab w:val="clear" w:pos="1440"/>
        </w:tabs>
        <w:spacing w:after="0"/>
        <w:ind w:left="360"/>
        <w:jc w:val="both"/>
        <w:rPr>
          <w:rFonts w:ascii="Times New Roman" w:hAnsi="Times New Roman"/>
          <w:sz w:val="20"/>
          <w:szCs w:val="20"/>
          <w:lang w:val="en-MY"/>
        </w:rPr>
      </w:pPr>
      <w:r w:rsidRPr="008608E0">
        <w:rPr>
          <w:rFonts w:ascii="Times New Roman" w:hAnsi="Times New Roman"/>
          <w:sz w:val="20"/>
          <w:szCs w:val="20"/>
          <w:lang w:val="en-MY"/>
        </w:rPr>
        <w:t xml:space="preserve">Kesavan, S., Kumar, D. R., Lee, Y. R. and Shim, J. J. (2017). Determination of tetracycline in the presence of major interference in human urine samples using polymelamine/electrochemically reduced graphene oxide modified electrode. </w:t>
      </w:r>
      <w:r w:rsidRPr="008608E0">
        <w:rPr>
          <w:rFonts w:ascii="Times New Roman" w:hAnsi="Times New Roman"/>
          <w:i/>
          <w:sz w:val="20"/>
          <w:szCs w:val="20"/>
          <w:lang w:val="en-MY"/>
        </w:rPr>
        <w:t>Sensors and Actuators B: Chem,</w:t>
      </w:r>
      <w:r w:rsidRPr="008608E0">
        <w:rPr>
          <w:rFonts w:ascii="Times New Roman" w:hAnsi="Times New Roman"/>
          <w:sz w:val="20"/>
          <w:szCs w:val="20"/>
          <w:lang w:val="en-MY"/>
        </w:rPr>
        <w:t xml:space="preserve"> </w:t>
      </w:r>
      <w:r w:rsidRPr="008608E0">
        <w:rPr>
          <w:rFonts w:ascii="Times New Roman" w:hAnsi="Times New Roman"/>
          <w:iCs/>
          <w:sz w:val="20"/>
          <w:szCs w:val="20"/>
          <w:lang w:val="en-MY"/>
        </w:rPr>
        <w:t>241</w:t>
      </w:r>
      <w:r w:rsidRPr="008608E0">
        <w:rPr>
          <w:rFonts w:ascii="Times New Roman" w:hAnsi="Times New Roman"/>
          <w:sz w:val="20"/>
          <w:szCs w:val="20"/>
          <w:lang w:val="en-MY"/>
        </w:rPr>
        <w:t>: 455-465.</w:t>
      </w:r>
    </w:p>
    <w:p w14:paraId="6EF8A772" w14:textId="77777777" w:rsidR="00E25A80" w:rsidRPr="008608E0" w:rsidRDefault="00F676D9" w:rsidP="008608E0">
      <w:pPr>
        <w:pStyle w:val="ListParagraph"/>
        <w:numPr>
          <w:ilvl w:val="1"/>
          <w:numId w:val="1"/>
        </w:numPr>
        <w:tabs>
          <w:tab w:val="clear" w:pos="1440"/>
        </w:tabs>
        <w:spacing w:after="0"/>
        <w:ind w:left="360"/>
        <w:jc w:val="both"/>
        <w:rPr>
          <w:rFonts w:ascii="Times New Roman" w:hAnsi="Times New Roman"/>
          <w:sz w:val="20"/>
          <w:szCs w:val="20"/>
          <w:lang w:val="en-MY"/>
        </w:rPr>
      </w:pPr>
      <w:r w:rsidRPr="008608E0">
        <w:rPr>
          <w:rFonts w:ascii="Times New Roman" w:hAnsi="Times New Roman"/>
          <w:sz w:val="20"/>
          <w:szCs w:val="20"/>
          <w:lang w:val="en-MY"/>
        </w:rPr>
        <w:t xml:space="preserve">Khosropour, H., Rezaei, B., Alinajafi, H. A. and Ensafi, A. A. (2021). Electrochemical sensor based on glassy carbon electrode modified by polymelamine formaldehyde/graphene oxide nanocomposite for ultrasensitive detection of oxycodone. </w:t>
      </w:r>
      <w:r w:rsidRPr="008608E0">
        <w:rPr>
          <w:rFonts w:ascii="Times New Roman" w:hAnsi="Times New Roman"/>
          <w:i/>
          <w:sz w:val="20"/>
          <w:szCs w:val="20"/>
          <w:lang w:val="en-MY"/>
        </w:rPr>
        <w:t>Microchimica Acta</w:t>
      </w:r>
      <w:r w:rsidRPr="008608E0">
        <w:rPr>
          <w:rFonts w:ascii="Times New Roman" w:hAnsi="Times New Roman"/>
          <w:sz w:val="20"/>
          <w:szCs w:val="20"/>
          <w:lang w:val="en-MY"/>
        </w:rPr>
        <w:t xml:space="preserve">, </w:t>
      </w:r>
      <w:r w:rsidRPr="008608E0">
        <w:rPr>
          <w:rFonts w:ascii="Times New Roman" w:hAnsi="Times New Roman"/>
          <w:iCs/>
          <w:sz w:val="20"/>
          <w:szCs w:val="20"/>
          <w:lang w:val="en-MY"/>
        </w:rPr>
        <w:t>188</w:t>
      </w:r>
      <w:r w:rsidRPr="008608E0">
        <w:rPr>
          <w:rFonts w:ascii="Times New Roman" w:hAnsi="Times New Roman"/>
          <w:sz w:val="20"/>
          <w:szCs w:val="20"/>
          <w:lang w:val="en-MY"/>
        </w:rPr>
        <w:t xml:space="preserve">(1): 1. </w:t>
      </w:r>
    </w:p>
    <w:p w14:paraId="61B0C269" w14:textId="77777777" w:rsidR="00E25A80" w:rsidRPr="008608E0" w:rsidRDefault="00F676D9" w:rsidP="008608E0">
      <w:pPr>
        <w:pStyle w:val="ListParagraph"/>
        <w:numPr>
          <w:ilvl w:val="1"/>
          <w:numId w:val="1"/>
        </w:numPr>
        <w:tabs>
          <w:tab w:val="clear" w:pos="1440"/>
        </w:tabs>
        <w:spacing w:after="0"/>
        <w:ind w:left="360"/>
        <w:jc w:val="both"/>
        <w:rPr>
          <w:rFonts w:ascii="Times New Roman" w:hAnsi="Times New Roman"/>
          <w:sz w:val="20"/>
          <w:szCs w:val="20"/>
          <w:lang w:val="en-MY"/>
        </w:rPr>
      </w:pPr>
      <w:r w:rsidRPr="008608E0">
        <w:rPr>
          <w:rFonts w:ascii="Times New Roman" w:hAnsi="Times New Roman"/>
          <w:sz w:val="20"/>
          <w:szCs w:val="20"/>
          <w:lang w:val="en-MY"/>
        </w:rPr>
        <w:t xml:space="preserve">Farida, A. N., Fitriany, E., Baktir, A., Kurniawan, F. and Harsini, M. (2019). Voltammetric study of ascorbic acid using polymelamine/gold </w:t>
      </w:r>
      <w:r w:rsidRPr="008608E0">
        <w:rPr>
          <w:rFonts w:ascii="Times New Roman" w:hAnsi="Times New Roman"/>
          <w:sz w:val="20"/>
          <w:szCs w:val="20"/>
          <w:lang w:val="en-MY"/>
        </w:rPr>
        <w:t xml:space="preserve">nanoparticle modified carbon paste electrode. </w:t>
      </w:r>
      <w:r w:rsidRPr="008608E0">
        <w:rPr>
          <w:rFonts w:ascii="Times New Roman" w:hAnsi="Times New Roman"/>
          <w:i/>
          <w:sz w:val="20"/>
          <w:szCs w:val="20"/>
          <w:lang w:val="en-MY"/>
        </w:rPr>
        <w:t xml:space="preserve">IOP </w:t>
      </w:r>
      <w:r w:rsidRPr="008608E0">
        <w:rPr>
          <w:rFonts w:ascii="Times New Roman" w:hAnsi="Times New Roman"/>
          <w:i/>
          <w:noProof/>
          <w:sz w:val="20"/>
          <w:szCs w:val="20"/>
        </w:rPr>
        <w:t>Conference Series: Earth Environmental Science</w:t>
      </w:r>
      <w:r w:rsidRPr="008608E0">
        <w:rPr>
          <w:rFonts w:ascii="Times New Roman" w:hAnsi="Times New Roman"/>
          <w:sz w:val="20"/>
          <w:szCs w:val="20"/>
          <w:lang w:val="en-MY"/>
        </w:rPr>
        <w:t xml:space="preserve">, </w:t>
      </w:r>
      <w:r w:rsidRPr="008608E0">
        <w:rPr>
          <w:rFonts w:ascii="Times New Roman" w:hAnsi="Times New Roman"/>
          <w:iCs/>
          <w:sz w:val="20"/>
          <w:szCs w:val="20"/>
          <w:lang w:val="en-MY"/>
        </w:rPr>
        <w:t>217</w:t>
      </w:r>
      <w:r w:rsidRPr="008608E0">
        <w:rPr>
          <w:rFonts w:ascii="Times New Roman" w:hAnsi="Times New Roman"/>
          <w:sz w:val="20"/>
          <w:szCs w:val="20"/>
          <w:lang w:val="en-MY"/>
        </w:rPr>
        <w:t>: 012004.</w:t>
      </w:r>
      <w:r w:rsidRPr="008608E0">
        <w:rPr>
          <w:rFonts w:ascii="Times New Roman" w:hAnsi="Times New Roman"/>
          <w:sz w:val="20"/>
          <w:szCs w:val="20"/>
        </w:rPr>
        <w:t xml:space="preserve"> </w:t>
      </w:r>
    </w:p>
    <w:p w14:paraId="4914BCD2" w14:textId="77777777" w:rsidR="00E25A80" w:rsidRPr="008608E0" w:rsidRDefault="00F676D9" w:rsidP="008608E0">
      <w:pPr>
        <w:pStyle w:val="ListParagraph"/>
        <w:numPr>
          <w:ilvl w:val="1"/>
          <w:numId w:val="1"/>
        </w:numPr>
        <w:tabs>
          <w:tab w:val="clear" w:pos="1440"/>
        </w:tabs>
        <w:spacing w:after="0"/>
        <w:ind w:left="360"/>
        <w:jc w:val="both"/>
        <w:rPr>
          <w:rFonts w:ascii="Times New Roman" w:hAnsi="Times New Roman"/>
          <w:sz w:val="20"/>
          <w:szCs w:val="20"/>
          <w:lang w:val="en-MY"/>
        </w:rPr>
      </w:pPr>
      <w:r w:rsidRPr="008608E0">
        <w:rPr>
          <w:rFonts w:ascii="Times New Roman" w:hAnsi="Times New Roman"/>
          <w:sz w:val="20"/>
          <w:szCs w:val="20"/>
          <w:lang w:val="en-MY"/>
        </w:rPr>
        <w:t xml:space="preserve">Qin, H., Hu, X., Wang, J., Cheng, H., Chen, L. and Qi, Z. (2020). Overview of acidic deep eutectic solvents on synthesis, properties and applications. </w:t>
      </w:r>
      <w:r w:rsidRPr="008608E0">
        <w:rPr>
          <w:rFonts w:ascii="Times New Roman" w:hAnsi="Times New Roman"/>
          <w:i/>
          <w:sz w:val="20"/>
          <w:szCs w:val="20"/>
          <w:lang w:val="en-MY"/>
        </w:rPr>
        <w:t>Green Energy and Environment</w:t>
      </w:r>
      <w:r w:rsidRPr="008608E0">
        <w:rPr>
          <w:rFonts w:ascii="Times New Roman" w:hAnsi="Times New Roman"/>
          <w:sz w:val="20"/>
          <w:szCs w:val="20"/>
          <w:lang w:val="en-MY"/>
        </w:rPr>
        <w:t xml:space="preserve">, </w:t>
      </w:r>
      <w:r w:rsidRPr="008608E0">
        <w:rPr>
          <w:rFonts w:ascii="Times New Roman" w:hAnsi="Times New Roman"/>
          <w:iCs/>
          <w:sz w:val="20"/>
          <w:szCs w:val="20"/>
          <w:lang w:val="en-MY"/>
        </w:rPr>
        <w:t>5</w:t>
      </w:r>
      <w:r w:rsidRPr="008608E0">
        <w:rPr>
          <w:rFonts w:ascii="Times New Roman" w:hAnsi="Times New Roman"/>
          <w:sz w:val="20"/>
          <w:szCs w:val="20"/>
          <w:lang w:val="en-MY"/>
        </w:rPr>
        <w:t>(1): 8-21.</w:t>
      </w:r>
    </w:p>
    <w:p w14:paraId="0E40DA08" w14:textId="77777777" w:rsidR="00E25A80" w:rsidRPr="008608E0" w:rsidRDefault="00F676D9" w:rsidP="008608E0">
      <w:pPr>
        <w:pStyle w:val="ListParagraph"/>
        <w:numPr>
          <w:ilvl w:val="1"/>
          <w:numId w:val="1"/>
        </w:numPr>
        <w:tabs>
          <w:tab w:val="clear" w:pos="1440"/>
        </w:tabs>
        <w:spacing w:after="0"/>
        <w:ind w:left="360"/>
        <w:jc w:val="both"/>
        <w:rPr>
          <w:rFonts w:ascii="Times New Roman" w:hAnsi="Times New Roman"/>
          <w:sz w:val="20"/>
          <w:szCs w:val="20"/>
          <w:lang w:val="en-MY"/>
        </w:rPr>
      </w:pPr>
      <w:r w:rsidRPr="008608E0">
        <w:rPr>
          <w:rFonts w:ascii="Times New Roman" w:hAnsi="Times New Roman"/>
          <w:sz w:val="20"/>
          <w:szCs w:val="20"/>
          <w:lang w:val="en-MY"/>
        </w:rPr>
        <w:t xml:space="preserve">Zante, G. and Boltoeva, M. (2020). Review on hydrometallurgical recovery of metals with deep eutectic solvents. </w:t>
      </w:r>
      <w:r w:rsidRPr="008608E0">
        <w:rPr>
          <w:rFonts w:ascii="Times New Roman" w:hAnsi="Times New Roman"/>
          <w:i/>
          <w:iCs/>
          <w:noProof/>
          <w:sz w:val="20"/>
          <w:szCs w:val="20"/>
        </w:rPr>
        <w:t>Sustainable Chemistry</w:t>
      </w:r>
      <w:r w:rsidRPr="008608E0">
        <w:rPr>
          <w:rFonts w:ascii="Times New Roman" w:hAnsi="Times New Roman"/>
          <w:noProof/>
          <w:sz w:val="20"/>
          <w:szCs w:val="20"/>
        </w:rPr>
        <w:t xml:space="preserve">, </w:t>
      </w:r>
      <w:r w:rsidRPr="008608E0">
        <w:rPr>
          <w:rFonts w:ascii="Times New Roman" w:hAnsi="Times New Roman"/>
          <w:iCs/>
          <w:sz w:val="20"/>
          <w:szCs w:val="20"/>
          <w:lang w:val="en-MY"/>
        </w:rPr>
        <w:t>1</w:t>
      </w:r>
      <w:r w:rsidRPr="008608E0">
        <w:rPr>
          <w:rFonts w:ascii="Times New Roman" w:hAnsi="Times New Roman"/>
          <w:sz w:val="20"/>
          <w:szCs w:val="20"/>
          <w:lang w:val="en-MY"/>
        </w:rPr>
        <w:t>(3): 238-255.</w:t>
      </w:r>
    </w:p>
    <w:p w14:paraId="2EEC7A3F" w14:textId="77777777" w:rsidR="00E25A80" w:rsidRPr="008608E0" w:rsidRDefault="00F676D9" w:rsidP="008608E0">
      <w:pPr>
        <w:pStyle w:val="ListParagraph"/>
        <w:numPr>
          <w:ilvl w:val="1"/>
          <w:numId w:val="1"/>
        </w:numPr>
        <w:tabs>
          <w:tab w:val="clear" w:pos="1440"/>
        </w:tabs>
        <w:spacing w:after="0"/>
        <w:ind w:left="360"/>
        <w:jc w:val="both"/>
        <w:rPr>
          <w:rFonts w:ascii="Times New Roman" w:hAnsi="Times New Roman"/>
          <w:sz w:val="20"/>
          <w:szCs w:val="20"/>
          <w:lang w:val="en-MY"/>
        </w:rPr>
      </w:pPr>
      <w:r w:rsidRPr="008608E0">
        <w:rPr>
          <w:rFonts w:ascii="Times New Roman" w:hAnsi="Times New Roman"/>
          <w:sz w:val="20"/>
          <w:szCs w:val="20"/>
          <w:lang w:val="en-MY"/>
        </w:rPr>
        <w:t xml:space="preserve">Cen, P., Spahiu, K., Tyumentsev, M. S. and Foreman, M. R. S. J. (2020). Metal extraction from a deep eutectic solvent, an insight into activities. </w:t>
      </w:r>
      <w:r w:rsidRPr="008608E0">
        <w:rPr>
          <w:rFonts w:ascii="Times New Roman" w:hAnsi="Times New Roman"/>
          <w:i/>
          <w:iCs/>
          <w:sz w:val="20"/>
          <w:szCs w:val="20"/>
          <w:lang w:val="en-MY"/>
        </w:rPr>
        <w:t>Physical Chemistry Chemical Physics</w:t>
      </w:r>
      <w:r w:rsidRPr="008608E0">
        <w:rPr>
          <w:rFonts w:ascii="Times New Roman" w:hAnsi="Times New Roman"/>
          <w:sz w:val="20"/>
          <w:szCs w:val="20"/>
          <w:lang w:val="en-MY"/>
        </w:rPr>
        <w:t xml:space="preserve">, </w:t>
      </w:r>
      <w:r w:rsidRPr="008608E0">
        <w:rPr>
          <w:rFonts w:ascii="Times New Roman" w:hAnsi="Times New Roman"/>
          <w:iCs/>
          <w:sz w:val="20"/>
          <w:szCs w:val="20"/>
          <w:lang w:val="en-MY"/>
        </w:rPr>
        <w:t>22</w:t>
      </w:r>
      <w:r w:rsidRPr="008608E0">
        <w:rPr>
          <w:rFonts w:ascii="Times New Roman" w:hAnsi="Times New Roman"/>
          <w:sz w:val="20"/>
          <w:szCs w:val="20"/>
          <w:lang w:val="en-MY"/>
        </w:rPr>
        <w:t>(19): 11012-11024.</w:t>
      </w:r>
    </w:p>
    <w:p w14:paraId="7B678393" w14:textId="77777777" w:rsidR="00E25A80" w:rsidRPr="008608E0" w:rsidRDefault="00F676D9" w:rsidP="008608E0">
      <w:pPr>
        <w:pStyle w:val="ListParagraph"/>
        <w:numPr>
          <w:ilvl w:val="1"/>
          <w:numId w:val="1"/>
        </w:numPr>
        <w:tabs>
          <w:tab w:val="clear" w:pos="1440"/>
        </w:tabs>
        <w:spacing w:after="0"/>
        <w:ind w:left="360"/>
        <w:jc w:val="both"/>
        <w:rPr>
          <w:rFonts w:ascii="Times New Roman" w:hAnsi="Times New Roman"/>
          <w:sz w:val="20"/>
          <w:szCs w:val="20"/>
          <w:lang w:val="en-MY"/>
        </w:rPr>
      </w:pPr>
      <w:r w:rsidRPr="008608E0">
        <w:rPr>
          <w:rFonts w:ascii="Times New Roman" w:hAnsi="Times New Roman"/>
          <w:sz w:val="20"/>
          <w:szCs w:val="20"/>
          <w:lang w:val="en-MY"/>
        </w:rPr>
        <w:t>Paiva, A., Craveiro, R., Aroso, I., Martins, M., Reis, R. L. and Duarte, A. R. C. (2014). Natural deep eutectic solvents – solvents for the 21</w:t>
      </w:r>
      <w:r w:rsidRPr="008608E0">
        <w:rPr>
          <w:rFonts w:ascii="Times New Roman" w:hAnsi="Times New Roman"/>
          <w:sz w:val="20"/>
          <w:szCs w:val="20"/>
          <w:vertAlign w:val="superscript"/>
          <w:lang w:val="en-MY"/>
        </w:rPr>
        <w:t>st</w:t>
      </w:r>
      <w:r w:rsidRPr="008608E0">
        <w:rPr>
          <w:rFonts w:ascii="Times New Roman" w:hAnsi="Times New Roman"/>
          <w:sz w:val="20"/>
          <w:szCs w:val="20"/>
          <w:lang w:val="en-MY"/>
        </w:rPr>
        <w:t xml:space="preserve"> century. </w:t>
      </w:r>
      <w:r w:rsidRPr="008608E0">
        <w:rPr>
          <w:rFonts w:ascii="Times New Roman" w:hAnsi="Times New Roman"/>
          <w:i/>
          <w:iCs/>
          <w:sz w:val="20"/>
          <w:szCs w:val="20"/>
          <w:lang w:val="en-MY"/>
        </w:rPr>
        <w:t>ACS Sustainable Chemistry &amp; Engineering</w:t>
      </w:r>
      <w:r w:rsidRPr="008608E0">
        <w:rPr>
          <w:rFonts w:ascii="Times New Roman" w:hAnsi="Times New Roman"/>
          <w:sz w:val="20"/>
          <w:szCs w:val="20"/>
          <w:lang w:val="en-MY"/>
        </w:rPr>
        <w:t xml:space="preserve">, </w:t>
      </w:r>
      <w:r w:rsidRPr="008608E0">
        <w:rPr>
          <w:rFonts w:ascii="Times New Roman" w:hAnsi="Times New Roman"/>
          <w:iCs/>
          <w:sz w:val="20"/>
          <w:szCs w:val="20"/>
          <w:lang w:val="en-MY"/>
        </w:rPr>
        <w:t>2</w:t>
      </w:r>
      <w:r w:rsidRPr="008608E0">
        <w:rPr>
          <w:rFonts w:ascii="Times New Roman" w:hAnsi="Times New Roman"/>
          <w:sz w:val="20"/>
          <w:szCs w:val="20"/>
          <w:lang w:val="en-MY"/>
        </w:rPr>
        <w:t>(5): 1063- 1071.</w:t>
      </w:r>
    </w:p>
    <w:p w14:paraId="1A12B9EB" w14:textId="77777777" w:rsidR="00E25A80" w:rsidRPr="008608E0" w:rsidRDefault="00F676D9" w:rsidP="008608E0">
      <w:pPr>
        <w:pStyle w:val="ListParagraph"/>
        <w:numPr>
          <w:ilvl w:val="1"/>
          <w:numId w:val="1"/>
        </w:numPr>
        <w:tabs>
          <w:tab w:val="clear" w:pos="1440"/>
        </w:tabs>
        <w:spacing w:after="0"/>
        <w:ind w:left="360"/>
        <w:jc w:val="both"/>
        <w:rPr>
          <w:rFonts w:ascii="Times New Roman" w:hAnsi="Times New Roman"/>
          <w:sz w:val="20"/>
          <w:szCs w:val="20"/>
          <w:lang w:val="en-MY"/>
        </w:rPr>
      </w:pPr>
      <w:r w:rsidRPr="008608E0">
        <w:rPr>
          <w:rFonts w:ascii="Times New Roman" w:hAnsi="Times New Roman"/>
          <w:sz w:val="20"/>
          <w:szCs w:val="20"/>
          <w:lang w:val="en-MY"/>
        </w:rPr>
        <w:t xml:space="preserve">Mendonça, P. V., Lima, M. S., Guliashvili, T., Serra, A. C. and Coelho, J. F. (2017). Deep eutectic solvents (DES): Excellent green solvents for rapid SARA ATRP of biorelevant hydrophilic monomers at ambient temperature. </w:t>
      </w:r>
      <w:r w:rsidRPr="008608E0">
        <w:rPr>
          <w:rFonts w:ascii="Times New Roman" w:hAnsi="Times New Roman"/>
          <w:i/>
          <w:sz w:val="20"/>
          <w:szCs w:val="20"/>
          <w:lang w:val="en-MY"/>
        </w:rPr>
        <w:t>Polymer</w:t>
      </w:r>
      <w:r w:rsidRPr="008608E0">
        <w:rPr>
          <w:rFonts w:ascii="Times New Roman" w:hAnsi="Times New Roman"/>
          <w:sz w:val="20"/>
          <w:szCs w:val="20"/>
          <w:lang w:val="en-MY"/>
        </w:rPr>
        <w:t xml:space="preserve">, </w:t>
      </w:r>
      <w:r w:rsidRPr="008608E0">
        <w:rPr>
          <w:rFonts w:ascii="Times New Roman" w:hAnsi="Times New Roman"/>
          <w:iCs/>
          <w:sz w:val="20"/>
          <w:szCs w:val="20"/>
          <w:lang w:val="en-MY"/>
        </w:rPr>
        <w:t>132</w:t>
      </w:r>
      <w:r w:rsidRPr="008608E0">
        <w:rPr>
          <w:rFonts w:ascii="Times New Roman" w:hAnsi="Times New Roman"/>
          <w:sz w:val="20"/>
          <w:szCs w:val="20"/>
          <w:lang w:val="en-MY"/>
        </w:rPr>
        <w:t>: 114-121.</w:t>
      </w:r>
    </w:p>
    <w:p w14:paraId="27811B10" w14:textId="77777777" w:rsidR="00E25A80" w:rsidRPr="008608E0" w:rsidRDefault="00F676D9" w:rsidP="008608E0">
      <w:pPr>
        <w:pStyle w:val="ListParagraph"/>
        <w:numPr>
          <w:ilvl w:val="1"/>
          <w:numId w:val="1"/>
        </w:numPr>
        <w:tabs>
          <w:tab w:val="clear" w:pos="1440"/>
        </w:tabs>
        <w:spacing w:after="0"/>
        <w:ind w:left="360"/>
        <w:jc w:val="both"/>
        <w:rPr>
          <w:rFonts w:ascii="Times New Roman" w:hAnsi="Times New Roman"/>
          <w:sz w:val="20"/>
          <w:szCs w:val="20"/>
          <w:lang w:val="en-MY"/>
        </w:rPr>
      </w:pPr>
      <w:r w:rsidRPr="008608E0">
        <w:rPr>
          <w:rFonts w:ascii="Times New Roman" w:hAnsi="Times New Roman"/>
          <w:sz w:val="20"/>
          <w:szCs w:val="20"/>
          <w:lang w:val="en-MY"/>
        </w:rPr>
        <w:t>Sánchez-Leija, R. J., Torres-Lubián, J. R., Reséndiz-Rubio, A., Luna-Bárcenas, G. and Mota-Morales, J. D. (2016). Enzyme-mediated free radical polymerization of acrylamide in deep eutectic solvents.</w:t>
      </w:r>
      <w:r w:rsidRPr="008608E0">
        <w:rPr>
          <w:rFonts w:ascii="Times New Roman" w:hAnsi="Times New Roman"/>
        </w:rPr>
        <w:t xml:space="preserve"> </w:t>
      </w:r>
      <w:r w:rsidRPr="008608E0">
        <w:rPr>
          <w:rFonts w:ascii="Times New Roman" w:hAnsi="Times New Roman"/>
          <w:i/>
          <w:iCs/>
          <w:sz w:val="20"/>
          <w:szCs w:val="20"/>
          <w:lang w:val="en-MY"/>
        </w:rPr>
        <w:t>RSC Advances,</w:t>
      </w:r>
      <w:r w:rsidRPr="008608E0">
        <w:rPr>
          <w:rFonts w:ascii="Times New Roman" w:hAnsi="Times New Roman"/>
          <w:sz w:val="20"/>
          <w:szCs w:val="20"/>
          <w:lang w:val="en-MY"/>
        </w:rPr>
        <w:t xml:space="preserve"> </w:t>
      </w:r>
      <w:r w:rsidRPr="008608E0">
        <w:rPr>
          <w:rFonts w:ascii="Times New Roman" w:hAnsi="Times New Roman"/>
          <w:iCs/>
          <w:sz w:val="20"/>
          <w:szCs w:val="20"/>
          <w:lang w:val="en-MY"/>
        </w:rPr>
        <w:t>6</w:t>
      </w:r>
      <w:r w:rsidRPr="008608E0">
        <w:rPr>
          <w:rFonts w:ascii="Times New Roman" w:hAnsi="Times New Roman"/>
          <w:sz w:val="20"/>
          <w:szCs w:val="20"/>
          <w:lang w:val="en-MY"/>
        </w:rPr>
        <w:t>(16): 13072-13079.</w:t>
      </w:r>
    </w:p>
    <w:p w14:paraId="60D451AD" w14:textId="77777777" w:rsidR="00E25A80" w:rsidRPr="008608E0" w:rsidRDefault="00F676D9" w:rsidP="008608E0">
      <w:pPr>
        <w:pStyle w:val="ListParagraph"/>
        <w:numPr>
          <w:ilvl w:val="1"/>
          <w:numId w:val="1"/>
        </w:numPr>
        <w:tabs>
          <w:tab w:val="clear" w:pos="1440"/>
        </w:tabs>
        <w:spacing w:after="0"/>
        <w:ind w:left="360"/>
        <w:jc w:val="both"/>
        <w:rPr>
          <w:rFonts w:ascii="Times New Roman" w:hAnsi="Times New Roman"/>
          <w:sz w:val="20"/>
          <w:szCs w:val="20"/>
          <w:lang w:val="en-MY"/>
        </w:rPr>
      </w:pPr>
      <w:r w:rsidRPr="008608E0">
        <w:rPr>
          <w:rFonts w:ascii="Times New Roman" w:hAnsi="Times New Roman"/>
          <w:sz w:val="20"/>
          <w:szCs w:val="20"/>
          <w:lang w:val="en-MY"/>
        </w:rPr>
        <w:t>Fernandes, P. M. V., Campiña, J. M., Pereira, N. M., Pereira, C. M. and Silva, F. (2012). Biodegradable deep-eutectic mixtures as electrolytes for the electrochemical synthesis of conducting polymers.</w:t>
      </w:r>
      <w:r w:rsidRPr="008608E0">
        <w:rPr>
          <w:rFonts w:ascii="Times New Roman" w:hAnsi="Times New Roman"/>
        </w:rPr>
        <w:t xml:space="preserve"> </w:t>
      </w:r>
      <w:r w:rsidRPr="008608E0">
        <w:rPr>
          <w:rFonts w:ascii="Times New Roman" w:hAnsi="Times New Roman"/>
          <w:i/>
          <w:iCs/>
          <w:sz w:val="20"/>
          <w:szCs w:val="20"/>
          <w:lang w:val="en-MY"/>
        </w:rPr>
        <w:t>Journal of Applied Electrochemistry</w:t>
      </w:r>
      <w:r w:rsidRPr="008608E0">
        <w:rPr>
          <w:rFonts w:ascii="Times New Roman" w:hAnsi="Times New Roman"/>
          <w:sz w:val="20"/>
          <w:szCs w:val="20"/>
          <w:lang w:val="en-MY"/>
        </w:rPr>
        <w:t xml:space="preserve">, </w:t>
      </w:r>
      <w:r w:rsidRPr="008608E0">
        <w:rPr>
          <w:rFonts w:ascii="Times New Roman" w:hAnsi="Times New Roman"/>
          <w:iCs/>
          <w:sz w:val="20"/>
          <w:szCs w:val="20"/>
          <w:lang w:val="en-MY"/>
        </w:rPr>
        <w:t>42</w:t>
      </w:r>
      <w:r w:rsidRPr="008608E0">
        <w:rPr>
          <w:rFonts w:ascii="Times New Roman" w:hAnsi="Times New Roman"/>
          <w:sz w:val="20"/>
          <w:szCs w:val="20"/>
          <w:lang w:val="en-MY"/>
        </w:rPr>
        <w:t>(12): 997-1003.</w:t>
      </w:r>
    </w:p>
    <w:p w14:paraId="1731CBCA" w14:textId="77777777" w:rsidR="00637B8D" w:rsidRDefault="00F676D9" w:rsidP="008608E0">
      <w:pPr>
        <w:pStyle w:val="ListParagraph"/>
        <w:numPr>
          <w:ilvl w:val="1"/>
          <w:numId w:val="1"/>
        </w:numPr>
        <w:tabs>
          <w:tab w:val="clear" w:pos="1440"/>
        </w:tabs>
        <w:spacing w:after="0"/>
        <w:ind w:left="360"/>
        <w:jc w:val="both"/>
        <w:rPr>
          <w:rFonts w:ascii="Times New Roman" w:hAnsi="Times New Roman"/>
          <w:sz w:val="20"/>
          <w:szCs w:val="20"/>
          <w:lang w:val="en-MY"/>
        </w:rPr>
      </w:pPr>
      <w:r w:rsidRPr="008608E0">
        <w:rPr>
          <w:rFonts w:ascii="Times New Roman" w:hAnsi="Times New Roman"/>
          <w:sz w:val="20"/>
          <w:szCs w:val="20"/>
          <w:lang w:val="en-MY"/>
        </w:rPr>
        <w:t xml:space="preserve">Mąka, H., Spychaj, T. and Adamus, J. (2015). Lewis acid type deep eutectic solvents as catalysts for epoxy resin crosslinking. </w:t>
      </w:r>
      <w:r w:rsidRPr="008608E0">
        <w:rPr>
          <w:rFonts w:ascii="Times New Roman" w:hAnsi="Times New Roman"/>
          <w:i/>
          <w:sz w:val="20"/>
          <w:szCs w:val="20"/>
          <w:lang w:val="en-MY"/>
        </w:rPr>
        <w:t>RSC Advances</w:t>
      </w:r>
      <w:r w:rsidRPr="008608E0">
        <w:rPr>
          <w:rFonts w:ascii="Times New Roman" w:hAnsi="Times New Roman"/>
          <w:sz w:val="20"/>
          <w:szCs w:val="20"/>
          <w:lang w:val="en-MY"/>
        </w:rPr>
        <w:t xml:space="preserve">, </w:t>
      </w:r>
      <w:r w:rsidRPr="008608E0">
        <w:rPr>
          <w:rFonts w:ascii="Times New Roman" w:hAnsi="Times New Roman"/>
          <w:iCs/>
          <w:sz w:val="20"/>
          <w:szCs w:val="20"/>
          <w:lang w:val="en-MY"/>
        </w:rPr>
        <w:t>5</w:t>
      </w:r>
      <w:r w:rsidRPr="008608E0">
        <w:rPr>
          <w:rFonts w:ascii="Times New Roman" w:hAnsi="Times New Roman"/>
          <w:sz w:val="20"/>
          <w:szCs w:val="20"/>
          <w:lang w:val="en-MY"/>
        </w:rPr>
        <w:t>(101): 82813-82821.</w:t>
      </w:r>
    </w:p>
    <w:p w14:paraId="5F42A9F9" w14:textId="52B8D0DF" w:rsidR="00637B8D" w:rsidRPr="00637B8D" w:rsidRDefault="00637B8D" w:rsidP="008608E0">
      <w:pPr>
        <w:pStyle w:val="ListParagraph"/>
        <w:numPr>
          <w:ilvl w:val="1"/>
          <w:numId w:val="1"/>
        </w:numPr>
        <w:tabs>
          <w:tab w:val="clear" w:pos="1440"/>
        </w:tabs>
        <w:spacing w:after="0"/>
        <w:ind w:left="360"/>
        <w:jc w:val="both"/>
        <w:rPr>
          <w:rFonts w:ascii="Times New Roman" w:hAnsi="Times New Roman"/>
          <w:sz w:val="20"/>
          <w:szCs w:val="20"/>
          <w:lang w:val="en-MY"/>
        </w:rPr>
        <w:sectPr w:rsidR="00637B8D" w:rsidRPr="00637B8D" w:rsidSect="008608E0">
          <w:footerReference w:type="default" r:id="rId31"/>
          <w:type w:val="continuous"/>
          <w:pgSz w:w="12240" w:h="15840" w:code="1"/>
          <w:pgMar w:top="1800" w:right="1469" w:bottom="1699" w:left="1440" w:header="706" w:footer="706" w:gutter="0"/>
          <w:pgNumType w:start="0"/>
          <w:cols w:num="2" w:space="403"/>
          <w:docGrid w:linePitch="360"/>
        </w:sectPr>
      </w:pPr>
    </w:p>
    <w:p w14:paraId="230B0756" w14:textId="63ED2BBF" w:rsidR="008608E0" w:rsidRPr="00637B8D" w:rsidRDefault="008608E0" w:rsidP="00637B8D">
      <w:pPr>
        <w:pStyle w:val="ListParagraph"/>
        <w:numPr>
          <w:ilvl w:val="1"/>
          <w:numId w:val="1"/>
        </w:numPr>
        <w:tabs>
          <w:tab w:val="clear" w:pos="1440"/>
        </w:tabs>
        <w:spacing w:after="0"/>
        <w:ind w:left="360"/>
        <w:jc w:val="both"/>
        <w:rPr>
          <w:rFonts w:ascii="Times New Roman" w:hAnsi="Times New Roman"/>
          <w:sz w:val="20"/>
          <w:szCs w:val="20"/>
          <w:lang w:val="en-MY"/>
        </w:rPr>
      </w:pPr>
      <w:r w:rsidRPr="00637B8D">
        <w:rPr>
          <w:rFonts w:ascii="Times New Roman" w:hAnsi="Times New Roman"/>
          <w:sz w:val="20"/>
          <w:szCs w:val="20"/>
          <w:lang w:val="en-MY"/>
        </w:rPr>
        <w:lastRenderedPageBreak/>
        <w:t xml:space="preserve">Chang, Y. H., Woi, P. M. and Alias, Y. B. (2021). Electrochemical characterization of melamine electropolymerized in deep eutectic solvents for selective detection of dopamine. </w:t>
      </w:r>
      <w:r w:rsidRPr="00637B8D">
        <w:rPr>
          <w:rFonts w:ascii="Times New Roman" w:hAnsi="Times New Roman"/>
          <w:i/>
          <w:sz w:val="20"/>
          <w:szCs w:val="20"/>
          <w:lang w:val="en-MY"/>
        </w:rPr>
        <w:t>Electrocatalysis,</w:t>
      </w:r>
      <w:r w:rsidRPr="00637B8D">
        <w:rPr>
          <w:rFonts w:ascii="Times New Roman" w:hAnsi="Times New Roman"/>
          <w:sz w:val="20"/>
          <w:szCs w:val="20"/>
          <w:lang w:val="en-MY"/>
        </w:rPr>
        <w:t xml:space="preserve"> </w:t>
      </w:r>
      <w:r w:rsidRPr="00637B8D">
        <w:rPr>
          <w:rFonts w:ascii="Times New Roman" w:hAnsi="Times New Roman"/>
          <w:iCs/>
          <w:sz w:val="20"/>
          <w:szCs w:val="20"/>
          <w:lang w:val="en-MY"/>
        </w:rPr>
        <w:t>12</w:t>
      </w:r>
      <w:r w:rsidRPr="00637B8D">
        <w:rPr>
          <w:rFonts w:ascii="Times New Roman" w:hAnsi="Times New Roman"/>
          <w:sz w:val="20"/>
          <w:szCs w:val="20"/>
          <w:lang w:val="en-MY"/>
        </w:rPr>
        <w:t>(3): 238-250.</w:t>
      </w:r>
    </w:p>
    <w:p w14:paraId="792535CC" w14:textId="77777777" w:rsidR="008608E0" w:rsidRDefault="008608E0" w:rsidP="008608E0">
      <w:pPr>
        <w:pStyle w:val="ListParagraph"/>
        <w:numPr>
          <w:ilvl w:val="1"/>
          <w:numId w:val="1"/>
        </w:numPr>
        <w:tabs>
          <w:tab w:val="clear" w:pos="1440"/>
        </w:tabs>
        <w:spacing w:after="0"/>
        <w:ind w:left="360"/>
        <w:jc w:val="both"/>
        <w:rPr>
          <w:rFonts w:ascii="Times New Roman" w:hAnsi="Times New Roman"/>
          <w:sz w:val="20"/>
          <w:szCs w:val="20"/>
          <w:lang w:val="en-MY"/>
        </w:rPr>
      </w:pPr>
      <w:r w:rsidRPr="00E25A80">
        <w:rPr>
          <w:rFonts w:ascii="Times New Roman" w:hAnsi="Times New Roman"/>
          <w:sz w:val="20"/>
          <w:szCs w:val="20"/>
          <w:lang w:val="en-MY"/>
        </w:rPr>
        <w:t xml:space="preserve">Chen, S., Liu, S., Wen, A., Zhang, J., Nie, H., Chen, J., Zeng, R., Long, Y., Jin, Y. and Mai, R. (2018). New insight into electropolymerization of melamine. I: Chloride promoted growth of polymelamine in different pH medium. </w:t>
      </w:r>
      <w:r w:rsidRPr="00E25A80">
        <w:rPr>
          <w:rFonts w:ascii="Times New Roman" w:hAnsi="Times New Roman"/>
          <w:i/>
          <w:iCs/>
          <w:noProof/>
          <w:sz w:val="20"/>
          <w:szCs w:val="20"/>
        </w:rPr>
        <w:t>Electrochimica Acta</w:t>
      </w:r>
      <w:r w:rsidRPr="00E25A80">
        <w:rPr>
          <w:rFonts w:ascii="Times New Roman" w:hAnsi="Times New Roman"/>
          <w:sz w:val="20"/>
          <w:szCs w:val="20"/>
          <w:lang w:val="en-MY"/>
        </w:rPr>
        <w:t xml:space="preserve">, </w:t>
      </w:r>
      <w:r w:rsidRPr="00E25A80">
        <w:rPr>
          <w:rFonts w:ascii="Times New Roman" w:hAnsi="Times New Roman"/>
          <w:iCs/>
          <w:sz w:val="20"/>
          <w:szCs w:val="20"/>
          <w:lang w:val="en-MY"/>
        </w:rPr>
        <w:t>271</w:t>
      </w:r>
      <w:r w:rsidRPr="00E25A80">
        <w:rPr>
          <w:rFonts w:ascii="Times New Roman" w:hAnsi="Times New Roman"/>
          <w:sz w:val="20"/>
          <w:szCs w:val="20"/>
          <w:lang w:val="en-MY"/>
        </w:rPr>
        <w:t>: 312-318.</w:t>
      </w:r>
    </w:p>
    <w:p w14:paraId="238DBEDC" w14:textId="77777777" w:rsidR="008608E0" w:rsidRDefault="008608E0" w:rsidP="008608E0">
      <w:pPr>
        <w:pStyle w:val="ListParagraph"/>
        <w:numPr>
          <w:ilvl w:val="1"/>
          <w:numId w:val="1"/>
        </w:numPr>
        <w:tabs>
          <w:tab w:val="clear" w:pos="1440"/>
        </w:tabs>
        <w:spacing w:after="0"/>
        <w:ind w:left="360"/>
        <w:jc w:val="both"/>
        <w:rPr>
          <w:rFonts w:ascii="Times New Roman" w:hAnsi="Times New Roman"/>
          <w:sz w:val="20"/>
          <w:szCs w:val="20"/>
          <w:lang w:val="en-MY"/>
        </w:rPr>
      </w:pPr>
      <w:r w:rsidRPr="00E25A80">
        <w:rPr>
          <w:rFonts w:ascii="Times New Roman" w:hAnsi="Times New Roman"/>
          <w:sz w:val="20"/>
          <w:szCs w:val="20"/>
          <w:lang w:val="en-MY"/>
        </w:rPr>
        <w:t xml:space="preserve">Migliorati, V., Sessa, F. and D’Angelo, P. (2019). Deep eutectic solvents: A structural point of view </w:t>
      </w:r>
      <w:r w:rsidRPr="00E25A80">
        <w:rPr>
          <w:rFonts w:ascii="Times New Roman" w:hAnsi="Times New Roman"/>
          <w:sz w:val="20"/>
          <w:szCs w:val="20"/>
          <w:lang w:val="en-MY"/>
        </w:rPr>
        <w:t xml:space="preserve">on the role of the cation. </w:t>
      </w:r>
      <w:r w:rsidRPr="00E25A80">
        <w:rPr>
          <w:rFonts w:ascii="Times New Roman" w:hAnsi="Times New Roman"/>
          <w:i/>
          <w:iCs/>
          <w:noProof/>
          <w:sz w:val="20"/>
          <w:szCs w:val="20"/>
        </w:rPr>
        <w:t xml:space="preserve">Chemical Physics Letters, </w:t>
      </w:r>
      <w:r w:rsidRPr="00E25A80">
        <w:rPr>
          <w:rFonts w:ascii="Times New Roman" w:hAnsi="Times New Roman"/>
          <w:iCs/>
          <w:sz w:val="20"/>
          <w:szCs w:val="20"/>
          <w:lang w:val="en-MY"/>
        </w:rPr>
        <w:t>2</w:t>
      </w:r>
      <w:r w:rsidRPr="00E25A80">
        <w:rPr>
          <w:rFonts w:ascii="Times New Roman" w:hAnsi="Times New Roman"/>
          <w:sz w:val="20"/>
          <w:szCs w:val="20"/>
          <w:lang w:val="en-MY"/>
        </w:rPr>
        <w:t>: 100001.</w:t>
      </w:r>
    </w:p>
    <w:p w14:paraId="0FDFB932" w14:textId="77777777" w:rsidR="008608E0" w:rsidRDefault="008608E0" w:rsidP="008608E0">
      <w:pPr>
        <w:pStyle w:val="ListParagraph"/>
        <w:numPr>
          <w:ilvl w:val="1"/>
          <w:numId w:val="1"/>
        </w:numPr>
        <w:tabs>
          <w:tab w:val="clear" w:pos="1440"/>
        </w:tabs>
        <w:spacing w:after="0"/>
        <w:ind w:left="360"/>
        <w:jc w:val="both"/>
        <w:rPr>
          <w:rFonts w:ascii="Times New Roman" w:hAnsi="Times New Roman"/>
          <w:sz w:val="20"/>
          <w:szCs w:val="20"/>
          <w:lang w:val="en-MY"/>
        </w:rPr>
      </w:pPr>
      <w:r w:rsidRPr="00E25A80">
        <w:rPr>
          <w:rFonts w:ascii="Times New Roman" w:hAnsi="Times New Roman"/>
          <w:sz w:val="20"/>
          <w:szCs w:val="20"/>
          <w:lang w:val="en-MY"/>
        </w:rPr>
        <w:t xml:space="preserve">Li, R., Lin, C. W., Shao, Y., Chang, C., Yao, F. K., Kowal, M., Wang, H., Yeung, M., Huang, S. C. and Kaner, R. (2016). Characterization of aniline tetramer by MALDI TOF mass spectrometry upon oxidative and reductive cycling. </w:t>
      </w:r>
      <w:r w:rsidRPr="00E25A80">
        <w:rPr>
          <w:rFonts w:ascii="Times New Roman" w:hAnsi="Times New Roman"/>
          <w:i/>
          <w:sz w:val="20"/>
          <w:szCs w:val="20"/>
          <w:lang w:val="en-MY"/>
        </w:rPr>
        <w:t>Polymers</w:t>
      </w:r>
      <w:r w:rsidRPr="00E25A80">
        <w:rPr>
          <w:rFonts w:ascii="Times New Roman" w:hAnsi="Times New Roman"/>
          <w:sz w:val="20"/>
          <w:szCs w:val="20"/>
          <w:lang w:val="en-MY"/>
        </w:rPr>
        <w:t xml:space="preserve">, </w:t>
      </w:r>
      <w:r w:rsidRPr="00E25A80">
        <w:rPr>
          <w:rFonts w:ascii="Times New Roman" w:hAnsi="Times New Roman"/>
          <w:iCs/>
          <w:sz w:val="20"/>
          <w:szCs w:val="20"/>
          <w:lang w:val="en-MY"/>
        </w:rPr>
        <w:t>8</w:t>
      </w:r>
      <w:r w:rsidRPr="00E25A80">
        <w:rPr>
          <w:rFonts w:ascii="Times New Roman" w:hAnsi="Times New Roman"/>
          <w:sz w:val="20"/>
          <w:szCs w:val="20"/>
          <w:lang w:val="en-MY"/>
        </w:rPr>
        <w:t>(11): 401.</w:t>
      </w:r>
    </w:p>
    <w:p w14:paraId="14D05A48" w14:textId="77777777" w:rsidR="008608E0" w:rsidRPr="00E25A80" w:rsidRDefault="008608E0" w:rsidP="008608E0">
      <w:pPr>
        <w:pStyle w:val="ListParagraph"/>
        <w:numPr>
          <w:ilvl w:val="1"/>
          <w:numId w:val="1"/>
        </w:numPr>
        <w:tabs>
          <w:tab w:val="clear" w:pos="1440"/>
        </w:tabs>
        <w:spacing w:after="0"/>
        <w:ind w:left="360"/>
        <w:jc w:val="both"/>
        <w:rPr>
          <w:rFonts w:ascii="Times New Roman" w:hAnsi="Times New Roman"/>
          <w:sz w:val="20"/>
          <w:szCs w:val="20"/>
          <w:lang w:val="en-MY"/>
        </w:rPr>
      </w:pPr>
      <w:r w:rsidRPr="00E25A80">
        <w:rPr>
          <w:rFonts w:ascii="Times New Roman" w:hAnsi="Times New Roman"/>
          <w:sz w:val="20"/>
          <w:szCs w:val="20"/>
          <w:lang w:val="en-MY"/>
        </w:rPr>
        <w:t xml:space="preserve">Gabrielli, C., Huet, F. and Keddam, M. (1993). Fluctuations in electrochemical systems. I. General theory on diffusion limited electrochemical reactions. </w:t>
      </w:r>
      <w:r w:rsidRPr="00E25A80">
        <w:rPr>
          <w:rFonts w:ascii="Times New Roman" w:hAnsi="Times New Roman"/>
          <w:i/>
          <w:iCs/>
          <w:sz w:val="20"/>
          <w:szCs w:val="20"/>
          <w:lang w:val="en-MY"/>
        </w:rPr>
        <w:t>The Journal of Chemical Physics</w:t>
      </w:r>
      <w:r w:rsidRPr="00E25A80">
        <w:rPr>
          <w:rFonts w:ascii="Times New Roman" w:hAnsi="Times New Roman"/>
          <w:sz w:val="20"/>
          <w:szCs w:val="20"/>
          <w:lang w:val="en-MY"/>
        </w:rPr>
        <w:t>, 99: 7232.</w:t>
      </w:r>
    </w:p>
    <w:p w14:paraId="5A2FC2D3" w14:textId="007119EF" w:rsidR="008608E0" w:rsidRPr="008608E0" w:rsidRDefault="008608E0" w:rsidP="008608E0">
      <w:pPr>
        <w:spacing w:after="0"/>
        <w:jc w:val="both"/>
        <w:rPr>
          <w:rFonts w:ascii="Times New Roman" w:hAnsi="Times New Roman"/>
          <w:sz w:val="20"/>
          <w:szCs w:val="20"/>
          <w:lang w:val="en-MY"/>
        </w:rPr>
        <w:sectPr w:rsidR="008608E0" w:rsidRPr="008608E0" w:rsidSect="00637B8D">
          <w:type w:val="oddPage"/>
          <w:pgSz w:w="12240" w:h="15840" w:code="1"/>
          <w:pgMar w:top="1800" w:right="1469" w:bottom="1699" w:left="1440" w:header="706" w:footer="706" w:gutter="0"/>
          <w:pgNumType w:start="0"/>
          <w:cols w:num="2" w:space="403"/>
          <w:docGrid w:linePitch="360"/>
        </w:sectPr>
      </w:pPr>
    </w:p>
    <w:p w14:paraId="28953905" w14:textId="77777777" w:rsidR="004D546E" w:rsidRPr="00EB1E77" w:rsidRDefault="004D546E" w:rsidP="004D546E">
      <w:pPr>
        <w:jc w:val="center"/>
        <w:outlineLvl w:val="0"/>
        <w:rPr>
          <w:rFonts w:ascii="Times New Roman" w:hAnsi="Times New Roman"/>
          <w:b/>
          <w:szCs w:val="20"/>
        </w:rPr>
      </w:pPr>
    </w:p>
    <w:p w14:paraId="4CE32F05" w14:textId="29A33355" w:rsidR="004D546E" w:rsidRPr="00383C16" w:rsidRDefault="004D546E" w:rsidP="004D546E">
      <w:pPr>
        <w:spacing w:after="0"/>
        <w:jc w:val="both"/>
        <w:rPr>
          <w:rFonts w:ascii="Times New Roman" w:hAnsi="Times New Roman"/>
          <w:noProof/>
          <w:sz w:val="20"/>
          <w:szCs w:val="20"/>
          <w:lang w:bidi="ar-SA"/>
        </w:rPr>
      </w:pPr>
    </w:p>
    <w:sectPr w:rsidR="004D546E" w:rsidRPr="00383C16" w:rsidSect="001D1A16">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E8EE3" w14:textId="77777777" w:rsidR="00CF128C" w:rsidRDefault="00CF128C" w:rsidP="00FB4C59">
      <w:pPr>
        <w:spacing w:after="0" w:line="240" w:lineRule="auto"/>
      </w:pPr>
      <w:r>
        <w:separator/>
      </w:r>
    </w:p>
  </w:endnote>
  <w:endnote w:type="continuationSeparator" w:id="0">
    <w:p w14:paraId="0F1D5A42" w14:textId="77777777" w:rsidR="00CF128C" w:rsidRDefault="00CF128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Droid San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52BAAFE5"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37B8D">
      <w:rPr>
        <w:rFonts w:ascii="Times New Roman" w:hAnsi="Times New Roman"/>
        <w:lang w:val="en-MY"/>
      </w:rPr>
      <w:t>2</w:t>
    </w:r>
    <w:r>
      <w:rPr>
        <w:rFonts w:ascii="Times New Roman" w:hAnsi="Times New Roman"/>
        <w:lang w:val="en-US"/>
      </w:rPr>
      <w:t>0</w:t>
    </w:r>
    <w:r w:rsidR="00637B8D">
      <w:rPr>
        <w:rFonts w:ascii="Times New Roman" w:hAnsi="Times New Roman"/>
        <w:lang w:val="en-US"/>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46F9ACE4" w:rsidR="00D75B35" w:rsidRPr="004B43FF" w:rsidRDefault="00637B8D">
    <w:pPr>
      <w:pStyle w:val="Footer"/>
      <w:rPr>
        <w:rFonts w:ascii="Times New Roman" w:hAnsi="Times New Roman"/>
        <w:lang w:val="en-US"/>
      </w:rPr>
    </w:pPr>
    <w:r>
      <w:rPr>
        <w:rFonts w:ascii="Times New Roman" w:hAnsi="Times New Roman"/>
        <w:noProof/>
        <w:lang w:val="en-US"/>
      </w:rPr>
      <w:t>203</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EB364" w14:textId="56E57CA8" w:rsidR="008F36C2" w:rsidRDefault="008F36C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r w:rsidR="00637B8D">
      <w:rPr>
        <w:rFonts w:ascii="Times New Roman" w:hAnsi="Times New Roman"/>
        <w:lang w:val="en-US"/>
      </w:rPr>
      <w:t>04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6178A" w14:textId="11B75395" w:rsidR="008F36C2" w:rsidRPr="004B43FF" w:rsidRDefault="00637B8D">
    <w:pPr>
      <w:pStyle w:val="Footer"/>
      <w:rPr>
        <w:rFonts w:ascii="Times New Roman" w:hAnsi="Times New Roman"/>
        <w:lang w:val="en-US"/>
      </w:rPr>
    </w:pPr>
    <w:r>
      <w:rPr>
        <w:rFonts w:ascii="Times New Roman" w:hAnsi="Times New Roman"/>
        <w:noProof/>
        <w:lang w:val="en-US"/>
      </w:rPr>
      <w:t>205</w:t>
    </w:r>
    <w:r w:rsidR="008F36C2" w:rsidRPr="0069547D">
      <w:rPr>
        <w:rFonts w:ascii="Times New Roman" w:hAnsi="Times New Roman"/>
        <w:noProof/>
        <w:lang w:val="en-US"/>
      </w:rPr>
      <w:ptab w:relativeTo="margin" w:alignment="center" w:leader="none"/>
    </w:r>
    <w:r w:rsidR="008F36C2"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4306F" w14:textId="321DF216" w:rsidR="008F36C2" w:rsidRDefault="008F36C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37B8D">
      <w:rPr>
        <w:rFonts w:ascii="Times New Roman" w:hAnsi="Times New Roman"/>
        <w:lang w:val="en-US"/>
      </w:rPr>
      <w:t>206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CFFAA" w14:textId="71CCB51E" w:rsidR="008F36C2" w:rsidRPr="004B43FF" w:rsidRDefault="00637B8D">
    <w:pPr>
      <w:pStyle w:val="Footer"/>
      <w:rPr>
        <w:rFonts w:ascii="Times New Roman" w:hAnsi="Times New Roman"/>
        <w:lang w:val="en-US"/>
      </w:rPr>
    </w:pPr>
    <w:r>
      <w:rPr>
        <w:rFonts w:ascii="Times New Roman" w:hAnsi="Times New Roman"/>
        <w:noProof/>
        <w:lang w:val="en-US"/>
      </w:rPr>
      <w:t>207</w:t>
    </w:r>
    <w:r w:rsidR="008F36C2" w:rsidRPr="0069547D">
      <w:rPr>
        <w:rFonts w:ascii="Times New Roman" w:hAnsi="Times New Roman"/>
        <w:noProof/>
        <w:lang w:val="en-US"/>
      </w:rPr>
      <w:ptab w:relativeTo="margin" w:alignment="center" w:leader="none"/>
    </w:r>
    <w:r w:rsidR="008F36C2"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C2D5C" w14:textId="4C1E4625" w:rsidR="008F36C2" w:rsidRDefault="008F36C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37B8D">
      <w:rPr>
        <w:rFonts w:ascii="Times New Roman" w:hAnsi="Times New Roman"/>
        <w:lang w:val="en-US"/>
      </w:rPr>
      <w:t>208</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2B844" w14:textId="2FAFCBD8" w:rsidR="008F36C2" w:rsidRPr="004B43FF" w:rsidRDefault="00637B8D">
    <w:pPr>
      <w:pStyle w:val="Footer"/>
      <w:rPr>
        <w:rFonts w:ascii="Times New Roman" w:hAnsi="Times New Roman"/>
        <w:lang w:val="en-US"/>
      </w:rPr>
    </w:pPr>
    <w:r>
      <w:rPr>
        <w:rFonts w:ascii="Times New Roman" w:hAnsi="Times New Roman"/>
        <w:noProof/>
        <w:lang w:val="en-US"/>
      </w:rPr>
      <w:t>209</w:t>
    </w:r>
    <w:r w:rsidR="008F36C2" w:rsidRPr="0069547D">
      <w:rPr>
        <w:rFonts w:ascii="Times New Roman" w:hAnsi="Times New Roman"/>
        <w:noProof/>
        <w:lang w:val="en-US"/>
      </w:rPr>
      <w:ptab w:relativeTo="margin" w:alignment="center" w:leader="none"/>
    </w:r>
    <w:r w:rsidR="008F36C2"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2955E" w14:textId="346AC73E" w:rsidR="008F36C2" w:rsidRDefault="008F36C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37B8D">
      <w:rPr>
        <w:rFonts w:ascii="Times New Roman" w:hAnsi="Times New Roman"/>
        <w:lang w:val="en-US"/>
      </w:rPr>
      <w:t>210</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150F9" w14:textId="41D2D0B1" w:rsidR="008F36C2" w:rsidRDefault="008F36C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37B8D">
      <w:rPr>
        <w:rFonts w:ascii="Times New Roman" w:hAnsi="Times New Roman"/>
        <w:lang w:val="en-US"/>
      </w:rPr>
      <w:t>212</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16FEC" w14:textId="3DF13370" w:rsidR="008F36C2" w:rsidRPr="004B43FF" w:rsidRDefault="00637B8D">
    <w:pPr>
      <w:pStyle w:val="Footer"/>
      <w:rPr>
        <w:rFonts w:ascii="Times New Roman" w:hAnsi="Times New Roman"/>
        <w:lang w:val="en-US"/>
      </w:rPr>
    </w:pPr>
    <w:r>
      <w:rPr>
        <w:rFonts w:ascii="Times New Roman" w:hAnsi="Times New Roman"/>
        <w:noProof/>
        <w:lang w:val="en-US"/>
      </w:rPr>
      <w:t>211</w:t>
    </w:r>
    <w:r w:rsidR="008F36C2" w:rsidRPr="0069547D">
      <w:rPr>
        <w:rFonts w:ascii="Times New Roman" w:hAnsi="Times New Roman"/>
        <w:noProof/>
        <w:lang w:val="en-US"/>
      </w:rPr>
      <w:ptab w:relativeTo="margin" w:alignment="center" w:leader="none"/>
    </w:r>
    <w:r w:rsidR="008F36C2" w:rsidRPr="0069547D">
      <w:rPr>
        <w:rFonts w:ascii="Times New Roman" w:hAnsi="Times New Roman"/>
        <w:noProof/>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DD051" w14:textId="4DAAAC06" w:rsidR="008F36C2" w:rsidRPr="004B43FF" w:rsidRDefault="00637B8D">
    <w:pPr>
      <w:pStyle w:val="Footer"/>
      <w:rPr>
        <w:rFonts w:ascii="Times New Roman" w:hAnsi="Times New Roman"/>
        <w:lang w:val="en-US"/>
      </w:rPr>
    </w:pPr>
    <w:r>
      <w:rPr>
        <w:rFonts w:ascii="Times New Roman" w:hAnsi="Times New Roman"/>
        <w:noProof/>
        <w:lang w:val="en-US"/>
      </w:rPr>
      <w:t>2</w:t>
    </w:r>
    <w:r w:rsidR="008F36C2">
      <w:rPr>
        <w:rFonts w:ascii="Times New Roman" w:hAnsi="Times New Roman"/>
        <w:noProof/>
        <w:lang w:val="en-US"/>
      </w:rPr>
      <w:t>1</w:t>
    </w:r>
    <w:r>
      <w:rPr>
        <w:rFonts w:ascii="Times New Roman" w:hAnsi="Times New Roman"/>
        <w:noProof/>
        <w:lang w:val="en-US"/>
      </w:rPr>
      <w:t>3</w:t>
    </w:r>
    <w:r w:rsidR="008F36C2" w:rsidRPr="0069547D">
      <w:rPr>
        <w:rFonts w:ascii="Times New Roman" w:hAnsi="Times New Roman"/>
        <w:noProof/>
        <w:lang w:val="en-US"/>
      </w:rPr>
      <w:ptab w:relativeTo="margin" w:alignment="center" w:leader="none"/>
    </w:r>
    <w:r w:rsidR="008F36C2"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60C4D" w14:textId="77777777" w:rsidR="00CF128C" w:rsidRDefault="00CF128C" w:rsidP="00FB4C59">
      <w:pPr>
        <w:spacing w:after="0" w:line="240" w:lineRule="auto"/>
      </w:pPr>
      <w:r>
        <w:separator/>
      </w:r>
    </w:p>
  </w:footnote>
  <w:footnote w:type="continuationSeparator" w:id="0">
    <w:p w14:paraId="3DAB91F4" w14:textId="77777777" w:rsidR="00CF128C" w:rsidRDefault="00CF128C"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1590B7AF"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F62342">
      <w:rPr>
        <w:rFonts w:ascii="Times New Roman" w:hAnsi="Times New Roman"/>
        <w:i/>
        <w:lang w:val="en-US"/>
      </w:rPr>
      <w:t>6</w:t>
    </w:r>
    <w:r w:rsidR="00CF05FF">
      <w:rPr>
        <w:rFonts w:ascii="Times New Roman" w:hAnsi="Times New Roman"/>
        <w:i/>
      </w:rPr>
      <w:t xml:space="preserve"> </w:t>
    </w:r>
    <w:r w:rsidR="000944A8">
      <w:rPr>
        <w:rFonts w:ascii="Times New Roman" w:hAnsi="Times New Roman"/>
        <w:i/>
        <w:lang w:val="en-US"/>
      </w:rPr>
      <w:t xml:space="preserve">No </w:t>
    </w:r>
    <w:r w:rsidR="00917A23">
      <w:rPr>
        <w:rFonts w:ascii="Times New Roman" w:hAnsi="Times New Roman"/>
        <w:i/>
        <w:lang w:val="en-US"/>
      </w:rPr>
      <w:t>2</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F62342">
      <w:rPr>
        <w:rFonts w:ascii="Times New Roman" w:hAnsi="Times New Roman"/>
        <w:i/>
        <w:lang w:val="en-MY"/>
      </w:rPr>
      <w:t>2</w:t>
    </w:r>
    <w:r w:rsidRPr="00D75B35">
      <w:rPr>
        <w:rFonts w:ascii="Times New Roman" w:hAnsi="Times New Roman"/>
        <w:i/>
      </w:rPr>
      <w:t xml:space="preserve">): </w:t>
    </w:r>
    <w:r w:rsidR="00637B8D">
      <w:rPr>
        <w:rFonts w:ascii="Times New Roman" w:hAnsi="Times New Roman"/>
        <w:i/>
        <w:lang w:val="en-US"/>
      </w:rPr>
      <w:t>202</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637B8D">
      <w:rPr>
        <w:rFonts w:ascii="Times New Roman" w:hAnsi="Times New Roman"/>
        <w:i/>
        <w:lang w:val="en-US"/>
      </w:rPr>
      <w:t>213</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3D6ED" w14:textId="0F978E98" w:rsidR="00F676D9" w:rsidRPr="00F676D9" w:rsidRDefault="00F676D9" w:rsidP="00F676D9">
    <w:pPr>
      <w:spacing w:after="0"/>
      <w:ind w:left="1260" w:hanging="1260"/>
      <w:rPr>
        <w:rFonts w:ascii="Times New Roman" w:hAnsi="Times New Roman"/>
        <w:sz w:val="20"/>
        <w:szCs w:val="20"/>
        <w:lang w:eastAsia="zh-CN" w:bidi="ar-SA"/>
      </w:rPr>
    </w:pPr>
    <w:r w:rsidRPr="00F676D9">
      <w:rPr>
        <w:rFonts w:ascii="Times New Roman" w:hAnsi="Times New Roman"/>
        <w:sz w:val="20"/>
        <w:szCs w:val="20"/>
      </w:rPr>
      <w:t>Chang et al</w:t>
    </w:r>
    <w:r w:rsidR="00A37A74" w:rsidRPr="00F676D9">
      <w:rPr>
        <w:rFonts w:ascii="Times New Roman" w:hAnsi="Times New Roman"/>
        <w:sz w:val="20"/>
        <w:szCs w:val="20"/>
      </w:rPr>
      <w:t xml:space="preserve">:     </w:t>
    </w:r>
    <w:r w:rsidR="00EE2CC4">
      <w:rPr>
        <w:rFonts w:ascii="Times New Roman" w:hAnsi="Times New Roman"/>
        <w:sz w:val="20"/>
        <w:szCs w:val="20"/>
      </w:rPr>
      <w:tab/>
    </w:r>
    <w:r w:rsidRPr="00F676D9">
      <w:rPr>
        <w:rFonts w:ascii="Times New Roman" w:hAnsi="Times New Roman"/>
        <w:sz w:val="20"/>
        <w:szCs w:val="20"/>
      </w:rPr>
      <w:t>OPTIMIZATION PARAMETERS FOR ELECTROPOLYMERIZATION OF MELAMINE IN DEEP EUTECTIC SOLVENT</w:t>
    </w:r>
  </w:p>
  <w:p w14:paraId="652E6EB3" w14:textId="7968FDBD" w:rsidR="00D75B35" w:rsidRPr="00B75BF6" w:rsidRDefault="00D75B35" w:rsidP="00CB59E0">
    <w:pPr>
      <w:pStyle w:val="Header"/>
      <w:ind w:left="1170" w:hanging="1170"/>
      <w:rPr>
        <w:rFonts w:ascii="Times New Roman" w:hAnsi="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510E5"/>
    <w:multiLevelType w:val="hybridMultilevel"/>
    <w:tmpl w:val="AFEEC7A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16cid:durableId="19099234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7976134">
    <w:abstractNumId w:val="0"/>
  </w:num>
  <w:num w:numId="3" w16cid:durableId="19520851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37734"/>
    <w:rsid w:val="000566DF"/>
    <w:rsid w:val="00070690"/>
    <w:rsid w:val="00084936"/>
    <w:rsid w:val="000944A8"/>
    <w:rsid w:val="000C49FF"/>
    <w:rsid w:val="000C5261"/>
    <w:rsid w:val="000E5AF1"/>
    <w:rsid w:val="000F77DA"/>
    <w:rsid w:val="001068E8"/>
    <w:rsid w:val="00117BCD"/>
    <w:rsid w:val="001B0F9D"/>
    <w:rsid w:val="001D035A"/>
    <w:rsid w:val="001D1A16"/>
    <w:rsid w:val="001D3855"/>
    <w:rsid w:val="001D6F2C"/>
    <w:rsid w:val="001F72B9"/>
    <w:rsid w:val="002004F5"/>
    <w:rsid w:val="00221D39"/>
    <w:rsid w:val="002752F0"/>
    <w:rsid w:val="002867F0"/>
    <w:rsid w:val="0029079C"/>
    <w:rsid w:val="002B188F"/>
    <w:rsid w:val="002B3BD8"/>
    <w:rsid w:val="002F0EDB"/>
    <w:rsid w:val="002F2402"/>
    <w:rsid w:val="002F3F91"/>
    <w:rsid w:val="00304767"/>
    <w:rsid w:val="00304B34"/>
    <w:rsid w:val="00312C0E"/>
    <w:rsid w:val="00345738"/>
    <w:rsid w:val="00361BAF"/>
    <w:rsid w:val="0036379A"/>
    <w:rsid w:val="00367D1F"/>
    <w:rsid w:val="00373A9B"/>
    <w:rsid w:val="0038323C"/>
    <w:rsid w:val="00383C16"/>
    <w:rsid w:val="00383F26"/>
    <w:rsid w:val="0039005B"/>
    <w:rsid w:val="003B0AC0"/>
    <w:rsid w:val="003D585B"/>
    <w:rsid w:val="003E7DA6"/>
    <w:rsid w:val="003F12FF"/>
    <w:rsid w:val="00420074"/>
    <w:rsid w:val="004760D4"/>
    <w:rsid w:val="00494C46"/>
    <w:rsid w:val="004A1191"/>
    <w:rsid w:val="004A12DD"/>
    <w:rsid w:val="004B43FF"/>
    <w:rsid w:val="004D546E"/>
    <w:rsid w:val="004E1231"/>
    <w:rsid w:val="00502641"/>
    <w:rsid w:val="00510BA6"/>
    <w:rsid w:val="00534441"/>
    <w:rsid w:val="00542CFC"/>
    <w:rsid w:val="00545363"/>
    <w:rsid w:val="0055400A"/>
    <w:rsid w:val="00567D9E"/>
    <w:rsid w:val="00583C85"/>
    <w:rsid w:val="00584156"/>
    <w:rsid w:val="00590E9D"/>
    <w:rsid w:val="005C6768"/>
    <w:rsid w:val="005D3BF9"/>
    <w:rsid w:val="005E38E7"/>
    <w:rsid w:val="00624C7C"/>
    <w:rsid w:val="0063144D"/>
    <w:rsid w:val="00634C25"/>
    <w:rsid w:val="00637B8D"/>
    <w:rsid w:val="006416AB"/>
    <w:rsid w:val="00645AAE"/>
    <w:rsid w:val="00672075"/>
    <w:rsid w:val="006768E9"/>
    <w:rsid w:val="00687982"/>
    <w:rsid w:val="0069547D"/>
    <w:rsid w:val="00695D0E"/>
    <w:rsid w:val="006A3A0F"/>
    <w:rsid w:val="006B3EC8"/>
    <w:rsid w:val="006C412F"/>
    <w:rsid w:val="006D695E"/>
    <w:rsid w:val="00725A6A"/>
    <w:rsid w:val="00730CB3"/>
    <w:rsid w:val="00735444"/>
    <w:rsid w:val="007703FE"/>
    <w:rsid w:val="007859BE"/>
    <w:rsid w:val="007943F3"/>
    <w:rsid w:val="007A738C"/>
    <w:rsid w:val="007B1349"/>
    <w:rsid w:val="007C7480"/>
    <w:rsid w:val="007E25BD"/>
    <w:rsid w:val="007F4ECC"/>
    <w:rsid w:val="00801E18"/>
    <w:rsid w:val="00802C35"/>
    <w:rsid w:val="00816289"/>
    <w:rsid w:val="0082181A"/>
    <w:rsid w:val="008608E0"/>
    <w:rsid w:val="0086622B"/>
    <w:rsid w:val="008B02C7"/>
    <w:rsid w:val="008B470E"/>
    <w:rsid w:val="008C14D6"/>
    <w:rsid w:val="008E1211"/>
    <w:rsid w:val="008E5BBF"/>
    <w:rsid w:val="008E6968"/>
    <w:rsid w:val="008F2DC2"/>
    <w:rsid w:val="008F36C2"/>
    <w:rsid w:val="009110FB"/>
    <w:rsid w:val="00917637"/>
    <w:rsid w:val="00917A23"/>
    <w:rsid w:val="00975FE1"/>
    <w:rsid w:val="00992776"/>
    <w:rsid w:val="009A32D9"/>
    <w:rsid w:val="00A14DB9"/>
    <w:rsid w:val="00A37A74"/>
    <w:rsid w:val="00A4762A"/>
    <w:rsid w:val="00A7073E"/>
    <w:rsid w:val="00A74A7E"/>
    <w:rsid w:val="00A87399"/>
    <w:rsid w:val="00AD1B8A"/>
    <w:rsid w:val="00AD76AF"/>
    <w:rsid w:val="00AE713F"/>
    <w:rsid w:val="00B1121C"/>
    <w:rsid w:val="00B21436"/>
    <w:rsid w:val="00B25B65"/>
    <w:rsid w:val="00B2770A"/>
    <w:rsid w:val="00B314AD"/>
    <w:rsid w:val="00B36193"/>
    <w:rsid w:val="00B36918"/>
    <w:rsid w:val="00B7255A"/>
    <w:rsid w:val="00B75BF6"/>
    <w:rsid w:val="00B95E42"/>
    <w:rsid w:val="00BA1F7B"/>
    <w:rsid w:val="00BB223B"/>
    <w:rsid w:val="00BB58AF"/>
    <w:rsid w:val="00BD2480"/>
    <w:rsid w:val="00BE2D36"/>
    <w:rsid w:val="00BE7C30"/>
    <w:rsid w:val="00C055BF"/>
    <w:rsid w:val="00C0756D"/>
    <w:rsid w:val="00C141CE"/>
    <w:rsid w:val="00C2226A"/>
    <w:rsid w:val="00C23984"/>
    <w:rsid w:val="00C33C49"/>
    <w:rsid w:val="00C42066"/>
    <w:rsid w:val="00C50A9D"/>
    <w:rsid w:val="00C80273"/>
    <w:rsid w:val="00C943DD"/>
    <w:rsid w:val="00C94D92"/>
    <w:rsid w:val="00C97340"/>
    <w:rsid w:val="00CA2E2F"/>
    <w:rsid w:val="00CA513F"/>
    <w:rsid w:val="00CB59E0"/>
    <w:rsid w:val="00CC1893"/>
    <w:rsid w:val="00CC6D67"/>
    <w:rsid w:val="00CD41CA"/>
    <w:rsid w:val="00CF05FF"/>
    <w:rsid w:val="00CF128C"/>
    <w:rsid w:val="00D10C29"/>
    <w:rsid w:val="00D33D1A"/>
    <w:rsid w:val="00D340BB"/>
    <w:rsid w:val="00D348AF"/>
    <w:rsid w:val="00D505D5"/>
    <w:rsid w:val="00D63C28"/>
    <w:rsid w:val="00D64DBA"/>
    <w:rsid w:val="00D75B35"/>
    <w:rsid w:val="00D76E09"/>
    <w:rsid w:val="00D9736F"/>
    <w:rsid w:val="00D97773"/>
    <w:rsid w:val="00D9792A"/>
    <w:rsid w:val="00DD377F"/>
    <w:rsid w:val="00E17493"/>
    <w:rsid w:val="00E229C4"/>
    <w:rsid w:val="00E25547"/>
    <w:rsid w:val="00E25A80"/>
    <w:rsid w:val="00E275F6"/>
    <w:rsid w:val="00E2773B"/>
    <w:rsid w:val="00E3287E"/>
    <w:rsid w:val="00E429D7"/>
    <w:rsid w:val="00E66197"/>
    <w:rsid w:val="00E95DB4"/>
    <w:rsid w:val="00E9669B"/>
    <w:rsid w:val="00EB5BA5"/>
    <w:rsid w:val="00EE2CC4"/>
    <w:rsid w:val="00EF4195"/>
    <w:rsid w:val="00F202C3"/>
    <w:rsid w:val="00F23D94"/>
    <w:rsid w:val="00F307D5"/>
    <w:rsid w:val="00F31093"/>
    <w:rsid w:val="00F412AF"/>
    <w:rsid w:val="00F43667"/>
    <w:rsid w:val="00F447A7"/>
    <w:rsid w:val="00F467A2"/>
    <w:rsid w:val="00F567E6"/>
    <w:rsid w:val="00F62342"/>
    <w:rsid w:val="00F676D9"/>
    <w:rsid w:val="00F7357E"/>
    <w:rsid w:val="00F743E1"/>
    <w:rsid w:val="00FB4C59"/>
    <w:rsid w:val="00FB4F34"/>
    <w:rsid w:val="00FC2F16"/>
    <w:rsid w:val="00FE0572"/>
    <w:rsid w:val="00FE765F"/>
    <w:rsid w:val="00FF0F7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PlainTable21">
    <w:name w:val="Plain Table 21"/>
    <w:basedOn w:val="TableNormal"/>
    <w:next w:val="PlainTable2"/>
    <w:uiPriority w:val="42"/>
    <w:rsid w:val="00590E9D"/>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Keywords">
    <w:name w:val="Keywords"/>
    <w:basedOn w:val="Normal"/>
    <w:rsid w:val="00590E9D"/>
    <w:pPr>
      <w:spacing w:after="120" w:line="240" w:lineRule="auto"/>
      <w:ind w:left="288" w:right="288"/>
    </w:pPr>
    <w:rPr>
      <w:rFonts w:ascii="Times New Roman" w:hAnsi="Times New Roman" w:cs="Angsana New"/>
      <w:b/>
      <w:sz w:val="20"/>
      <w:szCs w:val="20"/>
      <w:lang w:bidi="ar-SA"/>
    </w:rPr>
  </w:style>
  <w:style w:type="character" w:customStyle="1" w:styleId="eq0j8">
    <w:name w:val="eq0j8"/>
    <w:basedOn w:val="DefaultParagraphFont"/>
    <w:rsid w:val="00590E9D"/>
  </w:style>
  <w:style w:type="table" w:styleId="PlainTable2">
    <w:name w:val="Plain Table 2"/>
    <w:basedOn w:val="TableNormal"/>
    <w:uiPriority w:val="42"/>
    <w:rsid w:val="00590E9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ghtShading1">
    <w:name w:val="Light Shading1"/>
    <w:basedOn w:val="TableNormal"/>
    <w:uiPriority w:val="60"/>
    <w:rsid w:val="004D546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4D546E"/>
    <w:rPr>
      <w:color w:val="0000FF" w:themeColor="hyperlink"/>
      <w:u w:val="single"/>
    </w:rPr>
  </w:style>
  <w:style w:type="character" w:customStyle="1" w:styleId="ParagraphChar">
    <w:name w:val="Paragraph Char"/>
    <w:basedOn w:val="DefaultParagraphFont"/>
    <w:link w:val="Paragraph"/>
    <w:locked/>
    <w:rsid w:val="004D546E"/>
    <w:rPr>
      <w:rFonts w:ascii="Times New Roman" w:eastAsia="Droid Sans" w:hAnsi="Times New Roman" w:cs="Calibri"/>
    </w:rPr>
  </w:style>
  <w:style w:type="paragraph" w:customStyle="1" w:styleId="Paragraph">
    <w:name w:val="Paragraph"/>
    <w:basedOn w:val="Normal"/>
    <w:link w:val="ParagraphChar"/>
    <w:qFormat/>
    <w:rsid w:val="004D546E"/>
    <w:pPr>
      <w:tabs>
        <w:tab w:val="left" w:pos="708"/>
      </w:tabs>
      <w:suppressAutoHyphens/>
      <w:spacing w:before="40" w:after="40" w:line="240" w:lineRule="auto"/>
      <w:jc w:val="both"/>
    </w:pPr>
    <w:rPr>
      <w:rFonts w:ascii="Times New Roman" w:eastAsia="Droid Sans" w:hAnsi="Times New Roman" w:cs="Calibri"/>
      <w:sz w:val="20"/>
      <w:szCs w:val="20"/>
      <w:lang w:val="en-MY" w:eastAsia="en-MY" w:bidi="ar-SA"/>
    </w:rPr>
  </w:style>
  <w:style w:type="table" w:styleId="TableGrid">
    <w:name w:val="Table Grid"/>
    <w:basedOn w:val="TableNormal"/>
    <w:uiPriority w:val="39"/>
    <w:rsid w:val="004D546E"/>
    <w:rPr>
      <w:rFonts w:ascii="Calibri" w:eastAsia="Times New Roman" w:hAnsi="Calibri"/>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D546E"/>
  </w:style>
  <w:style w:type="paragraph" w:styleId="Revision">
    <w:name w:val="Revision"/>
    <w:hidden/>
    <w:uiPriority w:val="99"/>
    <w:semiHidden/>
    <w:rsid w:val="004D546E"/>
    <w:rPr>
      <w:rFonts w:asciiTheme="minorHAnsi" w:eastAsiaTheme="minorEastAsia" w:hAnsiTheme="minorHAnsi" w:cstheme="minorBidi"/>
      <w:kern w:val="2"/>
      <w:szCs w:val="22"/>
      <w:lang w:val="en-US" w:eastAsia="ko-KR"/>
    </w:rPr>
  </w:style>
  <w:style w:type="character" w:styleId="CommentReference">
    <w:name w:val="annotation reference"/>
    <w:basedOn w:val="DefaultParagraphFont"/>
    <w:uiPriority w:val="99"/>
    <w:semiHidden/>
    <w:unhideWhenUsed/>
    <w:rsid w:val="004D546E"/>
    <w:rPr>
      <w:sz w:val="16"/>
      <w:szCs w:val="16"/>
    </w:rPr>
  </w:style>
  <w:style w:type="paragraph" w:styleId="CommentText">
    <w:name w:val="annotation text"/>
    <w:basedOn w:val="Normal"/>
    <w:link w:val="CommentTextChar"/>
    <w:uiPriority w:val="99"/>
    <w:semiHidden/>
    <w:unhideWhenUsed/>
    <w:rsid w:val="004D546E"/>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4D546E"/>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4D546E"/>
    <w:rPr>
      <w:b/>
      <w:bCs/>
    </w:rPr>
  </w:style>
  <w:style w:type="character" w:customStyle="1" w:styleId="CommentSubjectChar">
    <w:name w:val="Comment Subject Char"/>
    <w:basedOn w:val="CommentTextChar"/>
    <w:link w:val="CommentSubject"/>
    <w:uiPriority w:val="99"/>
    <w:semiHidden/>
    <w:rsid w:val="004D546E"/>
    <w:rPr>
      <w:rFonts w:asciiTheme="minorHAnsi" w:eastAsiaTheme="minorEastAsia" w:hAnsiTheme="minorHAnsi" w:cstheme="minorBidi"/>
      <w:b/>
      <w:bCs/>
      <w:kern w:val="2"/>
      <w:lang w:val="en-US" w:eastAsia="ko-KR"/>
    </w:rPr>
  </w:style>
  <w:style w:type="paragraph" w:styleId="NormalWeb">
    <w:name w:val="Normal (Web)"/>
    <w:basedOn w:val="Normal"/>
    <w:uiPriority w:val="99"/>
    <w:semiHidden/>
    <w:unhideWhenUsed/>
    <w:rsid w:val="00F676D9"/>
    <w:pPr>
      <w:spacing w:before="100" w:beforeAutospacing="1" w:after="100" w:afterAutospacing="1" w:line="240" w:lineRule="auto"/>
    </w:pPr>
    <w:rPr>
      <w:rFonts w:ascii="Times New Roman" w:hAnsi="Times New Roman"/>
      <w:sz w:val="24"/>
      <w:szCs w:val="24"/>
      <w:lang w:val="en-MY"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926918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emf"/><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7.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7.emf"/><Relationship Id="rId28" Type="http://schemas.openxmlformats.org/officeDocument/2006/relationships/image" Target="media/image10.emf"/><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6.png"/><Relationship Id="rId27" Type="http://schemas.openxmlformats.org/officeDocument/2006/relationships/image" Target="media/image9.png"/><Relationship Id="rId30" Type="http://schemas.openxmlformats.org/officeDocument/2006/relationships/footer" Target="footer1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9805</Words>
  <Characters>55891</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MJAS Vol 26 No 2 (2022)</vt:lpstr>
    </vt:vector>
  </TitlesOfParts>
  <Company>UKM</Company>
  <LinksUpToDate>false</LinksUpToDate>
  <CharactersWithSpaces>65565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26 No 2 (2022)</dc:title>
  <dc:creator>Harun Hj Hamzah</dc:creator>
  <cp:lastModifiedBy>Harun Hamzah</cp:lastModifiedBy>
  <cp:revision>5</cp:revision>
  <dcterms:created xsi:type="dcterms:W3CDTF">2022-03-07T03:25:00Z</dcterms:created>
  <dcterms:modified xsi:type="dcterms:W3CDTF">2022-04-20T17:54:00Z</dcterms:modified>
</cp:coreProperties>
</file>